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13" w:rsidRDefault="001E0813" w:rsidP="001E0813">
      <w:pPr>
        <w:spacing w:line="480" w:lineRule="auto"/>
        <w:jc w:val="center"/>
        <w:rPr>
          <w:b/>
        </w:rPr>
      </w:pPr>
      <w:r>
        <w:rPr>
          <w:rFonts w:eastAsia="Calibri"/>
          <w:b/>
        </w:rPr>
        <w:t>Türkiye’de Kontrbas Konusunda Yazılmış</w:t>
      </w:r>
      <w:r>
        <w:rPr>
          <w:b/>
        </w:rPr>
        <w:t xml:space="preserve"> Lisansüstü Tezler Üzerine </w:t>
      </w:r>
    </w:p>
    <w:p w:rsidR="001E0813" w:rsidRDefault="001E0813" w:rsidP="001E0813">
      <w:pPr>
        <w:spacing w:line="480" w:lineRule="auto"/>
        <w:jc w:val="center"/>
        <w:rPr>
          <w:b/>
        </w:rPr>
      </w:pPr>
      <w:r>
        <w:rPr>
          <w:b/>
        </w:rPr>
        <w:t>Durum Tespiti</w:t>
      </w:r>
      <w:r>
        <w:rPr>
          <w:rStyle w:val="DipnotBavurusu"/>
          <w:b/>
        </w:rPr>
        <w:footnoteReference w:customMarkFollows="1" w:id="1"/>
        <w:t>*</w:t>
      </w:r>
    </w:p>
    <w:p w:rsidR="001E0813" w:rsidRDefault="006002E3" w:rsidP="001E0813">
      <w:pPr>
        <w:pStyle w:val="ListeParagraf"/>
        <w:spacing w:line="480" w:lineRule="auto"/>
        <w:jc w:val="center"/>
        <w:rPr>
          <w:rFonts w:ascii="Times New Roman" w:hAnsi="Times New Roman"/>
          <w:b/>
          <w:sz w:val="24"/>
          <w:szCs w:val="24"/>
          <w:vertAlign w:val="superscript"/>
        </w:rPr>
      </w:pPr>
      <w:r>
        <w:rPr>
          <w:rFonts w:ascii="Times New Roman" w:hAnsi="Times New Roman"/>
          <w:b/>
          <w:sz w:val="24"/>
          <w:szCs w:val="24"/>
        </w:rPr>
        <w:t>A.</w:t>
      </w:r>
      <w:bookmarkStart w:id="0" w:name="_GoBack"/>
      <w:bookmarkEnd w:id="0"/>
      <w:r w:rsidR="001E0813">
        <w:rPr>
          <w:rFonts w:ascii="Times New Roman" w:hAnsi="Times New Roman"/>
          <w:b/>
          <w:sz w:val="24"/>
          <w:szCs w:val="24"/>
        </w:rPr>
        <w:t>Semih BİREL</w:t>
      </w:r>
      <w:r w:rsidR="001E0813">
        <w:rPr>
          <w:rFonts w:ascii="Times New Roman" w:hAnsi="Times New Roman"/>
          <w:b/>
          <w:sz w:val="24"/>
          <w:szCs w:val="24"/>
          <w:vertAlign w:val="superscript"/>
        </w:rPr>
        <w:t>**</w:t>
      </w:r>
      <w:r w:rsidR="00063F32">
        <w:rPr>
          <w:rFonts w:ascii="Times New Roman" w:hAnsi="Times New Roman"/>
          <w:b/>
          <w:sz w:val="24"/>
          <w:szCs w:val="24"/>
        </w:rPr>
        <w:t xml:space="preserve">, </w:t>
      </w:r>
      <w:r w:rsidR="001E0813">
        <w:rPr>
          <w:rFonts w:ascii="Times New Roman" w:hAnsi="Times New Roman"/>
          <w:b/>
          <w:sz w:val="24"/>
          <w:szCs w:val="24"/>
        </w:rPr>
        <w:t>Hawkar Mohammed QADER</w:t>
      </w:r>
      <w:r w:rsidR="001E0813">
        <w:rPr>
          <w:rFonts w:ascii="Times New Roman" w:hAnsi="Times New Roman"/>
          <w:b/>
          <w:sz w:val="24"/>
          <w:szCs w:val="24"/>
          <w:vertAlign w:val="superscript"/>
        </w:rPr>
        <w:t>***</w:t>
      </w:r>
    </w:p>
    <w:p w:rsidR="00260708" w:rsidRPr="001F3584" w:rsidRDefault="003C03C5" w:rsidP="00025D4F">
      <w:pPr>
        <w:spacing w:before="120" w:after="120" w:line="480" w:lineRule="auto"/>
        <w:jc w:val="both"/>
      </w:pPr>
      <w:r w:rsidRPr="001F3584">
        <w:rPr>
          <w:b/>
        </w:rPr>
        <w:t xml:space="preserve">Öz: </w:t>
      </w:r>
      <w:r w:rsidR="00260708" w:rsidRPr="001F3584">
        <w:t xml:space="preserve">Bu çalışmada, YÖK müfredatında yer alan bireysel çalgı </w:t>
      </w:r>
      <w:r w:rsidR="00384988" w:rsidRPr="001F3584">
        <w:t xml:space="preserve">eğitimi </w:t>
      </w:r>
      <w:r w:rsidR="00260708" w:rsidRPr="001F3584">
        <w:t xml:space="preserve">(kontrbas) </w:t>
      </w:r>
      <w:r w:rsidR="00384988" w:rsidRPr="001F3584">
        <w:t>alanında</w:t>
      </w:r>
      <w:r w:rsidR="00260708" w:rsidRPr="001F3584">
        <w:t xml:space="preserve"> lisansüstü programlarında yazılmış tezler incelenmiştir. </w:t>
      </w:r>
      <w:r w:rsidR="00384988" w:rsidRPr="001F3584">
        <w:t>B</w:t>
      </w:r>
      <w:r w:rsidR="00260708" w:rsidRPr="001F3584">
        <w:t>u doğrultu</w:t>
      </w:r>
      <w:r w:rsidR="00384988" w:rsidRPr="001F3584">
        <w:t>da</w:t>
      </w:r>
      <w:r w:rsidR="00260708" w:rsidRPr="001F3584">
        <w:t xml:space="preserve"> kontrbas çalgısı konusunda hangi yıllarda ve hangi lisansüstü program düzeyinde kaç adet tez yazıldığı saptanmaya çalışılarak, konu içerikleri </w:t>
      </w:r>
      <w:r w:rsidR="00384988" w:rsidRPr="001F3584">
        <w:t>yönünden</w:t>
      </w:r>
      <w:r w:rsidR="00260708" w:rsidRPr="001F3584">
        <w:t xml:space="preserve"> gruplandırılmıştır. Yapılan çalışmada, Türkiye’de lisansüstü programlarında kontrbas konusunda yazılmış toplam 25 adet lisansüstü tezi incelenmiştir. </w:t>
      </w:r>
      <w:r w:rsidR="00384988" w:rsidRPr="001F3584">
        <w:t>Bu</w:t>
      </w:r>
      <w:r w:rsidR="00260708" w:rsidRPr="001F3584">
        <w:t xml:space="preserve"> inceleme sonucunda tezler</w:t>
      </w:r>
      <w:r w:rsidR="00D87172">
        <w:t>in 22’sinin</w:t>
      </w:r>
      <w:r w:rsidR="00BB1EFB" w:rsidRPr="001F3584">
        <w:t xml:space="preserve"> yüksek lisans tezi ikisinin sanatta yeterlilik tezi birininse</w:t>
      </w:r>
      <w:r w:rsidR="00260708" w:rsidRPr="001F3584">
        <w:t xml:space="preserve"> doktora tezi olduğu tespit edilmiştir. Yıllara göre tez dağılımları yapıldığında, </w:t>
      </w:r>
      <w:r w:rsidR="00260708" w:rsidRPr="001F3584">
        <w:rPr>
          <w:bCs/>
        </w:rPr>
        <w:t xml:space="preserve">2003, 2007 ve 2016 yılları hariç 2002 yılından 2017 yılına kadar her yıl kontrbas konusunda lisansüstü tezi yazıldığı tespit edilmiştir. İncelenen lisansüstü tezlerin konulara göre dağılımında, Tarihsel Gelişim başlığında </w:t>
      </w:r>
      <w:r w:rsidR="00BB1EFB" w:rsidRPr="001F3584">
        <w:rPr>
          <w:bCs/>
        </w:rPr>
        <w:t>beş</w:t>
      </w:r>
      <w:r w:rsidR="00260708" w:rsidRPr="001F3584">
        <w:rPr>
          <w:bCs/>
        </w:rPr>
        <w:t xml:space="preserve"> adet, Eser-Etüt-Metod Analizi başlığında 8 adet, Kontrbas Eğitimi başlığında 9 </w:t>
      </w:r>
      <w:r w:rsidR="00BB1EFB" w:rsidRPr="001F3584">
        <w:rPr>
          <w:bCs/>
        </w:rPr>
        <w:t>adet, Biyografi başlığında ise üç</w:t>
      </w:r>
      <w:r w:rsidR="00260708" w:rsidRPr="001F3584">
        <w:rPr>
          <w:bCs/>
        </w:rPr>
        <w:t xml:space="preserve"> adet tez yazılmış olduğu görülmüştür. Enstitü dağılımına göre ise </w:t>
      </w:r>
      <w:r w:rsidR="00BB1EFB" w:rsidRPr="001F3584">
        <w:rPr>
          <w:bCs/>
        </w:rPr>
        <w:t>üç</w:t>
      </w:r>
      <w:r w:rsidR="00260708" w:rsidRPr="001F3584">
        <w:rPr>
          <w:bCs/>
        </w:rPr>
        <w:t xml:space="preserve"> adet tez </w:t>
      </w:r>
      <w:r w:rsidR="00BB1EFB" w:rsidRPr="001F3584">
        <w:rPr>
          <w:bCs/>
        </w:rPr>
        <w:t>Eğitim Bilimleri Enstitüsünde, iki</w:t>
      </w:r>
      <w:r w:rsidR="00260708" w:rsidRPr="001F3584">
        <w:rPr>
          <w:bCs/>
        </w:rPr>
        <w:t xml:space="preserve"> adet tez Güzel Sanatlar Enstitüsünde diğer 20 adet tez ise Sosyal Bilimler Enstitüsünde yazılmıştır.</w:t>
      </w:r>
    </w:p>
    <w:p w:rsidR="005C0D41" w:rsidRPr="001F3584" w:rsidRDefault="005C0D41" w:rsidP="00025D4F">
      <w:pPr>
        <w:tabs>
          <w:tab w:val="left" w:pos="284"/>
        </w:tabs>
        <w:spacing w:before="120" w:after="120" w:line="480" w:lineRule="auto"/>
        <w:jc w:val="both"/>
        <w:rPr>
          <w:b/>
        </w:rPr>
      </w:pPr>
    </w:p>
    <w:p w:rsidR="00260708" w:rsidRPr="001F3584" w:rsidRDefault="003C03C5" w:rsidP="00025D4F">
      <w:pPr>
        <w:spacing w:before="120" w:after="120" w:line="480" w:lineRule="auto"/>
        <w:jc w:val="both"/>
        <w:rPr>
          <w:b/>
        </w:rPr>
      </w:pPr>
      <w:r w:rsidRPr="001F3584">
        <w:rPr>
          <w:b/>
        </w:rPr>
        <w:t>Anahtar Kelimeler:</w:t>
      </w:r>
      <w:r w:rsidRPr="001F3584">
        <w:t xml:space="preserve"> </w:t>
      </w:r>
      <w:r w:rsidR="00ED77C3">
        <w:t>Kontrbas, kontr</w:t>
      </w:r>
      <w:r w:rsidR="00260708" w:rsidRPr="001F3584">
        <w:t>bas eğitimi, lisansüstü tezler</w:t>
      </w:r>
    </w:p>
    <w:p w:rsidR="003C03C5" w:rsidRPr="001F3584" w:rsidRDefault="00BD54D5" w:rsidP="00025D4F">
      <w:pPr>
        <w:spacing w:before="120" w:after="120" w:line="480" w:lineRule="auto"/>
        <w:ind w:left="567" w:right="567"/>
        <w:jc w:val="center"/>
        <w:rPr>
          <w:b/>
          <w:bCs/>
        </w:rPr>
      </w:pPr>
      <w:r w:rsidRPr="001F3584">
        <w:rPr>
          <w:b/>
        </w:rPr>
        <w:lastRenderedPageBreak/>
        <w:t>Case Detection</w:t>
      </w:r>
      <w:r w:rsidR="00260708" w:rsidRPr="001F3584">
        <w:rPr>
          <w:b/>
        </w:rPr>
        <w:t xml:space="preserve"> on the Theses on the Contrabass in Turkey, M.Sc. Thesis</w:t>
      </w:r>
    </w:p>
    <w:p w:rsidR="00260708" w:rsidRPr="001F3584" w:rsidRDefault="003C03C5" w:rsidP="00025D4F">
      <w:pPr>
        <w:spacing w:before="120" w:after="120" w:line="480" w:lineRule="auto"/>
        <w:jc w:val="both"/>
      </w:pPr>
      <w:r w:rsidRPr="001F3584">
        <w:rPr>
          <w:b/>
        </w:rPr>
        <w:t>Abstract</w:t>
      </w:r>
      <w:r w:rsidRPr="001F3584">
        <w:rPr>
          <w:b/>
          <w:bCs/>
        </w:rPr>
        <w:t xml:space="preserve">: </w:t>
      </w:r>
      <w:r w:rsidR="00260708" w:rsidRPr="001F3584">
        <w:t>In this study, theses written in post graduate programs on individual instrument (contrabass) education in HEC curriculum are examined. In the direction of these theses written, in which years and at what level of the graduate program, how many theses are written is tried to be grouped according to the contents of the subject.</w:t>
      </w:r>
      <w:r w:rsidR="00E01908">
        <w:t xml:space="preserve"> A total of 25</w:t>
      </w:r>
      <w:r w:rsidR="00260708" w:rsidRPr="001F3584">
        <w:t xml:space="preserve"> master's thesis on the contrabass in the post-graduate programs in Turkey were examined. As a result of the examin</w:t>
      </w:r>
      <w:r w:rsidR="00E01908">
        <w:t>ation, it was determined that 22</w:t>
      </w:r>
      <w:r w:rsidR="00260708" w:rsidRPr="001F3584">
        <w:t xml:space="preserve"> of the theses were master thesis, 2 of art competence thesis and 1 of doctoral thesis. When thesis distributions were made according to years, except for 2003, 2007 and 2016, it was determined that every year from 2002 to 2017, a master's thesis was written on the contrabass. In the distribution of the undergraduate theses examined, it is seen that there are 5 theses in the title of Historical Development, 8 in the title of Work-Study-Method Analysis, 9 in the title of Contrabass Education, and 3 in the title of Biography. According to the distribution of the institute, 3 theses are written in Institute of Educational Sciences, 2 theses are written in Institute of Fine Arts and 20 other theses are written in Institute of Social Sciences.</w:t>
      </w:r>
    </w:p>
    <w:p w:rsidR="00260708" w:rsidRPr="001F3584" w:rsidRDefault="00260708" w:rsidP="00025D4F">
      <w:pPr>
        <w:spacing w:before="120" w:after="120" w:line="480" w:lineRule="auto"/>
        <w:ind w:right="567"/>
        <w:jc w:val="both"/>
        <w:rPr>
          <w:b/>
        </w:rPr>
      </w:pPr>
    </w:p>
    <w:p w:rsidR="00260708" w:rsidRPr="001F3584" w:rsidRDefault="003C03C5" w:rsidP="00025D4F">
      <w:pPr>
        <w:spacing w:before="120" w:after="120" w:line="480" w:lineRule="auto"/>
        <w:jc w:val="both"/>
      </w:pPr>
      <w:r w:rsidRPr="001F3584">
        <w:rPr>
          <w:b/>
        </w:rPr>
        <w:t>Key</w:t>
      </w:r>
      <w:r w:rsidR="00BB29B0" w:rsidRPr="001F3584">
        <w:rPr>
          <w:b/>
        </w:rPr>
        <w:t>w</w:t>
      </w:r>
      <w:r w:rsidRPr="001F3584">
        <w:rPr>
          <w:b/>
        </w:rPr>
        <w:t>ords:</w:t>
      </w:r>
      <w:r w:rsidRPr="001F3584">
        <w:t xml:space="preserve"> </w:t>
      </w:r>
      <w:r w:rsidR="00260708" w:rsidRPr="001F3584">
        <w:t>Contrabass, contrabass education, postgraduate theses</w:t>
      </w:r>
    </w:p>
    <w:p w:rsidR="00E37434" w:rsidRPr="001F3584" w:rsidRDefault="00E37434" w:rsidP="00025D4F">
      <w:pPr>
        <w:spacing w:before="120" w:after="120" w:line="480" w:lineRule="auto"/>
        <w:ind w:right="567"/>
        <w:jc w:val="both"/>
      </w:pPr>
    </w:p>
    <w:p w:rsidR="002B01E7" w:rsidRPr="001F3584" w:rsidRDefault="002B01E7" w:rsidP="00025D4F">
      <w:pPr>
        <w:autoSpaceDE w:val="0"/>
        <w:autoSpaceDN w:val="0"/>
        <w:adjustRightInd w:val="0"/>
        <w:spacing w:before="120" w:after="120" w:line="480" w:lineRule="auto"/>
        <w:ind w:right="567"/>
        <w:jc w:val="both"/>
      </w:pPr>
    </w:p>
    <w:p w:rsidR="00E37434" w:rsidRPr="001F3584" w:rsidRDefault="00E37434" w:rsidP="00025D4F">
      <w:pPr>
        <w:autoSpaceDE w:val="0"/>
        <w:autoSpaceDN w:val="0"/>
        <w:adjustRightInd w:val="0"/>
        <w:spacing w:before="120" w:after="120" w:line="480" w:lineRule="auto"/>
        <w:ind w:right="567"/>
        <w:jc w:val="both"/>
      </w:pPr>
    </w:p>
    <w:p w:rsidR="00E37434" w:rsidRPr="001F3584" w:rsidRDefault="00E37434" w:rsidP="00025D4F">
      <w:pPr>
        <w:autoSpaceDE w:val="0"/>
        <w:autoSpaceDN w:val="0"/>
        <w:adjustRightInd w:val="0"/>
        <w:spacing w:before="120" w:after="120" w:line="480" w:lineRule="auto"/>
        <w:ind w:right="567"/>
        <w:jc w:val="both"/>
      </w:pPr>
    </w:p>
    <w:p w:rsidR="00BB29B0" w:rsidRPr="001F3584" w:rsidRDefault="00BB29B0" w:rsidP="00025D4F">
      <w:pPr>
        <w:autoSpaceDE w:val="0"/>
        <w:autoSpaceDN w:val="0"/>
        <w:adjustRightInd w:val="0"/>
        <w:spacing w:before="120" w:after="120" w:line="480" w:lineRule="auto"/>
        <w:ind w:right="567"/>
        <w:jc w:val="both"/>
      </w:pPr>
    </w:p>
    <w:p w:rsidR="00260708" w:rsidRPr="001F3584" w:rsidRDefault="00260708" w:rsidP="00025D4F">
      <w:pPr>
        <w:autoSpaceDE w:val="0"/>
        <w:autoSpaceDN w:val="0"/>
        <w:adjustRightInd w:val="0"/>
        <w:spacing w:before="120" w:after="120" w:line="480" w:lineRule="auto"/>
        <w:ind w:right="567"/>
        <w:jc w:val="both"/>
      </w:pPr>
    </w:p>
    <w:p w:rsidR="003C03C5" w:rsidRPr="001F3584" w:rsidRDefault="003C03C5" w:rsidP="00025D4F">
      <w:pPr>
        <w:spacing w:before="120" w:after="120" w:line="480" w:lineRule="auto"/>
        <w:jc w:val="both"/>
        <w:rPr>
          <w:b/>
        </w:rPr>
      </w:pPr>
      <w:r w:rsidRPr="001F3584">
        <w:rPr>
          <w:b/>
        </w:rPr>
        <w:lastRenderedPageBreak/>
        <w:t>G</w:t>
      </w:r>
      <w:r w:rsidR="00016738" w:rsidRPr="001F3584">
        <w:rPr>
          <w:b/>
        </w:rPr>
        <w:t>iriş</w:t>
      </w:r>
    </w:p>
    <w:p w:rsidR="0077344C" w:rsidRPr="001F3584" w:rsidRDefault="003C03C5" w:rsidP="00025D4F">
      <w:pPr>
        <w:spacing w:before="120" w:after="120" w:line="480" w:lineRule="auto"/>
        <w:ind w:firstLine="720"/>
        <w:jc w:val="both"/>
      </w:pPr>
      <w:r w:rsidRPr="001F3584">
        <w:t xml:space="preserve">     </w:t>
      </w:r>
      <w:r w:rsidR="0077344C" w:rsidRPr="001F3584">
        <w:t xml:space="preserve">Lisans eğitimini tamamlamış bireyler, </w:t>
      </w:r>
      <w:r w:rsidR="0048279A" w:rsidRPr="001F3584">
        <w:t>lisansüstü eğitimlerini yapmak için</w:t>
      </w:r>
      <w:r w:rsidR="0077344C" w:rsidRPr="001F3584">
        <w:t xml:space="preserve"> ilgili üniversitelerin lisansüstü eğitimi koşullarını yerine getirmeleri doğrultusunda lisansüstü eğitimi yapmaya hak kazanırlar. Lisansüstü eğitimine başvuru koşulları, her üniversitenin bünyesinde bulunan enstitülerin yönetmeliklerinde belirtilmektedir. Lisansüstü eğitimi, Yüksek Öğretim Kurumu (YÖK) başkanlığınca açıklandığı üzere; yüksek lisans, doktora ve sanatta yeterlilik programlarını kapsamaktadır.</w:t>
      </w:r>
    </w:p>
    <w:p w:rsidR="0077344C" w:rsidRPr="003E6573" w:rsidRDefault="0077344C" w:rsidP="00025D4F">
      <w:pPr>
        <w:spacing w:before="120" w:after="120"/>
        <w:ind w:left="709" w:right="708"/>
        <w:jc w:val="both"/>
      </w:pPr>
      <w:r w:rsidRPr="003E6573">
        <w:t>MADDE 4 – (1) Yüksek lisans programı, tezli ve tezsiz olmak üzere iki şekilde yürütülebilir. Bu programların hangi enstitü anabilim/anasanat dallarında ve nasıl yürütüleceği ile yükseköğretim kurumlarının yetkisinde olan tezli ve tezsiz yüksek lisans programları arasında geçişe izin hususları senatolar tarafından çıkarılan yönetmelikle düzenlenir (web:</w:t>
      </w:r>
      <w:r w:rsidR="00266DBE" w:rsidRPr="003E6573">
        <w:t>mevzuat.gov.tr/</w:t>
      </w:r>
      <w:r w:rsidRPr="003E6573">
        <w:t>lisansüstü eğitim öğretim yönetmeliği).</w:t>
      </w:r>
    </w:p>
    <w:p w:rsidR="00CE5536" w:rsidRDefault="00CE5536" w:rsidP="00025D4F">
      <w:pPr>
        <w:spacing w:before="120" w:after="120"/>
        <w:ind w:right="49" w:firstLine="720"/>
        <w:jc w:val="both"/>
      </w:pPr>
    </w:p>
    <w:p w:rsidR="0077344C" w:rsidRPr="001F3584" w:rsidRDefault="0077344C" w:rsidP="00025D4F">
      <w:pPr>
        <w:spacing w:before="120" w:after="120" w:line="480" w:lineRule="auto"/>
        <w:ind w:right="49" w:firstLine="720"/>
        <w:jc w:val="both"/>
      </w:pPr>
      <w:r w:rsidRPr="001F3584">
        <w:t>Tezli yüksek lisans programının genel olarak ders ve tez olm</w:t>
      </w:r>
      <w:r w:rsidR="009F3BF1" w:rsidRPr="001F3584">
        <w:t>ak üzere iki aşamadan oluştuğu söylenebilir</w:t>
      </w:r>
      <w:r w:rsidRPr="001F3584">
        <w:t>. Ders dönemi ve kredileri, YÖK lisansüstü eğitim ve öğretim yönetmeliğinde de belirtildiği üzere ilgili yükseköğretim kurumunca belirlenir. Ders döneminde kredisini tamamlayan öğrenciler, seminer ve tez önerisini enstitüye teslim ettikten sonra tez yazma aşamasına geçmiş olurlar. Özel yetenek gerektiren bölüm, fakülte ve konservatuarlarda da bazen değişkenlik gösterebilmekle beraber genel olarak durum böyledir.</w:t>
      </w:r>
    </w:p>
    <w:p w:rsidR="0077344C" w:rsidRDefault="0077344C" w:rsidP="00025D4F">
      <w:pPr>
        <w:spacing w:before="120" w:after="120" w:line="480" w:lineRule="auto"/>
        <w:ind w:right="49" w:firstLine="720"/>
        <w:jc w:val="both"/>
      </w:pPr>
      <w:r w:rsidRPr="001F3584">
        <w:t xml:space="preserve">Gerek, YÖK lisansüstü eğitim öğretim yönetmeliği, gerekse üniversitelerin lisansüstü eğitimi tanımlamalarına dayanarak lisansüstü eğitimin, lisans eğitimine göre daha bilimsel ve daha akademik olduğu söylenebilir. Tezli yüksek lisans programları ile ortaya </w:t>
      </w:r>
      <w:r w:rsidR="008B2D4F" w:rsidRPr="001F3584">
        <w:t>çıkan yeni bilimsel raporlar,</w:t>
      </w:r>
      <w:r w:rsidRPr="001F3584">
        <w:t xml:space="preserve"> eğitimin gelişmesine yönelik katkılar sağlamakta, araştırmacıları yeni alanlara yöneltmektedir. Bu bağlamda, müzik eğitiminin önemli bir boyutu olan çalgı eğitimi kontrbas alanında Türkiye’de yazılmış tüm lisansüstü tezlerin durumunu saptamaya çalışmak büyük önem arz etmektedir.</w:t>
      </w:r>
    </w:p>
    <w:p w:rsidR="00F7355D" w:rsidRPr="004608FD" w:rsidRDefault="00F7355D" w:rsidP="00F7355D">
      <w:pPr>
        <w:spacing w:before="120" w:after="120" w:line="360" w:lineRule="auto"/>
        <w:ind w:firstLine="709"/>
        <w:jc w:val="both"/>
      </w:pPr>
      <w:r w:rsidRPr="004608FD">
        <w:lastRenderedPageBreak/>
        <w:t>Kontrbas kelimesi, Türk Dil Kurumu sözlüğünde “keman türünden, en kalın sesli yaylı saz” olarak tanımlanmıştır (www.tdk.com.tr).</w:t>
      </w:r>
    </w:p>
    <w:p w:rsidR="00F7355D" w:rsidRDefault="00F7355D" w:rsidP="00F7355D">
      <w:pPr>
        <w:spacing w:before="120" w:after="120"/>
        <w:ind w:left="709" w:right="708"/>
        <w:jc w:val="both"/>
      </w:pPr>
    </w:p>
    <w:p w:rsidR="00F7355D" w:rsidRDefault="00F7355D" w:rsidP="00F7355D">
      <w:pPr>
        <w:spacing w:before="120" w:after="120"/>
        <w:ind w:left="709" w:right="708"/>
        <w:jc w:val="both"/>
      </w:pPr>
      <w:r w:rsidRPr="003F062F">
        <w:t>Fransızca “Contrebasse”, Almanca “Kontrabas”, İtalyanca “Contrabasso”, İspanyolca “Contrabajo”, İngilizce “Double Bass” şeklinde adlandırılmaktadır. Türkiye’ye gelen ilk kontrbas eğitimcilerinin Alman olduğu göz önüne alındığında, Türkçe’de kullanılan “kontrbas” kelimesinin Almanca’dan gelmiş olduğu düşünülebilir (Kömürcü, 2004: 9).</w:t>
      </w:r>
    </w:p>
    <w:p w:rsidR="00F7355D" w:rsidRDefault="00F7355D" w:rsidP="00F7355D">
      <w:pPr>
        <w:spacing w:before="120" w:after="120" w:line="360" w:lineRule="auto"/>
        <w:ind w:firstLine="708"/>
        <w:jc w:val="both"/>
      </w:pPr>
    </w:p>
    <w:p w:rsidR="0077344C" w:rsidRPr="001F3584" w:rsidRDefault="0077344C" w:rsidP="00F7355D">
      <w:pPr>
        <w:spacing w:before="120" w:after="120" w:line="480" w:lineRule="auto"/>
        <w:ind w:firstLine="708"/>
        <w:jc w:val="both"/>
      </w:pPr>
      <w:r w:rsidRPr="001F3584">
        <w:t>Türkiye’de kontrbas eğitimi, daha çok konservatuvarlarda olmakla birlikte Güzel Sanatlar Fakültelerinin Müzik Bölümleri, Müzik ve Sahne Sanatları Fakülteleri, Eğitim Fakültelerine bağlı Güzel Sanatlar Eğitimi Bölümü Müzik Eğitimi Anabilim Dalları ve Güzel Sanatlar Liseleri müfredat programlarında yer almaktadır.</w:t>
      </w:r>
    </w:p>
    <w:p w:rsidR="0077344C" w:rsidRPr="001F3584" w:rsidRDefault="0077344C" w:rsidP="00025D4F">
      <w:pPr>
        <w:spacing w:before="120" w:after="120"/>
        <w:ind w:left="709" w:right="708"/>
        <w:jc w:val="both"/>
      </w:pPr>
      <w:proofErr w:type="gramStart"/>
      <w:r w:rsidRPr="001F3584">
        <w:t xml:space="preserve">Türkiye’de kontrbas eğitimi, çalgının yapısal özelliklerinden dolayı öğrencilerin yaşı itibariyle lise evresinde başlayabileceği uygun çalgı eğitimlerinden biri gibi görünse ve çoğu zaman bu şekilde uygulanmış olsa da; bugün dünyada özellikle İngiltere ve Almanya’da </w:t>
      </w:r>
      <w:r w:rsidR="00FA6F77" w:rsidRPr="001F3584">
        <w:rPr>
          <w:i/>
        </w:rPr>
        <w:t>mini bass</w:t>
      </w:r>
      <w:r w:rsidRPr="001F3584">
        <w:t xml:space="preserve"> projesiyle yedi ve dokuz gibi çok daha küçük yaşlarda, bu eğitim için özel olarak tasarlanmış kontrbaslarla verilmektedir. </w:t>
      </w:r>
      <w:proofErr w:type="gramEnd"/>
      <w:r w:rsidRPr="001F3584">
        <w:t>Konservatuvarlarda kontrbas eğitimi alan öğrencilerin, başlıca faaliyet alanları orkestralar veya solo performanslar olabileceği gibi, bunun yanı sıra müzikal gelişimlerini arttırabilecekleri yerler, küçük veya büyük çalgı topluluklarıdır. Bir kontrbasçı, çalgısının orkestra içerisinde ritim ve armoniye temel oluşturma görevinin her zaman farkında olmalı ve bu beceriyi geliştirmek için mümkün olduğunca birlikte çalma deneyimini arttırmalıdır (Akkor, 2009: 3).</w:t>
      </w:r>
    </w:p>
    <w:p w:rsidR="00CE5536" w:rsidRDefault="00CE5536" w:rsidP="00025D4F">
      <w:pPr>
        <w:spacing w:before="120" w:after="120"/>
        <w:ind w:firstLine="720"/>
        <w:jc w:val="both"/>
      </w:pPr>
    </w:p>
    <w:p w:rsidR="0077344C" w:rsidRPr="001F3584" w:rsidRDefault="0077344C" w:rsidP="00025D4F">
      <w:pPr>
        <w:spacing w:before="120" w:after="120" w:line="480" w:lineRule="auto"/>
        <w:ind w:firstLine="720"/>
        <w:jc w:val="both"/>
      </w:pPr>
      <w:r w:rsidRPr="001F3584">
        <w:t xml:space="preserve">Yapalı (2015) tarafından Ülkemizde </w:t>
      </w:r>
      <w:r w:rsidR="005C536D" w:rsidRPr="001F3584">
        <w:t>flüt ve flüt eğitimi alanlarında yapılan lisansüstü tezlerin incelenmesi</w:t>
      </w:r>
      <w:r w:rsidRPr="001F3584">
        <w:t xml:space="preserve"> (1987-2014)</w:t>
      </w:r>
      <w:r w:rsidR="00FA6F77" w:rsidRPr="001F3584">
        <w:t xml:space="preserve"> </w:t>
      </w:r>
      <w:r w:rsidRPr="001F3584">
        <w:t xml:space="preserve"> isimli </w:t>
      </w:r>
      <w:r w:rsidR="005C536D" w:rsidRPr="001F3584">
        <w:t xml:space="preserve">yüksek lisans tezi </w:t>
      </w:r>
      <w:r w:rsidRPr="001F3584">
        <w:t xml:space="preserve">102 sayfa olarak hazırlanmıştır. Bu araştırma, Türkiye’de, flüt ve flüt eğitimi alanlarında yapılan lisansüstü tezlerinin sınıflandırılması amacıyla yapılmış, nitel araştırma yöntem ve tekniklerinin kullanıldığı, durum belirlemeye yönelik betimsel bir çalışmadır. Flüt ve </w:t>
      </w:r>
      <w:r w:rsidR="005C536D" w:rsidRPr="001F3584">
        <w:t xml:space="preserve">flüt eğitimi </w:t>
      </w:r>
      <w:r w:rsidRPr="001F3584">
        <w:t xml:space="preserve">alanlarındaki lisansüstü eğitimin önemine değinilerek 1987 – 2014 yılları arasında </w:t>
      </w:r>
      <w:r w:rsidR="005C536D" w:rsidRPr="001F3584">
        <w:t xml:space="preserve">flüt ve flüt eğitimi </w:t>
      </w:r>
      <w:r w:rsidRPr="001F3584">
        <w:t xml:space="preserve">alanlarında yapılan 81 adet lisansüstü tez ile ilgili detaylı incelemeler yapılmış ve veriler gruplandırılmıştır. Elde edilen veriler ışığında ülkemizde flüt ve flüt eğitimi alanlarında </w:t>
      </w:r>
      <w:r w:rsidRPr="001F3584">
        <w:lastRenderedPageBreak/>
        <w:t>yapılan lisansüstü tezler; a</w:t>
      </w:r>
      <w:proofErr w:type="gramStart"/>
      <w:r w:rsidRPr="001F3584">
        <w:t>)</w:t>
      </w:r>
      <w:proofErr w:type="gramEnd"/>
      <w:r w:rsidRPr="001F3584">
        <w:t xml:space="preserve"> alanlarına, b) yıllara, c) tez türlerine, d) üniversite ve şehirlere, e) işlemiş olduğu müzik dönemleri ve ele alınan bestecilere, f) araştırmalarda kullanılmış olan yöntemlere yönelik sonuçlara ulaşılmış ve sonuçlar yorumlanmıştır. </w:t>
      </w:r>
    </w:p>
    <w:p w:rsidR="0077344C" w:rsidRPr="001F3584" w:rsidRDefault="0077344C" w:rsidP="00025D4F">
      <w:pPr>
        <w:spacing w:before="120" w:after="120" w:line="480" w:lineRule="auto"/>
        <w:ind w:firstLine="720"/>
        <w:jc w:val="both"/>
      </w:pPr>
      <w:r w:rsidRPr="001F3584">
        <w:t xml:space="preserve">Akın (2016) tarafından Türkiye’de </w:t>
      </w:r>
      <w:r w:rsidR="00B822B3" w:rsidRPr="001F3584">
        <w:t xml:space="preserve">keman eğitimi alanında yazılmış lisansüstü tezlerin konu ve türleri yönünden incelenmesi </w:t>
      </w:r>
      <w:r w:rsidRPr="001F3584">
        <w:t xml:space="preserve">isimli </w:t>
      </w:r>
      <w:r w:rsidR="00B822B3" w:rsidRPr="001F3584">
        <w:t xml:space="preserve">yüksek lisans tezi </w:t>
      </w:r>
      <w:r w:rsidRPr="001F3584">
        <w:t>52 sayfa olarak hazırlanmıştır. Bu çalışma</w:t>
      </w:r>
      <w:r w:rsidR="00B822B3" w:rsidRPr="001F3584">
        <w:t>da</w:t>
      </w:r>
      <w:r w:rsidRPr="001F3584">
        <w:t xml:space="preserve">, Türkiye'de keman eğitimi alanında yazılmış lisansüstü </w:t>
      </w:r>
      <w:r w:rsidR="00B822B3" w:rsidRPr="001F3584">
        <w:t>t</w:t>
      </w:r>
      <w:r w:rsidRPr="001F3584">
        <w:t xml:space="preserve">ezler taranarak konularına göre sınıflandırılmıştır. </w:t>
      </w:r>
      <w:r w:rsidR="002E28D9" w:rsidRPr="001F3584">
        <w:t xml:space="preserve">Toplamda </w:t>
      </w:r>
      <w:r w:rsidRPr="001F3584">
        <w:t>117 tez</w:t>
      </w:r>
      <w:r w:rsidR="002E28D9" w:rsidRPr="001F3584">
        <w:t>,</w:t>
      </w:r>
      <w:r w:rsidRPr="001F3584">
        <w:t xml:space="preserve"> içe</w:t>
      </w:r>
      <w:r w:rsidR="00FA6F77" w:rsidRPr="001F3584">
        <w:t xml:space="preserve">rik ve konu başlıklarına göre; </w:t>
      </w:r>
      <w:r w:rsidR="002E28D9" w:rsidRPr="001F3584">
        <w:t>keman eğitimi, yöntem ve</w:t>
      </w:r>
      <w:r w:rsidR="002E28D9" w:rsidRPr="001F3584">
        <w:rPr>
          <w:shd w:val="clear" w:color="auto" w:fill="F0F5F9"/>
        </w:rPr>
        <w:t xml:space="preserve"> </w:t>
      </w:r>
      <w:r w:rsidR="002E28D9" w:rsidRPr="001F3584">
        <w:t>metotları, keman eğitimi programları, eser, etüt ve kaynak analizi, keman ve geleneksel Türk müziği, kemanın yapısal özelliği, keman ve biyofiziksel yapı ve keman ve müzik kültürü</w:t>
      </w:r>
      <w:r w:rsidR="00FA6F77" w:rsidRPr="001F3584">
        <w:rPr>
          <w:i/>
        </w:rPr>
        <w:t xml:space="preserve"> </w:t>
      </w:r>
      <w:r w:rsidRPr="001F3584">
        <w:t>olmak üzere 7 başlıkta gruplandırılmıştır.</w:t>
      </w:r>
    </w:p>
    <w:p w:rsidR="004A4214" w:rsidRPr="001F3584" w:rsidRDefault="004A4214" w:rsidP="00025D4F">
      <w:pPr>
        <w:spacing w:before="120" w:after="120" w:line="480" w:lineRule="auto"/>
        <w:ind w:firstLine="720"/>
        <w:jc w:val="both"/>
        <w:rPr>
          <w:sz w:val="23"/>
          <w:szCs w:val="23"/>
        </w:rPr>
      </w:pPr>
      <w:r w:rsidRPr="001F3584">
        <w:t xml:space="preserve">Sağer (2005) Müzik Öğretmenliği Bilim Dallarında Çalışılan Lisansüstü Tezlerin Enstitü Farklılıkları Açısından Değerlendirilmesi isimli makalesinde, ülkemizde müzik eğitimi alanında yürütülmekte olan lisansüstü çalışmaların enstitü farklılıkları açısından bir değerlendirmesini yapmıştır. Bu doğrultuda, 1982 yılından bu yana lisansüstü programların </w:t>
      </w:r>
      <w:r w:rsidRPr="001F3584">
        <w:rPr>
          <w:sz w:val="23"/>
          <w:szCs w:val="23"/>
        </w:rPr>
        <w:t xml:space="preserve">hangi enstitülerde yürütüldüğü tespit edilmiş, bu programlardan yıllara göre ne kadar mezun verildiği YÖK Tez Tarama Kataloğundan alınan bilgilere göre değerlendirilmiştir. Araştırmanın sonucunda </w:t>
      </w:r>
      <w:r w:rsidR="00943D5F" w:rsidRPr="001F3584">
        <w:rPr>
          <w:sz w:val="23"/>
          <w:szCs w:val="23"/>
        </w:rPr>
        <w:t xml:space="preserve">ise </w:t>
      </w:r>
      <w:r w:rsidRPr="001F3584">
        <w:rPr>
          <w:sz w:val="23"/>
          <w:szCs w:val="23"/>
        </w:rPr>
        <w:t>eğitim bilimleri enstitüleri</w:t>
      </w:r>
      <w:r w:rsidR="00943D5F" w:rsidRPr="001F3584">
        <w:rPr>
          <w:sz w:val="23"/>
          <w:szCs w:val="23"/>
        </w:rPr>
        <w:t>nin</w:t>
      </w:r>
      <w:r w:rsidRPr="001F3584">
        <w:rPr>
          <w:sz w:val="23"/>
          <w:szCs w:val="23"/>
        </w:rPr>
        <w:t xml:space="preserve"> özellikle müzik </w:t>
      </w:r>
      <w:r w:rsidR="00943D5F" w:rsidRPr="001F3584">
        <w:rPr>
          <w:sz w:val="23"/>
          <w:szCs w:val="23"/>
        </w:rPr>
        <w:t>öğretmenliği programları için daha</w:t>
      </w:r>
      <w:r w:rsidRPr="001F3584">
        <w:rPr>
          <w:sz w:val="23"/>
          <w:szCs w:val="23"/>
        </w:rPr>
        <w:t xml:space="preserve"> doğru olacağı kanaatine varılmıştır.</w:t>
      </w:r>
    </w:p>
    <w:p w:rsidR="00C16D55" w:rsidRPr="001F3584" w:rsidRDefault="00C16D55" w:rsidP="00025D4F">
      <w:pPr>
        <w:spacing w:before="120" w:after="120" w:line="480" w:lineRule="auto"/>
        <w:ind w:firstLine="720"/>
        <w:jc w:val="both"/>
      </w:pPr>
      <w:r w:rsidRPr="001F3584">
        <w:t>Orhan (2012) Türkiye’de Viyolonsel Alanında Yapılmış Yüksek Lisans, Doktora ve Sanatta Yeterlilik Tezleri isimli makalesinde</w:t>
      </w:r>
      <w:r w:rsidR="00A73F1E" w:rsidRPr="001F3584">
        <w:t xml:space="preserve">, durum saptamasına yönelik </w:t>
      </w:r>
      <w:r w:rsidR="00DE50B1" w:rsidRPr="001F3584">
        <w:t>Türkiye’de 1992-2011 yılları arasında viyolonsel alanında ya</w:t>
      </w:r>
      <w:r w:rsidR="00A73F1E" w:rsidRPr="001F3584">
        <w:t>zılmış</w:t>
      </w:r>
      <w:r w:rsidR="00DE50B1" w:rsidRPr="001F3584">
        <w:t xml:space="preserve"> lisansüstü tezleri </w:t>
      </w:r>
      <w:r w:rsidR="00A73F1E" w:rsidRPr="001F3584">
        <w:t>incelemiştir. Çalışmada elde edilen toplam 75 adet lisansüstü tezi; türlerine göre, yapıldığı enstitülere göre, yapıldığı yıllara göre, yapıldığı üniversitelere göre ve konularına göre ayrı ayrı tablolar halinde değerlendirilmiştir.</w:t>
      </w:r>
    </w:p>
    <w:p w:rsidR="00B822B3" w:rsidRPr="001F3584" w:rsidRDefault="00B822B3" w:rsidP="00025D4F">
      <w:pPr>
        <w:spacing w:before="120" w:after="120" w:line="480" w:lineRule="auto"/>
        <w:ind w:firstLine="720"/>
        <w:jc w:val="both"/>
      </w:pPr>
      <w:r w:rsidRPr="001F3584">
        <w:lastRenderedPageBreak/>
        <w:t xml:space="preserve">Toptaş (2013) </w:t>
      </w:r>
      <w:r w:rsidRPr="001F3584">
        <w:rPr>
          <w:sz w:val="23"/>
          <w:szCs w:val="23"/>
        </w:rPr>
        <w:t>Türkiye’de piyano üzerine yapılmış lisansüstü çalışmalar</w:t>
      </w:r>
      <w:r w:rsidRPr="001F3584">
        <w:rPr>
          <w:i/>
          <w:sz w:val="23"/>
          <w:szCs w:val="23"/>
        </w:rPr>
        <w:t xml:space="preserve"> </w:t>
      </w:r>
      <w:r w:rsidRPr="001F3584">
        <w:t xml:space="preserve">isimli makalesinde, Türkiye’de 1987-2012 yılları arasında piyano alanında yazılmış toplam 276 lisansüstü tezi yapıldığı yıllara göre, yapıldığı enstitülere göre, yapıldığı üniversitelere göre ve konularına göre değerlendirerek ayrı ayrı frekans tabloları halinde sunmuştur. </w:t>
      </w:r>
    </w:p>
    <w:p w:rsidR="00910E71" w:rsidRPr="001F3584" w:rsidRDefault="00910E71" w:rsidP="00025D4F">
      <w:pPr>
        <w:pStyle w:val="ListeParagraf"/>
        <w:spacing w:before="120" w:after="120" w:line="480" w:lineRule="auto"/>
        <w:ind w:left="0"/>
        <w:jc w:val="both"/>
        <w:rPr>
          <w:rFonts w:ascii="Times New Roman" w:hAnsi="Times New Roman"/>
          <w:sz w:val="24"/>
          <w:szCs w:val="24"/>
        </w:rPr>
      </w:pPr>
      <w:r w:rsidRPr="001F3584">
        <w:rPr>
          <w:rFonts w:ascii="Times New Roman" w:hAnsi="Times New Roman"/>
          <w:b/>
          <w:sz w:val="24"/>
          <w:szCs w:val="24"/>
        </w:rPr>
        <w:t>Problem:</w:t>
      </w:r>
      <w:r w:rsidR="00FA6F77" w:rsidRPr="001F3584">
        <w:rPr>
          <w:rFonts w:ascii="Times New Roman" w:hAnsi="Times New Roman"/>
          <w:sz w:val="24"/>
          <w:szCs w:val="24"/>
        </w:rPr>
        <w:t xml:space="preserve"> Araştırmanın problem cümlesi, </w:t>
      </w:r>
      <w:r w:rsidRPr="001F3584">
        <w:rPr>
          <w:rFonts w:ascii="Times New Roman" w:eastAsia="Calibri" w:hAnsi="Times New Roman"/>
          <w:sz w:val="24"/>
          <w:szCs w:val="24"/>
        </w:rPr>
        <w:t>Türkiye’de Kontrbas Konusunda Yazılmış</w:t>
      </w:r>
      <w:r w:rsidRPr="001F3584">
        <w:rPr>
          <w:rFonts w:ascii="Times New Roman" w:hAnsi="Times New Roman"/>
          <w:sz w:val="24"/>
          <w:szCs w:val="24"/>
        </w:rPr>
        <w:t xml:space="preserve"> Lisansüstü Tezler nelerdir? </w:t>
      </w:r>
      <w:proofErr w:type="gramStart"/>
      <w:r w:rsidRPr="001F3584">
        <w:rPr>
          <w:rFonts w:ascii="Times New Roman" w:hAnsi="Times New Roman"/>
          <w:sz w:val="24"/>
          <w:szCs w:val="24"/>
        </w:rPr>
        <w:t>olarak</w:t>
      </w:r>
      <w:proofErr w:type="gramEnd"/>
      <w:r w:rsidRPr="001F3584">
        <w:rPr>
          <w:rFonts w:ascii="Times New Roman" w:hAnsi="Times New Roman"/>
          <w:sz w:val="24"/>
          <w:szCs w:val="24"/>
        </w:rPr>
        <w:t xml:space="preserve"> belirlenmiştir. Bu doğrultuda araştırmanın alt problemleri şu şekilde oluşturulmuştur:</w:t>
      </w:r>
    </w:p>
    <w:p w:rsidR="00910E71" w:rsidRPr="001F3584" w:rsidRDefault="00910E71" w:rsidP="00025D4F">
      <w:pPr>
        <w:pStyle w:val="ListeParagraf"/>
        <w:spacing w:before="120" w:after="120" w:line="480" w:lineRule="auto"/>
        <w:ind w:left="0" w:firstLine="709"/>
        <w:jc w:val="both"/>
        <w:rPr>
          <w:rFonts w:ascii="Times New Roman" w:hAnsi="Times New Roman"/>
          <w:sz w:val="24"/>
          <w:szCs w:val="24"/>
        </w:rPr>
      </w:pPr>
      <w:r w:rsidRPr="001F3584">
        <w:rPr>
          <w:rFonts w:ascii="Times New Roman" w:eastAsia="Calibri" w:hAnsi="Times New Roman"/>
          <w:sz w:val="24"/>
          <w:szCs w:val="24"/>
        </w:rPr>
        <w:t>Türkiye’de Kontrbas konulu Yazılmış</w:t>
      </w:r>
      <w:r w:rsidRPr="001F3584">
        <w:rPr>
          <w:rFonts w:ascii="Times New Roman" w:hAnsi="Times New Roman"/>
          <w:sz w:val="24"/>
          <w:szCs w:val="24"/>
        </w:rPr>
        <w:t xml:space="preserve"> Lisansüstü Tezler; </w:t>
      </w:r>
    </w:p>
    <w:p w:rsidR="00910E71" w:rsidRPr="001F3584" w:rsidRDefault="00910E71" w:rsidP="00025D4F">
      <w:pPr>
        <w:pStyle w:val="ListeParagraf"/>
        <w:numPr>
          <w:ilvl w:val="0"/>
          <w:numId w:val="9"/>
        </w:numPr>
        <w:spacing w:before="120" w:after="120" w:line="480" w:lineRule="auto"/>
        <w:ind w:left="1276"/>
        <w:jc w:val="both"/>
        <w:rPr>
          <w:rFonts w:ascii="Times New Roman" w:hAnsi="Times New Roman"/>
          <w:sz w:val="24"/>
          <w:szCs w:val="24"/>
        </w:rPr>
      </w:pPr>
      <w:r w:rsidRPr="001F3584">
        <w:rPr>
          <w:rFonts w:ascii="Times New Roman" w:hAnsi="Times New Roman"/>
          <w:sz w:val="24"/>
          <w:szCs w:val="24"/>
        </w:rPr>
        <w:t>Yıllarına ve türlerine göre nasıl bir dağılım göstermektedir?</w:t>
      </w:r>
    </w:p>
    <w:p w:rsidR="00910E71" w:rsidRPr="001F3584" w:rsidRDefault="00910E71" w:rsidP="00025D4F">
      <w:pPr>
        <w:pStyle w:val="ListeParagraf"/>
        <w:numPr>
          <w:ilvl w:val="0"/>
          <w:numId w:val="9"/>
        </w:numPr>
        <w:spacing w:before="120" w:after="120" w:line="480" w:lineRule="auto"/>
        <w:ind w:left="1276"/>
        <w:jc w:val="both"/>
        <w:rPr>
          <w:rFonts w:ascii="Times New Roman" w:hAnsi="Times New Roman"/>
          <w:sz w:val="24"/>
          <w:szCs w:val="24"/>
        </w:rPr>
      </w:pPr>
      <w:r w:rsidRPr="001F3584">
        <w:rPr>
          <w:rFonts w:ascii="Times New Roman" w:hAnsi="Times New Roman"/>
          <w:sz w:val="24"/>
          <w:szCs w:val="24"/>
        </w:rPr>
        <w:t>Yazıldıkları üniversitelere ve enstitülere göre nasıl bir dağılım göstermektedir?</w:t>
      </w:r>
    </w:p>
    <w:p w:rsidR="003C03C5" w:rsidRPr="001F3584" w:rsidRDefault="00910E71" w:rsidP="00025D4F">
      <w:pPr>
        <w:pStyle w:val="ListeParagraf"/>
        <w:numPr>
          <w:ilvl w:val="0"/>
          <w:numId w:val="9"/>
        </w:numPr>
        <w:tabs>
          <w:tab w:val="left" w:pos="709"/>
        </w:tabs>
        <w:spacing w:before="120" w:after="120" w:line="480" w:lineRule="auto"/>
        <w:ind w:left="1276"/>
        <w:jc w:val="both"/>
        <w:rPr>
          <w:rFonts w:ascii="Times New Roman" w:hAnsi="Times New Roman"/>
          <w:sz w:val="24"/>
          <w:szCs w:val="24"/>
        </w:rPr>
      </w:pPr>
      <w:r w:rsidRPr="001F3584">
        <w:rPr>
          <w:rFonts w:ascii="Times New Roman" w:hAnsi="Times New Roman"/>
          <w:sz w:val="24"/>
          <w:szCs w:val="24"/>
        </w:rPr>
        <w:t>Konularına göre nasıl bir dağılım göstermektedir?</w:t>
      </w:r>
      <w:r w:rsidR="003C03C5" w:rsidRPr="001F3584">
        <w:rPr>
          <w:rFonts w:ascii="Times New Roman" w:hAnsi="Times New Roman"/>
          <w:sz w:val="24"/>
          <w:szCs w:val="24"/>
        </w:rPr>
        <w:t xml:space="preserve"> </w:t>
      </w:r>
    </w:p>
    <w:p w:rsidR="003C03C5" w:rsidRPr="001F3584" w:rsidRDefault="003C03C5" w:rsidP="00025D4F">
      <w:pPr>
        <w:spacing w:before="120" w:after="120" w:line="480" w:lineRule="auto"/>
        <w:jc w:val="both"/>
        <w:rPr>
          <w:b/>
        </w:rPr>
      </w:pPr>
      <w:r w:rsidRPr="001F3584">
        <w:rPr>
          <w:b/>
        </w:rPr>
        <w:t>Araştırmanın Amacı</w:t>
      </w:r>
    </w:p>
    <w:p w:rsidR="00910E71" w:rsidRPr="001F3584" w:rsidRDefault="00910E71" w:rsidP="00025D4F">
      <w:pPr>
        <w:spacing w:before="120" w:after="120" w:line="480" w:lineRule="auto"/>
        <w:ind w:firstLine="708"/>
        <w:jc w:val="both"/>
      </w:pPr>
      <w:r w:rsidRPr="001F3584">
        <w:t xml:space="preserve">Bu çalışmada, Türkiye’de kontrbas konusunda yazılmış lisansüstü tezler konu alınmıştır. Bu doğrultuda, lisansüstü tezlerin çeşitli gruplara ayrılarak durum saptaması olarak sunulması amaçlanmıştır. </w:t>
      </w:r>
    </w:p>
    <w:p w:rsidR="003C03C5" w:rsidRPr="001F3584" w:rsidRDefault="003C03C5" w:rsidP="00025D4F">
      <w:pPr>
        <w:spacing w:before="120" w:after="120" w:line="480" w:lineRule="auto"/>
        <w:jc w:val="both"/>
        <w:rPr>
          <w:bCs/>
        </w:rPr>
      </w:pPr>
      <w:r w:rsidRPr="001F3584">
        <w:rPr>
          <w:b/>
        </w:rPr>
        <w:t>Y</w:t>
      </w:r>
      <w:r w:rsidR="00BB29B0" w:rsidRPr="001F3584">
        <w:rPr>
          <w:b/>
        </w:rPr>
        <w:t>öntem</w:t>
      </w:r>
      <w:r w:rsidRPr="001F3584">
        <w:rPr>
          <w:bCs/>
        </w:rPr>
        <w:t xml:space="preserve"> </w:t>
      </w:r>
    </w:p>
    <w:p w:rsidR="00CE5536" w:rsidRPr="003E6573" w:rsidRDefault="00ED77C3" w:rsidP="00304BE5">
      <w:pPr>
        <w:autoSpaceDE w:val="0"/>
        <w:autoSpaceDN w:val="0"/>
        <w:adjustRightInd w:val="0"/>
        <w:spacing w:before="120" w:after="120" w:line="480" w:lineRule="auto"/>
        <w:ind w:firstLine="708"/>
        <w:jc w:val="both"/>
      </w:pPr>
      <w:r>
        <w:rPr>
          <w:b/>
        </w:rPr>
        <w:t>Araştırma Deseni:</w:t>
      </w:r>
      <w:r w:rsidR="0001675F" w:rsidRPr="001F3584">
        <w:t xml:space="preserve"> </w:t>
      </w:r>
      <w:r w:rsidR="00F63E4D" w:rsidRPr="001F3584">
        <w:t>Bu araştırma, Türkiye’de kontrbas konulu yazılmış lisansüstü tezlerin incelenmesi ve değerlendirilmesi bakım</w:t>
      </w:r>
      <w:r w:rsidR="00014377" w:rsidRPr="001F3584">
        <w:t xml:space="preserve">ından betimsel nitelikte olup, </w:t>
      </w:r>
      <w:r w:rsidR="00F63E4D" w:rsidRPr="001F3584">
        <w:t>Genel Tarama Modeli içinde yer almaktadır.</w:t>
      </w:r>
      <w:r w:rsidR="00014377" w:rsidRPr="001F3584">
        <w:tab/>
      </w:r>
    </w:p>
    <w:p w:rsidR="00F63E4D" w:rsidRPr="001F3584" w:rsidRDefault="00F63E4D" w:rsidP="00304BE5">
      <w:pPr>
        <w:autoSpaceDE w:val="0"/>
        <w:autoSpaceDN w:val="0"/>
        <w:adjustRightInd w:val="0"/>
        <w:spacing w:before="120" w:after="120" w:line="480" w:lineRule="auto"/>
        <w:ind w:firstLine="708"/>
        <w:jc w:val="both"/>
      </w:pPr>
      <w:r w:rsidRPr="001F3584">
        <w:rPr>
          <w:b/>
        </w:rPr>
        <w:t>Evren ve Örneklem</w:t>
      </w:r>
      <w:r w:rsidR="00ED77C3">
        <w:rPr>
          <w:b/>
        </w:rPr>
        <w:t>:</w:t>
      </w:r>
      <w:r w:rsidR="0001675F" w:rsidRPr="001F3584">
        <w:t xml:space="preserve"> </w:t>
      </w:r>
      <w:r w:rsidR="00ED77C3">
        <w:t>A</w:t>
      </w:r>
      <w:r w:rsidRPr="001F3584">
        <w:t xml:space="preserve">raştırmanın evrenini; T.C. Yüksek Öğretim Kurulu Ulusal Tez Merkezi veri tabanında </w:t>
      </w:r>
      <w:r w:rsidR="00ED77C3">
        <w:t>kontrbas</w:t>
      </w:r>
      <w:r w:rsidRPr="001F3584">
        <w:t xml:space="preserve"> konusunda yayınlanmış tüm lisansüstü tezler oluşturmaktadır. Araştırmada evrenin tümüne ulaşıldığı için evren ve örneklem bir tutulmuştur. </w:t>
      </w:r>
    </w:p>
    <w:p w:rsidR="00ED77C3" w:rsidRDefault="00F63E4D" w:rsidP="00304BE5">
      <w:pPr>
        <w:autoSpaceDE w:val="0"/>
        <w:autoSpaceDN w:val="0"/>
        <w:adjustRightInd w:val="0"/>
        <w:spacing w:before="120" w:after="120" w:line="480" w:lineRule="auto"/>
        <w:ind w:firstLine="708"/>
        <w:jc w:val="both"/>
      </w:pPr>
      <w:r w:rsidRPr="001F3584">
        <w:rPr>
          <w:b/>
        </w:rPr>
        <w:lastRenderedPageBreak/>
        <w:t>Verilerin toplanması</w:t>
      </w:r>
      <w:r w:rsidR="00ED77C3">
        <w:rPr>
          <w:b/>
        </w:rPr>
        <w:t>:</w:t>
      </w:r>
      <w:r w:rsidR="0001675F" w:rsidRPr="001F3584">
        <w:rPr>
          <w:b/>
        </w:rPr>
        <w:t xml:space="preserve"> </w:t>
      </w:r>
      <w:r w:rsidRPr="001F3584">
        <w:t>1987 tarihinden 2017 yılı Haziran ayına kadar, Türkiye’de yazılmış kontrbas konulu lisansüstü tezler ile ilgili</w:t>
      </w:r>
      <w:r w:rsidR="00894980" w:rsidRPr="001F3584">
        <w:t xml:space="preserve"> veriler internet aracılığıyla </w:t>
      </w:r>
      <w:r w:rsidRPr="00313C5E">
        <w:t>Yök Ulusal Tez</w:t>
      </w:r>
      <w:r w:rsidRPr="00ED77C3">
        <w:t xml:space="preserve"> Merkezi</w:t>
      </w:r>
      <w:r w:rsidR="00894980" w:rsidRPr="001F3584">
        <w:t xml:space="preserve"> </w:t>
      </w:r>
      <w:r w:rsidRPr="001F3584">
        <w:t xml:space="preserve">vasıtasıyla toplanmıştır. </w:t>
      </w:r>
      <w:r w:rsidR="00894980" w:rsidRPr="001F3584">
        <w:t>Erişime</w:t>
      </w:r>
      <w:r w:rsidRPr="001F3584">
        <w:t xml:space="preserve"> açık olan tüm tezler bilgisayara indirilerek arşivlenmiş, erişime açık olmayan tezler için tez yazarları ile iletişim sağlanarak tezlerin bilgisayar ortamında ulaşımı sağlanmış ve kayıt altına alınmıştır. </w:t>
      </w:r>
    </w:p>
    <w:p w:rsidR="00EE2EE6" w:rsidRPr="001F3584" w:rsidRDefault="00A2039E" w:rsidP="00304BE5">
      <w:pPr>
        <w:autoSpaceDE w:val="0"/>
        <w:autoSpaceDN w:val="0"/>
        <w:adjustRightInd w:val="0"/>
        <w:spacing w:before="120" w:after="120" w:line="480" w:lineRule="auto"/>
        <w:ind w:firstLine="708"/>
        <w:jc w:val="both"/>
      </w:pPr>
      <w:proofErr w:type="gramStart"/>
      <w:r w:rsidRPr="001F3584">
        <w:rPr>
          <w:b/>
        </w:rPr>
        <w:t>Verilerin a</w:t>
      </w:r>
      <w:r w:rsidR="00ED77C3">
        <w:rPr>
          <w:b/>
        </w:rPr>
        <w:t>nalizi:</w:t>
      </w:r>
      <w:r w:rsidR="00AD742E">
        <w:t xml:space="preserve"> </w:t>
      </w:r>
      <w:r w:rsidR="00F63E4D" w:rsidRPr="001F3584">
        <w:t>Araştırmada 1987 yılından 2017 yılına kadar kontrbas konusunda yazılmış tüm lisansüstü tezlere ilişkin veriler toplanmış ve alt problemler</w:t>
      </w:r>
      <w:r w:rsidR="00894980" w:rsidRPr="001F3584">
        <w:t xml:space="preserve"> doğrultusunda </w:t>
      </w:r>
      <w:r w:rsidR="00F63E4D" w:rsidRPr="00313C5E">
        <w:t>Microsoft Office Professional Plus 2013</w:t>
      </w:r>
      <w:r w:rsidR="00894980" w:rsidRPr="00313C5E">
        <w:t xml:space="preserve"> </w:t>
      </w:r>
      <w:r w:rsidR="00894980" w:rsidRPr="001F3584">
        <w:t xml:space="preserve">paket programına ait </w:t>
      </w:r>
      <w:r w:rsidR="00F63E4D" w:rsidRPr="00313C5E">
        <w:t xml:space="preserve">Excel </w:t>
      </w:r>
      <w:r w:rsidR="00F63E4D" w:rsidRPr="001F3584">
        <w:t>programıyla önce grafik tabloları halinde sunulmuş, genel tablolar haline dönüştürülerek değerlendirilmiş, daha sonra yüzde (%) frekans (f) tablolarına dönüştürülmüş ve yorumlanmıştır.</w:t>
      </w:r>
      <w:proofErr w:type="gramEnd"/>
    </w:p>
    <w:p w:rsidR="003C03C5" w:rsidRPr="001F3584" w:rsidRDefault="003C03C5" w:rsidP="00025D4F">
      <w:pPr>
        <w:tabs>
          <w:tab w:val="left" w:pos="9072"/>
        </w:tabs>
        <w:spacing w:before="120" w:after="120" w:line="480" w:lineRule="auto"/>
        <w:jc w:val="both"/>
        <w:rPr>
          <w:b/>
          <w:lang w:eastAsia="en-US"/>
        </w:rPr>
      </w:pPr>
      <w:r w:rsidRPr="001F3584">
        <w:rPr>
          <w:b/>
          <w:lang w:eastAsia="en-US"/>
        </w:rPr>
        <w:t>B</w:t>
      </w:r>
      <w:r w:rsidR="00BB29B0" w:rsidRPr="001F3584">
        <w:rPr>
          <w:b/>
          <w:lang w:eastAsia="en-US"/>
        </w:rPr>
        <w:t>ulgular</w:t>
      </w:r>
    </w:p>
    <w:p w:rsidR="001E01BC" w:rsidRPr="001F3584" w:rsidRDefault="001E01BC" w:rsidP="00025D4F">
      <w:pPr>
        <w:pStyle w:val="ListeParagraf"/>
        <w:spacing w:before="120" w:after="120" w:line="480" w:lineRule="auto"/>
        <w:ind w:left="0" w:firstLine="720"/>
        <w:contextualSpacing w:val="0"/>
        <w:jc w:val="both"/>
        <w:rPr>
          <w:rFonts w:ascii="Times New Roman" w:hAnsi="Times New Roman"/>
          <w:sz w:val="18"/>
          <w:szCs w:val="18"/>
          <w:shd w:val="clear" w:color="auto" w:fill="FFFFFF"/>
        </w:rPr>
      </w:pPr>
      <w:bookmarkStart w:id="1" w:name="_Toc487724138"/>
      <w:r w:rsidRPr="001F3584">
        <w:rPr>
          <w:rFonts w:ascii="Times New Roman" w:hAnsi="Times New Roman"/>
          <w:sz w:val="24"/>
          <w:szCs w:val="18"/>
          <w:shd w:val="clear" w:color="auto" w:fill="FFFFFF"/>
        </w:rPr>
        <w:t>Araştırmanın birinci alt problemi doğrultusunda Grafik 1’de ve Tablo 1’de Türkiye’de kontrbas konusunda yazılmış lisansüstü tezlerin yıllara ve türlerine göre dağılımına yer verilmiştir. Bu doğrultuda tablo ve grafiklerin yorumları yapılmıştır.</w:t>
      </w:r>
    </w:p>
    <w:p w:rsidR="001E01BC" w:rsidRPr="005B1229" w:rsidRDefault="001E01BC" w:rsidP="00025D4F">
      <w:pPr>
        <w:pStyle w:val="ResimYazs"/>
        <w:spacing w:before="120" w:after="120"/>
        <w:jc w:val="center"/>
        <w:rPr>
          <w:rFonts w:ascii="Times New Roman" w:hAnsi="Times New Roman" w:cs="Times New Roman"/>
          <w:b/>
          <w:bCs/>
          <w:color w:val="auto"/>
          <w:sz w:val="24"/>
          <w:szCs w:val="24"/>
          <w:lang w:val="tr-TR"/>
        </w:rPr>
      </w:pPr>
      <w:r w:rsidRPr="00313C5E">
        <w:rPr>
          <w:rFonts w:ascii="Times New Roman" w:hAnsi="Times New Roman" w:cs="Times New Roman"/>
          <w:i w:val="0"/>
          <w:color w:val="auto"/>
          <w:sz w:val="24"/>
          <w:szCs w:val="24"/>
          <w:lang w:val="tr-TR"/>
        </w:rPr>
        <w:t xml:space="preserve">Grafik </w:t>
      </w:r>
      <w:r w:rsidR="00AE1C09" w:rsidRPr="00313C5E">
        <w:rPr>
          <w:rFonts w:ascii="Times New Roman" w:hAnsi="Times New Roman" w:cs="Times New Roman"/>
          <w:i w:val="0"/>
          <w:color w:val="auto"/>
          <w:sz w:val="24"/>
          <w:szCs w:val="24"/>
          <w:lang w:val="tr-TR"/>
        </w:rPr>
        <w:fldChar w:fldCharType="begin"/>
      </w:r>
      <w:r w:rsidRPr="00313C5E">
        <w:rPr>
          <w:rFonts w:ascii="Times New Roman" w:hAnsi="Times New Roman" w:cs="Times New Roman"/>
          <w:i w:val="0"/>
          <w:color w:val="auto"/>
          <w:sz w:val="24"/>
          <w:szCs w:val="24"/>
          <w:lang w:val="tr-TR"/>
        </w:rPr>
        <w:instrText xml:space="preserve"> SEQ Grafik \* ARABIC </w:instrText>
      </w:r>
      <w:r w:rsidR="00AE1C09" w:rsidRPr="00313C5E">
        <w:rPr>
          <w:rFonts w:ascii="Times New Roman" w:hAnsi="Times New Roman" w:cs="Times New Roman"/>
          <w:i w:val="0"/>
          <w:color w:val="auto"/>
          <w:sz w:val="24"/>
          <w:szCs w:val="24"/>
          <w:lang w:val="tr-TR"/>
        </w:rPr>
        <w:fldChar w:fldCharType="separate"/>
      </w:r>
      <w:r w:rsidR="00CF701E">
        <w:rPr>
          <w:rFonts w:ascii="Times New Roman" w:hAnsi="Times New Roman" w:cs="Times New Roman"/>
          <w:i w:val="0"/>
          <w:noProof/>
          <w:color w:val="auto"/>
          <w:sz w:val="24"/>
          <w:szCs w:val="24"/>
          <w:lang w:val="tr-TR"/>
        </w:rPr>
        <w:t>1</w:t>
      </w:r>
      <w:r w:rsidR="00AE1C09" w:rsidRPr="00313C5E">
        <w:rPr>
          <w:rFonts w:ascii="Times New Roman" w:hAnsi="Times New Roman" w:cs="Times New Roman"/>
          <w:i w:val="0"/>
          <w:noProof/>
          <w:color w:val="auto"/>
          <w:sz w:val="24"/>
          <w:szCs w:val="24"/>
          <w:lang w:val="tr-TR"/>
        </w:rPr>
        <w:fldChar w:fldCharType="end"/>
      </w:r>
      <w:r w:rsidRPr="00313C5E">
        <w:rPr>
          <w:rFonts w:ascii="Times New Roman" w:hAnsi="Times New Roman" w:cs="Times New Roman"/>
          <w:i w:val="0"/>
          <w:noProof/>
          <w:color w:val="auto"/>
          <w:sz w:val="24"/>
          <w:szCs w:val="24"/>
          <w:lang w:val="tr-TR"/>
        </w:rPr>
        <w:t>.</w:t>
      </w:r>
      <w:r w:rsidRPr="00313C5E">
        <w:rPr>
          <w:rFonts w:ascii="Times New Roman" w:hAnsi="Times New Roman" w:cs="Times New Roman"/>
          <w:i w:val="0"/>
          <w:color w:val="auto"/>
          <w:sz w:val="24"/>
          <w:szCs w:val="24"/>
          <w:lang w:val="tr-TR"/>
        </w:rPr>
        <w:t xml:space="preserve"> </w:t>
      </w:r>
      <w:r w:rsidRPr="005B1229">
        <w:rPr>
          <w:rFonts w:ascii="Times New Roman" w:hAnsi="Times New Roman" w:cs="Times New Roman"/>
          <w:color w:val="auto"/>
          <w:sz w:val="24"/>
          <w:szCs w:val="24"/>
          <w:lang w:val="tr-TR"/>
        </w:rPr>
        <w:t>Yıllara ve Türlerine Göre Lisansüstü Tezlerin Dağılımına İlişkin Grafik Tablosu</w:t>
      </w:r>
      <w:bookmarkEnd w:id="1"/>
    </w:p>
    <w:p w:rsidR="001E01BC" w:rsidRPr="001F3584" w:rsidRDefault="001E01BC" w:rsidP="00025D4F">
      <w:pPr>
        <w:spacing w:before="120" w:after="120"/>
        <w:jc w:val="center"/>
      </w:pPr>
    </w:p>
    <w:p w:rsidR="001E01BC" w:rsidRPr="001F3584" w:rsidRDefault="00DF0259" w:rsidP="00025D4F">
      <w:pPr>
        <w:pStyle w:val="ResimYazs"/>
        <w:keepNext/>
        <w:spacing w:before="120" w:after="120"/>
        <w:jc w:val="center"/>
        <w:rPr>
          <w:rFonts w:ascii="Times New Roman" w:hAnsi="Times New Roman" w:cs="Times New Roman"/>
          <w:color w:val="auto"/>
          <w:szCs w:val="22"/>
          <w:lang w:val="tr-TR"/>
        </w:rPr>
      </w:pPr>
      <w:bookmarkStart w:id="2" w:name="_Toc487720425"/>
      <w:r w:rsidRPr="001F3584">
        <w:rPr>
          <w:noProof/>
          <w:lang w:val="tr-TR" w:eastAsia="tr-TR"/>
        </w:rPr>
        <w:drawing>
          <wp:inline distT="0" distB="0" distL="0" distR="0">
            <wp:extent cx="4727275" cy="1992702"/>
            <wp:effectExtent l="0" t="0" r="0" b="762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A6A6D" w:rsidRDefault="007A6A6D" w:rsidP="00025D4F">
      <w:pPr>
        <w:pStyle w:val="ResimYazs"/>
        <w:keepNext/>
        <w:spacing w:before="120" w:after="120"/>
        <w:jc w:val="center"/>
        <w:rPr>
          <w:rFonts w:ascii="Times New Roman" w:hAnsi="Times New Roman" w:cs="Times New Roman"/>
          <w:i w:val="0"/>
          <w:color w:val="auto"/>
          <w:sz w:val="24"/>
          <w:szCs w:val="24"/>
          <w:lang w:val="tr-TR"/>
        </w:rPr>
      </w:pPr>
    </w:p>
    <w:p w:rsidR="007A6A6D" w:rsidRDefault="007A6A6D" w:rsidP="00025D4F">
      <w:pPr>
        <w:pStyle w:val="ResimYazs"/>
        <w:keepNext/>
        <w:spacing w:before="120" w:after="120"/>
        <w:jc w:val="center"/>
        <w:rPr>
          <w:rFonts w:ascii="Times New Roman" w:hAnsi="Times New Roman" w:cs="Times New Roman"/>
          <w:i w:val="0"/>
          <w:color w:val="auto"/>
          <w:sz w:val="24"/>
          <w:szCs w:val="24"/>
          <w:lang w:val="tr-TR"/>
        </w:rPr>
      </w:pPr>
    </w:p>
    <w:p w:rsidR="007A6A6D" w:rsidRPr="007A6A6D" w:rsidRDefault="007A6A6D" w:rsidP="007A6A6D">
      <w:pPr>
        <w:rPr>
          <w:lang w:eastAsia="en-US"/>
        </w:rPr>
      </w:pPr>
    </w:p>
    <w:p w:rsidR="001E01BC" w:rsidRPr="00313C5E" w:rsidRDefault="001E01BC" w:rsidP="00025D4F">
      <w:pPr>
        <w:pStyle w:val="ResimYazs"/>
        <w:keepNext/>
        <w:spacing w:before="120" w:after="120"/>
        <w:jc w:val="center"/>
        <w:rPr>
          <w:rFonts w:ascii="Times New Roman" w:hAnsi="Times New Roman" w:cs="Times New Roman"/>
          <w:i w:val="0"/>
          <w:color w:val="auto"/>
          <w:sz w:val="24"/>
          <w:szCs w:val="24"/>
          <w:lang w:val="tr-TR"/>
        </w:rPr>
      </w:pPr>
      <w:r w:rsidRPr="00313C5E">
        <w:rPr>
          <w:rFonts w:ascii="Times New Roman" w:hAnsi="Times New Roman" w:cs="Times New Roman"/>
          <w:i w:val="0"/>
          <w:color w:val="auto"/>
          <w:sz w:val="24"/>
          <w:szCs w:val="24"/>
          <w:lang w:val="tr-TR"/>
        </w:rPr>
        <w:lastRenderedPageBreak/>
        <w:t xml:space="preserve">Tablo </w:t>
      </w:r>
      <w:r w:rsidR="00AE1C09" w:rsidRPr="00313C5E">
        <w:rPr>
          <w:rFonts w:ascii="Times New Roman" w:hAnsi="Times New Roman" w:cs="Times New Roman"/>
          <w:i w:val="0"/>
          <w:color w:val="auto"/>
          <w:sz w:val="24"/>
          <w:szCs w:val="24"/>
          <w:lang w:val="tr-TR"/>
        </w:rPr>
        <w:fldChar w:fldCharType="begin"/>
      </w:r>
      <w:r w:rsidRPr="00313C5E">
        <w:rPr>
          <w:rFonts w:ascii="Times New Roman" w:hAnsi="Times New Roman" w:cs="Times New Roman"/>
          <w:i w:val="0"/>
          <w:color w:val="auto"/>
          <w:sz w:val="24"/>
          <w:szCs w:val="24"/>
          <w:lang w:val="tr-TR"/>
        </w:rPr>
        <w:instrText xml:space="preserve"> SEQ Tablo \* ARABIC </w:instrText>
      </w:r>
      <w:r w:rsidR="00AE1C09" w:rsidRPr="00313C5E">
        <w:rPr>
          <w:rFonts w:ascii="Times New Roman" w:hAnsi="Times New Roman" w:cs="Times New Roman"/>
          <w:i w:val="0"/>
          <w:color w:val="auto"/>
          <w:sz w:val="24"/>
          <w:szCs w:val="24"/>
          <w:lang w:val="tr-TR"/>
        </w:rPr>
        <w:fldChar w:fldCharType="separate"/>
      </w:r>
      <w:r w:rsidR="00CF701E">
        <w:rPr>
          <w:rFonts w:ascii="Times New Roman" w:hAnsi="Times New Roman" w:cs="Times New Roman"/>
          <w:i w:val="0"/>
          <w:noProof/>
          <w:color w:val="auto"/>
          <w:sz w:val="24"/>
          <w:szCs w:val="24"/>
          <w:lang w:val="tr-TR"/>
        </w:rPr>
        <w:t>1</w:t>
      </w:r>
      <w:r w:rsidR="00AE1C09" w:rsidRPr="00313C5E">
        <w:rPr>
          <w:rFonts w:ascii="Times New Roman" w:hAnsi="Times New Roman" w:cs="Times New Roman"/>
          <w:i w:val="0"/>
          <w:color w:val="auto"/>
          <w:sz w:val="24"/>
          <w:szCs w:val="24"/>
          <w:lang w:val="tr-TR"/>
        </w:rPr>
        <w:fldChar w:fldCharType="end"/>
      </w:r>
      <w:r w:rsidRPr="00313C5E">
        <w:rPr>
          <w:rFonts w:ascii="Times New Roman" w:hAnsi="Times New Roman" w:cs="Times New Roman"/>
          <w:i w:val="0"/>
          <w:color w:val="auto"/>
          <w:sz w:val="24"/>
          <w:szCs w:val="24"/>
          <w:lang w:val="tr-TR"/>
        </w:rPr>
        <w:t xml:space="preserve">. </w:t>
      </w:r>
      <w:r w:rsidRPr="005B1229">
        <w:rPr>
          <w:rFonts w:ascii="Times New Roman" w:hAnsi="Times New Roman" w:cs="Times New Roman"/>
          <w:color w:val="auto"/>
          <w:sz w:val="24"/>
          <w:szCs w:val="24"/>
          <w:lang w:val="tr-TR"/>
        </w:rPr>
        <w:t>Türkiye’de Kontrbas Konulu Yazılmış Lisansüstü Tezlerin Yıllara ve Türlerine Göre Dağılımı</w:t>
      </w:r>
      <w:bookmarkEnd w:id="2"/>
    </w:p>
    <w:tbl>
      <w:tblPr>
        <w:tblStyle w:val="KlavuzTablo2-Vurgu51"/>
        <w:tblW w:w="8261" w:type="dxa"/>
        <w:jc w:val="center"/>
        <w:tblLook w:val="04A0"/>
      </w:tblPr>
      <w:tblGrid>
        <w:gridCol w:w="927"/>
        <w:gridCol w:w="5963"/>
        <w:gridCol w:w="1473"/>
      </w:tblGrid>
      <w:tr w:rsidR="001E01BC" w:rsidRPr="001F3584" w:rsidTr="00CE773E">
        <w:trPr>
          <w:cnfStyle w:val="100000000000"/>
          <w:trHeight w:val="513"/>
          <w:jc w:val="center"/>
        </w:trPr>
        <w:tc>
          <w:tcPr>
            <w:cnfStyle w:val="001000000000"/>
            <w:tcW w:w="927" w:type="dxa"/>
            <w:noWrap/>
            <w:hideMark/>
          </w:tcPr>
          <w:p w:rsidR="001E01BC" w:rsidRPr="001F3584" w:rsidRDefault="001E01BC" w:rsidP="00025D4F">
            <w:pPr>
              <w:spacing w:before="120" w:after="120"/>
              <w:jc w:val="center"/>
              <w:rPr>
                <w:b w:val="0"/>
                <w:bCs w:val="0"/>
                <w:sz w:val="20"/>
                <w:szCs w:val="20"/>
              </w:rPr>
            </w:pPr>
            <w:r w:rsidRPr="001F3584">
              <w:rPr>
                <w:sz w:val="20"/>
                <w:szCs w:val="20"/>
              </w:rPr>
              <w:t>YIL</w:t>
            </w:r>
          </w:p>
        </w:tc>
        <w:tc>
          <w:tcPr>
            <w:tcW w:w="5963" w:type="dxa"/>
            <w:hideMark/>
          </w:tcPr>
          <w:p w:rsidR="001E01BC" w:rsidRPr="001F3584" w:rsidRDefault="001E01BC" w:rsidP="00025D4F">
            <w:pPr>
              <w:spacing w:before="120" w:after="120"/>
              <w:jc w:val="center"/>
              <w:cnfStyle w:val="100000000000"/>
              <w:rPr>
                <w:b w:val="0"/>
                <w:bCs w:val="0"/>
                <w:sz w:val="20"/>
                <w:szCs w:val="20"/>
              </w:rPr>
            </w:pPr>
            <w:r w:rsidRPr="001F3584">
              <w:rPr>
                <w:sz w:val="20"/>
                <w:szCs w:val="20"/>
              </w:rPr>
              <w:t>KONU</w:t>
            </w:r>
          </w:p>
        </w:tc>
        <w:tc>
          <w:tcPr>
            <w:tcW w:w="1371" w:type="dxa"/>
            <w:hideMark/>
          </w:tcPr>
          <w:p w:rsidR="001E01BC" w:rsidRPr="001F3584" w:rsidRDefault="001E01BC" w:rsidP="00025D4F">
            <w:pPr>
              <w:spacing w:before="120" w:after="120"/>
              <w:jc w:val="center"/>
              <w:cnfStyle w:val="100000000000"/>
              <w:rPr>
                <w:b w:val="0"/>
                <w:bCs w:val="0"/>
                <w:sz w:val="20"/>
                <w:szCs w:val="20"/>
              </w:rPr>
            </w:pPr>
            <w:r w:rsidRPr="001F3584">
              <w:rPr>
                <w:sz w:val="20"/>
                <w:szCs w:val="20"/>
              </w:rPr>
              <w:t>LİSANSÜSTÜ PROGRAMI</w:t>
            </w:r>
          </w:p>
        </w:tc>
      </w:tr>
      <w:tr w:rsidR="001E01BC" w:rsidRPr="001F3584" w:rsidTr="00CE773E">
        <w:trPr>
          <w:cnfStyle w:val="000000100000"/>
          <w:trHeight w:val="507"/>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2002</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Kontrbasın Tarihsel Gelişiminde Giovanni Bottesini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Sanatta Yeterlilik</w:t>
            </w:r>
          </w:p>
        </w:tc>
      </w:tr>
      <w:tr w:rsidR="001E01BC" w:rsidRPr="001F3584" w:rsidTr="00CE773E">
        <w:trPr>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2004</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Kontrbas Dersi Uygulamalarının Hedefler Düzeyinde İncelenmesi: Bir Taslak Önerisi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2005</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Kontrbas Tekniğinde Alman ve Fransız Tekniklerinin Karşılaştırılması</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2005</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Türkiye'deki Anadolu Güzel Sanatlar Liseleri'ndeki Kontrabas Eğitiminin İncelenmesi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2006</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Solo Kontrbasın Öncüsü Domenico Carlo Maria Dragonetti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2006</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Kontrbasistlerde Kas İskelet Sistemi Rahatsızlıkları ve Önleme Yöntemleri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2006</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Kontrabas'ın Yapısı Ve Tarihsel Gelişimi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2006</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Serge Alexandrovich Koussevitzky Op.3 Kontrabas Konçertosunun İncelenmesi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2008</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Kontrbas Repertuvarında Uyarlamaların Yeri ve Önemi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253"/>
          <w:jc w:val="center"/>
        </w:trPr>
        <w:tc>
          <w:tcPr>
            <w:cnfStyle w:val="001000000000"/>
            <w:tcW w:w="927" w:type="dxa"/>
            <w:noWrap/>
            <w:hideMark/>
          </w:tcPr>
          <w:p w:rsidR="001E01BC" w:rsidRPr="001F3584" w:rsidRDefault="001E01BC" w:rsidP="00025D4F">
            <w:pPr>
              <w:spacing w:before="120" w:after="120"/>
              <w:jc w:val="center"/>
              <w:rPr>
                <w:b w:val="0"/>
                <w:sz w:val="20"/>
                <w:szCs w:val="20"/>
              </w:rPr>
            </w:pPr>
            <w:r w:rsidRPr="001F3584">
              <w:rPr>
                <w:sz w:val="20"/>
                <w:szCs w:val="20"/>
              </w:rPr>
              <w:t>2008</w:t>
            </w:r>
          </w:p>
        </w:tc>
        <w:tc>
          <w:tcPr>
            <w:tcW w:w="5963" w:type="dxa"/>
            <w:noWrap/>
            <w:hideMark/>
          </w:tcPr>
          <w:p w:rsidR="001E01BC" w:rsidRPr="001F3584" w:rsidRDefault="001E01BC" w:rsidP="00025D4F">
            <w:pPr>
              <w:spacing w:before="120" w:after="120"/>
              <w:cnfStyle w:val="000000000000"/>
              <w:rPr>
                <w:sz w:val="20"/>
                <w:szCs w:val="20"/>
              </w:rPr>
            </w:pPr>
            <w:r w:rsidRPr="001F3584">
              <w:rPr>
                <w:sz w:val="20"/>
                <w:szCs w:val="20"/>
              </w:rPr>
              <w:t>Giovanni Bottesinni Si Minör Konçertosunun Form Analiz Ve İcra Yönünden İncelenmesi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507"/>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2009</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Konservatuvarlarda Verilmekte Olan Kontrbas Eğitiminde Çağdaş Türk Kontrbas Müziği Eserlerinin Yeri ve Önemi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507"/>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2010</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Kontrbasın İcrasında Yeni Sol El Teknikleri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Sanatta Yeterlilik</w:t>
            </w:r>
          </w:p>
        </w:tc>
      </w:tr>
      <w:tr w:rsidR="001E01BC" w:rsidRPr="001F3584" w:rsidTr="00CE773E">
        <w:trPr>
          <w:cnfStyle w:val="000000100000"/>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2011</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Orkestranın Evrim Sürecinde Kontrbasın İşlevsel Gelişimi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507"/>
          <w:jc w:val="center"/>
        </w:trPr>
        <w:tc>
          <w:tcPr>
            <w:cnfStyle w:val="001000000000"/>
            <w:tcW w:w="927" w:type="dxa"/>
            <w:noWrap/>
            <w:hideMark/>
          </w:tcPr>
          <w:p w:rsidR="001E01BC" w:rsidRPr="001F3584" w:rsidRDefault="001E01BC" w:rsidP="00025D4F">
            <w:pPr>
              <w:spacing w:before="120" w:after="120"/>
              <w:jc w:val="center"/>
              <w:rPr>
                <w:b w:val="0"/>
                <w:sz w:val="20"/>
                <w:szCs w:val="20"/>
              </w:rPr>
            </w:pPr>
            <w:r w:rsidRPr="001F3584">
              <w:rPr>
                <w:sz w:val="20"/>
                <w:szCs w:val="20"/>
              </w:rPr>
              <w:t>2011</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Giovanni Bottesinni'nin "Si Minör Kontrabas Konçertosu"nun Teknik Ve Yorum Açısından İncelenmesi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507"/>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2011</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Domenico Carlo Maria Dragonetti’nin La Majör Kontrbas Konçertosunun Formal Analiz ve İcra Açısından İncelenmesi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2012</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Kontrbas Tutuş ve Çalış Tekniklerinin Ses Üzerindeki Etkileri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Doktora</w:t>
            </w:r>
          </w:p>
        </w:tc>
      </w:tr>
      <w:tr w:rsidR="001E01BC" w:rsidRPr="001F3584" w:rsidTr="00CE773E">
        <w:trPr>
          <w:cnfStyle w:val="000000100000"/>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2012</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Viyana Klasik Döneminde Kontrbas Çalgısının Yeri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2012</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Domenico Dragonetti La Majör Kontrabas Konçertosu'nun İncelenmesi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253"/>
          <w:jc w:val="center"/>
        </w:trPr>
        <w:tc>
          <w:tcPr>
            <w:cnfStyle w:val="001000000000"/>
            <w:tcW w:w="927" w:type="dxa"/>
            <w:noWrap/>
            <w:hideMark/>
          </w:tcPr>
          <w:p w:rsidR="001E01BC" w:rsidRPr="001F3584" w:rsidRDefault="001E01BC" w:rsidP="00025D4F">
            <w:pPr>
              <w:spacing w:before="120" w:after="120"/>
              <w:jc w:val="center"/>
              <w:rPr>
                <w:b w:val="0"/>
                <w:sz w:val="20"/>
                <w:szCs w:val="20"/>
              </w:rPr>
            </w:pPr>
            <w:r w:rsidRPr="001F3584">
              <w:rPr>
                <w:sz w:val="20"/>
                <w:szCs w:val="20"/>
              </w:rPr>
              <w:t>2012</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Solo Kontrabasın Gelişim Süreci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2013</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Edouard Nanny Kontrbas Etüt Kitabının Tekniksel Analizi</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2014</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Paul Hindemith Kontrbas Sonatının Analizi</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lastRenderedPageBreak/>
              <w:t>2014</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Carl Ditters Von Dittersdorf'un 2 Nolu Mi Majör Kontrabas Konçertosu</w:t>
            </w:r>
          </w:p>
        </w:tc>
        <w:tc>
          <w:tcPr>
            <w:tcW w:w="1371" w:type="dxa"/>
            <w:hideMark/>
          </w:tcPr>
          <w:p w:rsidR="001E01BC" w:rsidRPr="001F3584" w:rsidRDefault="001E01BC" w:rsidP="00025D4F">
            <w:pPr>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25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2014</w:t>
            </w:r>
          </w:p>
        </w:tc>
        <w:tc>
          <w:tcPr>
            <w:tcW w:w="5963" w:type="dxa"/>
            <w:hideMark/>
          </w:tcPr>
          <w:p w:rsidR="001E01BC" w:rsidRPr="001F3584" w:rsidRDefault="001E01BC" w:rsidP="00025D4F">
            <w:pPr>
              <w:spacing w:before="120" w:after="120"/>
              <w:cnfStyle w:val="000000100000"/>
              <w:rPr>
                <w:sz w:val="20"/>
                <w:szCs w:val="20"/>
              </w:rPr>
            </w:pPr>
            <w:r w:rsidRPr="001F3584">
              <w:rPr>
                <w:sz w:val="20"/>
                <w:szCs w:val="20"/>
              </w:rPr>
              <w:t>Cumhuriyet Dönemi Sonrası Türk Müziği Kontrabas İcracıları</w:t>
            </w:r>
          </w:p>
        </w:tc>
        <w:tc>
          <w:tcPr>
            <w:tcW w:w="1371" w:type="dxa"/>
            <w:hideMark/>
          </w:tcPr>
          <w:p w:rsidR="001E01BC" w:rsidRPr="001F3584" w:rsidRDefault="001E01BC" w:rsidP="00025D4F">
            <w:pPr>
              <w:spacing w:before="120" w:after="120"/>
              <w:jc w:val="center"/>
              <w:cnfStyle w:val="000000100000"/>
              <w:rPr>
                <w:sz w:val="20"/>
                <w:szCs w:val="20"/>
              </w:rPr>
            </w:pPr>
            <w:r w:rsidRPr="001F3584">
              <w:rPr>
                <w:sz w:val="20"/>
                <w:szCs w:val="20"/>
              </w:rPr>
              <w:t>Yüksek Lisans</w:t>
            </w:r>
          </w:p>
        </w:tc>
      </w:tr>
      <w:tr w:rsidR="001E01BC" w:rsidRPr="001F3584" w:rsidTr="00CE773E">
        <w:trPr>
          <w:trHeight w:val="513"/>
          <w:jc w:val="center"/>
        </w:trPr>
        <w:tc>
          <w:tcPr>
            <w:cnfStyle w:val="001000000000"/>
            <w:tcW w:w="927" w:type="dxa"/>
            <w:hideMark/>
          </w:tcPr>
          <w:p w:rsidR="001E01BC" w:rsidRPr="001F3584" w:rsidRDefault="001E01BC" w:rsidP="00025D4F">
            <w:pPr>
              <w:spacing w:before="120" w:after="120"/>
              <w:jc w:val="center"/>
              <w:rPr>
                <w:b w:val="0"/>
                <w:sz w:val="20"/>
                <w:szCs w:val="20"/>
              </w:rPr>
            </w:pPr>
            <w:r w:rsidRPr="001F3584">
              <w:rPr>
                <w:sz w:val="20"/>
                <w:szCs w:val="20"/>
              </w:rPr>
              <w:t>2015</w:t>
            </w:r>
          </w:p>
        </w:tc>
        <w:tc>
          <w:tcPr>
            <w:tcW w:w="5963" w:type="dxa"/>
            <w:hideMark/>
          </w:tcPr>
          <w:p w:rsidR="001E01BC" w:rsidRPr="001F3584" w:rsidRDefault="001E01BC" w:rsidP="00025D4F">
            <w:pPr>
              <w:spacing w:before="120" w:after="120"/>
              <w:cnfStyle w:val="000000000000"/>
              <w:rPr>
                <w:sz w:val="20"/>
                <w:szCs w:val="20"/>
              </w:rPr>
            </w:pPr>
            <w:r w:rsidRPr="001F3584">
              <w:rPr>
                <w:sz w:val="20"/>
                <w:szCs w:val="20"/>
              </w:rPr>
              <w:t xml:space="preserve">18. </w:t>
            </w:r>
            <w:proofErr w:type="gramStart"/>
            <w:r w:rsidRPr="001F3584">
              <w:rPr>
                <w:sz w:val="20"/>
                <w:szCs w:val="20"/>
              </w:rPr>
              <w:t>ve</w:t>
            </w:r>
            <w:proofErr w:type="gramEnd"/>
            <w:r w:rsidRPr="001F3584">
              <w:rPr>
                <w:sz w:val="20"/>
                <w:szCs w:val="20"/>
              </w:rPr>
              <w:t xml:space="preserve"> 19. Yüzyılda Kontrabasın İtalya, Almanya ve Avusturya'daki Sanatsal Gelişiminin Tarihsel Açıdan İncelenmesi</w:t>
            </w:r>
          </w:p>
        </w:tc>
        <w:tc>
          <w:tcPr>
            <w:tcW w:w="1371" w:type="dxa"/>
            <w:hideMark/>
          </w:tcPr>
          <w:p w:rsidR="001E01BC" w:rsidRPr="001F3584" w:rsidRDefault="001E01BC" w:rsidP="00025D4F">
            <w:pPr>
              <w:keepNext/>
              <w:spacing w:before="120" w:after="120"/>
              <w:jc w:val="center"/>
              <w:cnfStyle w:val="000000000000"/>
              <w:rPr>
                <w:sz w:val="20"/>
                <w:szCs w:val="20"/>
              </w:rPr>
            </w:pPr>
            <w:r w:rsidRPr="001F3584">
              <w:rPr>
                <w:sz w:val="20"/>
                <w:szCs w:val="20"/>
              </w:rPr>
              <w:t>Yüksek Lisans</w:t>
            </w:r>
          </w:p>
        </w:tc>
      </w:tr>
      <w:tr w:rsidR="001E01BC" w:rsidRPr="001F3584" w:rsidTr="00CE773E">
        <w:trPr>
          <w:cnfStyle w:val="000000100000"/>
          <w:trHeight w:val="565"/>
          <w:jc w:val="center"/>
        </w:trPr>
        <w:tc>
          <w:tcPr>
            <w:cnfStyle w:val="001000000000"/>
            <w:tcW w:w="927" w:type="dxa"/>
          </w:tcPr>
          <w:p w:rsidR="001E01BC" w:rsidRPr="001F3584" w:rsidRDefault="001E01BC" w:rsidP="00025D4F">
            <w:pPr>
              <w:spacing w:before="120" w:after="120"/>
              <w:jc w:val="center"/>
              <w:rPr>
                <w:b w:val="0"/>
                <w:sz w:val="20"/>
                <w:szCs w:val="20"/>
              </w:rPr>
            </w:pPr>
            <w:r w:rsidRPr="001F3584">
              <w:rPr>
                <w:sz w:val="20"/>
                <w:szCs w:val="20"/>
              </w:rPr>
              <w:t>2017</w:t>
            </w:r>
          </w:p>
        </w:tc>
        <w:tc>
          <w:tcPr>
            <w:tcW w:w="5963" w:type="dxa"/>
          </w:tcPr>
          <w:p w:rsidR="001E01BC" w:rsidRPr="001F3584" w:rsidRDefault="001E01BC" w:rsidP="00025D4F">
            <w:pPr>
              <w:spacing w:before="120" w:after="120"/>
              <w:cnfStyle w:val="000000100000"/>
              <w:rPr>
                <w:sz w:val="20"/>
                <w:szCs w:val="20"/>
              </w:rPr>
            </w:pPr>
            <w:r w:rsidRPr="001F3584">
              <w:rPr>
                <w:sz w:val="20"/>
                <w:szCs w:val="20"/>
              </w:rPr>
              <w:t>Türkiye’de Mesleki Müzik Eğitimi Kurumlarında Verilen Kontrbas Eğitimi Üzerine Bir İnceleme</w:t>
            </w:r>
          </w:p>
        </w:tc>
        <w:tc>
          <w:tcPr>
            <w:tcW w:w="1371" w:type="dxa"/>
          </w:tcPr>
          <w:p w:rsidR="001E01BC" w:rsidRPr="001F3584" w:rsidRDefault="001E01BC" w:rsidP="00025D4F">
            <w:pPr>
              <w:keepNext/>
              <w:spacing w:before="120" w:after="120"/>
              <w:jc w:val="center"/>
              <w:cnfStyle w:val="000000100000"/>
              <w:rPr>
                <w:sz w:val="20"/>
                <w:szCs w:val="20"/>
              </w:rPr>
            </w:pPr>
            <w:r w:rsidRPr="001F3584">
              <w:rPr>
                <w:sz w:val="20"/>
                <w:szCs w:val="20"/>
              </w:rPr>
              <w:t>Yüksek Lisans</w:t>
            </w:r>
          </w:p>
        </w:tc>
      </w:tr>
    </w:tbl>
    <w:p w:rsidR="001E01BC" w:rsidRPr="001F3584" w:rsidRDefault="001E01BC" w:rsidP="00025D4F">
      <w:pPr>
        <w:spacing w:before="120" w:after="120" w:line="360" w:lineRule="auto"/>
        <w:jc w:val="both"/>
        <w:rPr>
          <w:bCs/>
        </w:rPr>
      </w:pPr>
      <w:r w:rsidRPr="001F3584">
        <w:rPr>
          <w:bCs/>
        </w:rPr>
        <w:tab/>
      </w:r>
    </w:p>
    <w:p w:rsidR="001E01BC" w:rsidRPr="001F3584" w:rsidRDefault="001E01BC" w:rsidP="00025D4F">
      <w:pPr>
        <w:spacing w:before="120" w:after="120" w:line="480" w:lineRule="auto"/>
        <w:ind w:firstLine="708"/>
        <w:jc w:val="both"/>
        <w:rPr>
          <w:bCs/>
        </w:rPr>
      </w:pPr>
      <w:r w:rsidRPr="001F3584">
        <w:rPr>
          <w:bCs/>
        </w:rPr>
        <w:t>Tablo 1’de ve Grafik 1’de görüldüğü üzere 2003, 2007 ve 2016 yılları hariç 2002 yılından 2017 yılına kadar her yıl kontrbas konusunda lisansüstü tezi yazılmıştı</w:t>
      </w:r>
      <w:r w:rsidR="00014377" w:rsidRPr="001F3584">
        <w:rPr>
          <w:bCs/>
        </w:rPr>
        <w:t>r. Yazılan lisansüstü tezlerin ikisi “Sanatta Yeterlilik Tezi” biri</w:t>
      </w:r>
      <w:r w:rsidRPr="001F3584">
        <w:rPr>
          <w:bCs/>
        </w:rPr>
        <w:t xml:space="preserve"> “Doktora Tezi” diğer 22 tanesi “Yüksek Lisans Tezi” olarak hazırlanmıştır. Ayrıca, Tablo 1 ve Grafik 1’den anlaşılacağı üzere </w:t>
      </w:r>
      <w:r w:rsidRPr="001F3584">
        <w:rPr>
          <w:b/>
          <w:bCs/>
          <w:u w:val="single"/>
        </w:rPr>
        <w:t>en çok</w:t>
      </w:r>
      <w:r w:rsidRPr="001F3584">
        <w:rPr>
          <w:bCs/>
        </w:rPr>
        <w:t xml:space="preserve"> yazılan lisansüstü tezi yüksek lisans tezidir.</w:t>
      </w:r>
    </w:p>
    <w:p w:rsidR="001E01BC" w:rsidRPr="005B1229" w:rsidRDefault="001E01BC" w:rsidP="00025D4F">
      <w:pPr>
        <w:pStyle w:val="ResimYazs"/>
        <w:spacing w:before="120" w:after="120"/>
        <w:jc w:val="center"/>
        <w:rPr>
          <w:rFonts w:ascii="Times New Roman" w:hAnsi="Times New Roman" w:cs="Times New Roman"/>
          <w:color w:val="auto"/>
          <w:sz w:val="24"/>
          <w:szCs w:val="24"/>
          <w:lang w:val="tr-TR"/>
        </w:rPr>
      </w:pPr>
      <w:bookmarkStart w:id="3" w:name="_Toc487720426"/>
      <w:r w:rsidRPr="00313C5E">
        <w:rPr>
          <w:rFonts w:ascii="Times New Roman" w:hAnsi="Times New Roman" w:cs="Times New Roman"/>
          <w:i w:val="0"/>
          <w:color w:val="auto"/>
          <w:sz w:val="24"/>
          <w:szCs w:val="24"/>
          <w:lang w:val="tr-TR"/>
        </w:rPr>
        <w:t xml:space="preserve">Tablo </w:t>
      </w:r>
      <w:r w:rsidR="00AE1C09" w:rsidRPr="00313C5E">
        <w:rPr>
          <w:rFonts w:ascii="Times New Roman" w:hAnsi="Times New Roman" w:cs="Times New Roman"/>
          <w:i w:val="0"/>
          <w:color w:val="auto"/>
          <w:sz w:val="24"/>
          <w:szCs w:val="24"/>
          <w:lang w:val="tr-TR"/>
        </w:rPr>
        <w:fldChar w:fldCharType="begin"/>
      </w:r>
      <w:r w:rsidRPr="00313C5E">
        <w:rPr>
          <w:rFonts w:ascii="Times New Roman" w:hAnsi="Times New Roman" w:cs="Times New Roman"/>
          <w:i w:val="0"/>
          <w:color w:val="auto"/>
          <w:sz w:val="24"/>
          <w:szCs w:val="24"/>
          <w:lang w:val="tr-TR"/>
        </w:rPr>
        <w:instrText xml:space="preserve"> SEQ Tablo \* ARABIC </w:instrText>
      </w:r>
      <w:r w:rsidR="00AE1C09" w:rsidRPr="00313C5E">
        <w:rPr>
          <w:rFonts w:ascii="Times New Roman" w:hAnsi="Times New Roman" w:cs="Times New Roman"/>
          <w:i w:val="0"/>
          <w:color w:val="auto"/>
          <w:sz w:val="24"/>
          <w:szCs w:val="24"/>
          <w:lang w:val="tr-TR"/>
        </w:rPr>
        <w:fldChar w:fldCharType="separate"/>
      </w:r>
      <w:r w:rsidR="00CF701E">
        <w:rPr>
          <w:rFonts w:ascii="Times New Roman" w:hAnsi="Times New Roman" w:cs="Times New Roman"/>
          <w:i w:val="0"/>
          <w:noProof/>
          <w:color w:val="auto"/>
          <w:sz w:val="24"/>
          <w:szCs w:val="24"/>
          <w:lang w:val="tr-TR"/>
        </w:rPr>
        <w:t>2</w:t>
      </w:r>
      <w:r w:rsidR="00AE1C09" w:rsidRPr="00313C5E">
        <w:rPr>
          <w:rFonts w:ascii="Times New Roman" w:hAnsi="Times New Roman" w:cs="Times New Roman"/>
          <w:i w:val="0"/>
          <w:color w:val="auto"/>
          <w:sz w:val="24"/>
          <w:szCs w:val="24"/>
          <w:lang w:val="tr-TR"/>
        </w:rPr>
        <w:fldChar w:fldCharType="end"/>
      </w:r>
      <w:r w:rsidRPr="00313C5E">
        <w:rPr>
          <w:rFonts w:ascii="Times New Roman" w:hAnsi="Times New Roman" w:cs="Times New Roman"/>
          <w:i w:val="0"/>
          <w:color w:val="auto"/>
          <w:sz w:val="24"/>
          <w:szCs w:val="24"/>
          <w:lang w:val="tr-TR"/>
        </w:rPr>
        <w:t xml:space="preserve">. </w:t>
      </w:r>
      <w:r w:rsidRPr="005B1229">
        <w:rPr>
          <w:rFonts w:ascii="Times New Roman" w:hAnsi="Times New Roman" w:cs="Times New Roman"/>
          <w:color w:val="auto"/>
          <w:sz w:val="24"/>
          <w:szCs w:val="24"/>
          <w:lang w:val="tr-TR"/>
        </w:rPr>
        <w:t>Türkiye’de Kontrbas Konulu Yazılmış L</w:t>
      </w:r>
      <w:r w:rsidR="005B1229" w:rsidRPr="005B1229">
        <w:rPr>
          <w:rFonts w:ascii="Times New Roman" w:hAnsi="Times New Roman" w:cs="Times New Roman"/>
          <w:color w:val="auto"/>
          <w:sz w:val="24"/>
          <w:szCs w:val="24"/>
          <w:lang w:val="tr-TR"/>
        </w:rPr>
        <w:t>isansüstü Tezlerin Yı</w:t>
      </w:r>
      <w:r w:rsidRPr="005B1229">
        <w:rPr>
          <w:rFonts w:ascii="Times New Roman" w:hAnsi="Times New Roman" w:cs="Times New Roman"/>
          <w:color w:val="auto"/>
          <w:sz w:val="24"/>
          <w:szCs w:val="24"/>
          <w:lang w:val="tr-TR"/>
        </w:rPr>
        <w:t>llara Göre Dağılımını Gösteren Yüzde Frekans Tablosu</w:t>
      </w:r>
      <w:bookmarkEnd w:id="3"/>
    </w:p>
    <w:tbl>
      <w:tblPr>
        <w:tblStyle w:val="DzTablo41"/>
        <w:tblW w:w="4284" w:type="dxa"/>
        <w:jc w:val="center"/>
        <w:tblLook w:val="04A0"/>
      </w:tblPr>
      <w:tblGrid>
        <w:gridCol w:w="1428"/>
        <w:gridCol w:w="1428"/>
        <w:gridCol w:w="1428"/>
      </w:tblGrid>
      <w:tr w:rsidR="001E01BC" w:rsidRPr="001F3584" w:rsidTr="00CE773E">
        <w:trPr>
          <w:cnfStyle w:val="100000000000"/>
          <w:trHeight w:val="255"/>
          <w:jc w:val="center"/>
        </w:trPr>
        <w:tc>
          <w:tcPr>
            <w:cnfStyle w:val="001000000000"/>
            <w:tcW w:w="1428" w:type="dxa"/>
            <w:noWrap/>
            <w:hideMark/>
          </w:tcPr>
          <w:p w:rsidR="001E01BC" w:rsidRPr="001F3584" w:rsidRDefault="001E01BC" w:rsidP="00025D4F">
            <w:pPr>
              <w:spacing w:before="120" w:after="120"/>
              <w:jc w:val="center"/>
              <w:rPr>
                <w:sz w:val="20"/>
                <w:szCs w:val="20"/>
              </w:rPr>
            </w:pPr>
            <w:r w:rsidRPr="001F3584">
              <w:rPr>
                <w:sz w:val="20"/>
                <w:szCs w:val="20"/>
              </w:rPr>
              <w:t>Yıl</w:t>
            </w:r>
          </w:p>
        </w:tc>
        <w:tc>
          <w:tcPr>
            <w:tcW w:w="1428" w:type="dxa"/>
            <w:noWrap/>
            <w:hideMark/>
          </w:tcPr>
          <w:p w:rsidR="001E01BC" w:rsidRPr="001F3584" w:rsidRDefault="00313C5E" w:rsidP="00025D4F">
            <w:pPr>
              <w:spacing w:before="120" w:after="120"/>
              <w:jc w:val="center"/>
              <w:cnfStyle w:val="100000000000"/>
              <w:rPr>
                <w:sz w:val="20"/>
                <w:szCs w:val="20"/>
              </w:rPr>
            </w:pPr>
            <w:r w:rsidRPr="001F3584">
              <w:rPr>
                <w:sz w:val="20"/>
                <w:szCs w:val="20"/>
              </w:rPr>
              <w:t>F</w:t>
            </w:r>
          </w:p>
        </w:tc>
        <w:tc>
          <w:tcPr>
            <w:tcW w:w="1428" w:type="dxa"/>
            <w:noWrap/>
            <w:hideMark/>
          </w:tcPr>
          <w:p w:rsidR="001E01BC" w:rsidRPr="001F3584" w:rsidRDefault="001E01BC" w:rsidP="00025D4F">
            <w:pPr>
              <w:spacing w:before="120" w:after="120"/>
              <w:jc w:val="center"/>
              <w:cnfStyle w:val="100000000000"/>
              <w:rPr>
                <w:sz w:val="20"/>
                <w:szCs w:val="20"/>
              </w:rPr>
            </w:pPr>
            <w:r w:rsidRPr="001F3584">
              <w:rPr>
                <w:sz w:val="20"/>
                <w:szCs w:val="20"/>
              </w:rPr>
              <w:t>%</w:t>
            </w:r>
          </w:p>
        </w:tc>
      </w:tr>
      <w:tr w:rsidR="001E01BC" w:rsidRPr="001F3584" w:rsidTr="00CE773E">
        <w:trPr>
          <w:cnfStyle w:val="000000100000"/>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2002</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1</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4%</w:t>
            </w:r>
          </w:p>
        </w:tc>
      </w:tr>
      <w:tr w:rsidR="001E01BC" w:rsidRPr="001F3584" w:rsidTr="00CE773E">
        <w:trPr>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2003</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0</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0%</w:t>
            </w:r>
          </w:p>
        </w:tc>
      </w:tr>
      <w:tr w:rsidR="001E01BC" w:rsidRPr="001F3584" w:rsidTr="00CE773E">
        <w:trPr>
          <w:cnfStyle w:val="000000100000"/>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2004</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1</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4%</w:t>
            </w:r>
          </w:p>
        </w:tc>
      </w:tr>
      <w:tr w:rsidR="001E01BC" w:rsidRPr="001F3584" w:rsidTr="00CE773E">
        <w:trPr>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2005</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2</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8%</w:t>
            </w:r>
          </w:p>
        </w:tc>
      </w:tr>
      <w:tr w:rsidR="001E01BC" w:rsidRPr="001F3584" w:rsidTr="00CE773E">
        <w:trPr>
          <w:cnfStyle w:val="000000100000"/>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2006</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4</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17%</w:t>
            </w:r>
          </w:p>
        </w:tc>
      </w:tr>
      <w:tr w:rsidR="001E01BC" w:rsidRPr="001F3584" w:rsidTr="00CE773E">
        <w:trPr>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2007</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0</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0%</w:t>
            </w:r>
          </w:p>
        </w:tc>
      </w:tr>
      <w:tr w:rsidR="001E01BC" w:rsidRPr="001F3584" w:rsidTr="00CE773E">
        <w:trPr>
          <w:cnfStyle w:val="000000100000"/>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2008</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2</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8%</w:t>
            </w:r>
          </w:p>
        </w:tc>
      </w:tr>
      <w:tr w:rsidR="001E01BC" w:rsidRPr="001F3584" w:rsidTr="00CE773E">
        <w:trPr>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2009</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1</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4%</w:t>
            </w:r>
          </w:p>
        </w:tc>
      </w:tr>
      <w:tr w:rsidR="001E01BC" w:rsidRPr="001F3584" w:rsidTr="00CE773E">
        <w:trPr>
          <w:cnfStyle w:val="000000100000"/>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2010</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1</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4%</w:t>
            </w:r>
          </w:p>
        </w:tc>
      </w:tr>
      <w:tr w:rsidR="001E01BC" w:rsidRPr="001F3584" w:rsidTr="00CE773E">
        <w:trPr>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2011</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3</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13%</w:t>
            </w:r>
          </w:p>
        </w:tc>
      </w:tr>
      <w:tr w:rsidR="001E01BC" w:rsidRPr="001F3584" w:rsidTr="00CE773E">
        <w:trPr>
          <w:cnfStyle w:val="000000100000"/>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2012</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4</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17%</w:t>
            </w:r>
          </w:p>
        </w:tc>
      </w:tr>
      <w:tr w:rsidR="001E01BC" w:rsidRPr="001F3584" w:rsidTr="00CE773E">
        <w:trPr>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2013</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1</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4%</w:t>
            </w:r>
          </w:p>
        </w:tc>
      </w:tr>
      <w:tr w:rsidR="001E01BC" w:rsidRPr="001F3584" w:rsidTr="00CE773E">
        <w:trPr>
          <w:cnfStyle w:val="000000100000"/>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t>2014</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3</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13%</w:t>
            </w:r>
          </w:p>
        </w:tc>
      </w:tr>
      <w:tr w:rsidR="001E01BC" w:rsidRPr="001F3584" w:rsidTr="00CE773E">
        <w:trPr>
          <w:trHeight w:val="255"/>
          <w:jc w:val="center"/>
        </w:trPr>
        <w:tc>
          <w:tcPr>
            <w:cnfStyle w:val="001000000000"/>
            <w:tcW w:w="1428" w:type="dxa"/>
            <w:noWrap/>
            <w:hideMark/>
          </w:tcPr>
          <w:p w:rsidR="001E01BC" w:rsidRPr="001F3584" w:rsidRDefault="001E01BC" w:rsidP="00025D4F">
            <w:pPr>
              <w:spacing w:before="120" w:after="120"/>
              <w:jc w:val="center"/>
              <w:rPr>
                <w:b w:val="0"/>
                <w:sz w:val="20"/>
                <w:szCs w:val="20"/>
              </w:rPr>
            </w:pPr>
            <w:r w:rsidRPr="001F3584">
              <w:rPr>
                <w:sz w:val="20"/>
                <w:szCs w:val="20"/>
              </w:rPr>
              <w:lastRenderedPageBreak/>
              <w:t>2015</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1</w:t>
            </w:r>
          </w:p>
        </w:tc>
        <w:tc>
          <w:tcPr>
            <w:tcW w:w="1428" w:type="dxa"/>
            <w:noWrap/>
            <w:hideMark/>
          </w:tcPr>
          <w:p w:rsidR="001E01BC" w:rsidRPr="001F3584" w:rsidRDefault="001E01BC" w:rsidP="00025D4F">
            <w:pPr>
              <w:spacing w:before="120" w:after="120"/>
              <w:jc w:val="center"/>
              <w:cnfStyle w:val="000000000000"/>
              <w:rPr>
                <w:sz w:val="20"/>
                <w:szCs w:val="20"/>
              </w:rPr>
            </w:pPr>
            <w:r w:rsidRPr="001F3584">
              <w:rPr>
                <w:sz w:val="20"/>
                <w:szCs w:val="20"/>
              </w:rPr>
              <w:t>4%</w:t>
            </w:r>
          </w:p>
        </w:tc>
      </w:tr>
      <w:tr w:rsidR="001E01BC" w:rsidRPr="001F3584" w:rsidTr="00CE773E">
        <w:trPr>
          <w:cnfStyle w:val="000000100000"/>
          <w:trHeight w:val="255"/>
          <w:jc w:val="center"/>
        </w:trPr>
        <w:tc>
          <w:tcPr>
            <w:cnfStyle w:val="001000000000"/>
            <w:tcW w:w="1428" w:type="dxa"/>
            <w:noWrap/>
          </w:tcPr>
          <w:p w:rsidR="001E01BC" w:rsidRPr="001F3584" w:rsidRDefault="001E01BC" w:rsidP="00025D4F">
            <w:pPr>
              <w:spacing w:before="120" w:after="120"/>
              <w:jc w:val="center"/>
              <w:rPr>
                <w:b w:val="0"/>
                <w:sz w:val="20"/>
                <w:szCs w:val="20"/>
              </w:rPr>
            </w:pPr>
            <w:r w:rsidRPr="001F3584">
              <w:rPr>
                <w:sz w:val="20"/>
                <w:szCs w:val="20"/>
              </w:rPr>
              <w:t>2016</w:t>
            </w:r>
          </w:p>
        </w:tc>
        <w:tc>
          <w:tcPr>
            <w:tcW w:w="1428" w:type="dxa"/>
            <w:noWrap/>
          </w:tcPr>
          <w:p w:rsidR="001E01BC" w:rsidRPr="001F3584" w:rsidRDefault="001E01BC" w:rsidP="00025D4F">
            <w:pPr>
              <w:spacing w:before="120" w:after="120"/>
              <w:jc w:val="center"/>
              <w:cnfStyle w:val="000000100000"/>
              <w:rPr>
                <w:sz w:val="20"/>
                <w:szCs w:val="20"/>
              </w:rPr>
            </w:pPr>
            <w:r w:rsidRPr="001F3584">
              <w:rPr>
                <w:sz w:val="20"/>
                <w:szCs w:val="20"/>
              </w:rPr>
              <w:t>0</w:t>
            </w:r>
          </w:p>
        </w:tc>
        <w:tc>
          <w:tcPr>
            <w:tcW w:w="1428" w:type="dxa"/>
            <w:noWrap/>
          </w:tcPr>
          <w:p w:rsidR="001E01BC" w:rsidRPr="001F3584" w:rsidRDefault="001E01BC" w:rsidP="00025D4F">
            <w:pPr>
              <w:spacing w:before="120" w:after="120"/>
              <w:jc w:val="center"/>
              <w:cnfStyle w:val="000000100000"/>
              <w:rPr>
                <w:sz w:val="20"/>
                <w:szCs w:val="20"/>
              </w:rPr>
            </w:pPr>
            <w:r w:rsidRPr="001F3584">
              <w:rPr>
                <w:sz w:val="20"/>
                <w:szCs w:val="20"/>
              </w:rPr>
              <w:t>0%</w:t>
            </w:r>
          </w:p>
        </w:tc>
      </w:tr>
      <w:tr w:rsidR="001E01BC" w:rsidRPr="001F3584" w:rsidTr="00CE773E">
        <w:trPr>
          <w:trHeight w:val="255"/>
          <w:jc w:val="center"/>
        </w:trPr>
        <w:tc>
          <w:tcPr>
            <w:cnfStyle w:val="001000000000"/>
            <w:tcW w:w="1428" w:type="dxa"/>
            <w:noWrap/>
          </w:tcPr>
          <w:p w:rsidR="001E01BC" w:rsidRPr="001F3584" w:rsidRDefault="001E01BC" w:rsidP="00025D4F">
            <w:pPr>
              <w:spacing w:before="120" w:after="120"/>
              <w:jc w:val="center"/>
              <w:rPr>
                <w:b w:val="0"/>
                <w:sz w:val="20"/>
                <w:szCs w:val="20"/>
              </w:rPr>
            </w:pPr>
            <w:r w:rsidRPr="001F3584">
              <w:rPr>
                <w:sz w:val="20"/>
                <w:szCs w:val="20"/>
              </w:rPr>
              <w:t>2017</w:t>
            </w:r>
          </w:p>
        </w:tc>
        <w:tc>
          <w:tcPr>
            <w:tcW w:w="1428" w:type="dxa"/>
            <w:noWrap/>
          </w:tcPr>
          <w:p w:rsidR="001E01BC" w:rsidRPr="001F3584" w:rsidRDefault="001E01BC" w:rsidP="00025D4F">
            <w:pPr>
              <w:spacing w:before="120" w:after="120"/>
              <w:jc w:val="center"/>
              <w:cnfStyle w:val="000000000000"/>
              <w:rPr>
                <w:sz w:val="20"/>
                <w:szCs w:val="20"/>
              </w:rPr>
            </w:pPr>
            <w:r w:rsidRPr="001F3584">
              <w:rPr>
                <w:sz w:val="20"/>
                <w:szCs w:val="20"/>
              </w:rPr>
              <w:t>1</w:t>
            </w:r>
          </w:p>
        </w:tc>
        <w:tc>
          <w:tcPr>
            <w:tcW w:w="1428" w:type="dxa"/>
            <w:noWrap/>
          </w:tcPr>
          <w:p w:rsidR="001E01BC" w:rsidRPr="001F3584" w:rsidRDefault="001E01BC" w:rsidP="00025D4F">
            <w:pPr>
              <w:spacing w:before="120" w:after="120"/>
              <w:jc w:val="center"/>
              <w:cnfStyle w:val="000000000000"/>
              <w:rPr>
                <w:sz w:val="20"/>
                <w:szCs w:val="20"/>
              </w:rPr>
            </w:pPr>
            <w:r w:rsidRPr="001F3584">
              <w:rPr>
                <w:sz w:val="20"/>
                <w:szCs w:val="20"/>
              </w:rPr>
              <w:t>4%</w:t>
            </w:r>
          </w:p>
        </w:tc>
      </w:tr>
      <w:tr w:rsidR="001E01BC" w:rsidRPr="001F3584" w:rsidTr="00CE773E">
        <w:trPr>
          <w:cnfStyle w:val="000000100000"/>
          <w:trHeight w:val="255"/>
          <w:jc w:val="center"/>
        </w:trPr>
        <w:tc>
          <w:tcPr>
            <w:cnfStyle w:val="001000000000"/>
            <w:tcW w:w="1428" w:type="dxa"/>
            <w:noWrap/>
            <w:hideMark/>
          </w:tcPr>
          <w:p w:rsidR="001E01BC" w:rsidRPr="001F3584" w:rsidRDefault="001E01BC" w:rsidP="00025D4F">
            <w:pPr>
              <w:spacing w:before="120" w:after="120"/>
              <w:jc w:val="center"/>
              <w:rPr>
                <w:sz w:val="20"/>
                <w:szCs w:val="20"/>
              </w:rPr>
            </w:pPr>
            <w:r w:rsidRPr="001F3584">
              <w:rPr>
                <w:sz w:val="20"/>
                <w:szCs w:val="20"/>
              </w:rPr>
              <w:t>Toplam</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25</w:t>
            </w:r>
          </w:p>
        </w:tc>
        <w:tc>
          <w:tcPr>
            <w:tcW w:w="1428" w:type="dxa"/>
            <w:noWrap/>
            <w:hideMark/>
          </w:tcPr>
          <w:p w:rsidR="001E01BC" w:rsidRPr="001F3584" w:rsidRDefault="001E01BC" w:rsidP="00025D4F">
            <w:pPr>
              <w:spacing w:before="120" w:after="120"/>
              <w:jc w:val="center"/>
              <w:cnfStyle w:val="000000100000"/>
              <w:rPr>
                <w:sz w:val="20"/>
                <w:szCs w:val="20"/>
              </w:rPr>
            </w:pPr>
            <w:r w:rsidRPr="001F3584">
              <w:rPr>
                <w:sz w:val="20"/>
                <w:szCs w:val="20"/>
              </w:rPr>
              <w:t>100%</w:t>
            </w:r>
          </w:p>
        </w:tc>
      </w:tr>
    </w:tbl>
    <w:p w:rsidR="001E01BC" w:rsidRPr="001F3584" w:rsidRDefault="001E01BC" w:rsidP="00025D4F">
      <w:pPr>
        <w:spacing w:before="120" w:after="120" w:line="360" w:lineRule="auto"/>
        <w:jc w:val="both"/>
        <w:rPr>
          <w:bCs/>
        </w:rPr>
      </w:pPr>
      <w:r w:rsidRPr="001F3584">
        <w:rPr>
          <w:bCs/>
        </w:rPr>
        <w:tab/>
      </w:r>
    </w:p>
    <w:p w:rsidR="001E01BC" w:rsidRPr="001F3584" w:rsidRDefault="001E01BC" w:rsidP="00025D4F">
      <w:pPr>
        <w:spacing w:before="120" w:after="120" w:line="480" w:lineRule="auto"/>
        <w:ind w:firstLine="708"/>
        <w:jc w:val="both"/>
        <w:rPr>
          <w:bCs/>
        </w:rPr>
      </w:pPr>
      <w:r w:rsidRPr="001F3584">
        <w:rPr>
          <w:bCs/>
        </w:rPr>
        <w:t xml:space="preserve">Tablo 2’de görüldüğü üzere, toplamda 25 adet lisansüstü tezinden, %10’luk dilim üzerinde olan 14 adet lisansüstü tezi, sırasıyla 2006, 2011, 2012 ve 2014 yıllarında yazılmış en yüksek değere sahiptirler. Diğer yıllarda yazılan tezlerden 2005 ve 2008 </w:t>
      </w:r>
      <w:r w:rsidR="00014377" w:rsidRPr="001F3584">
        <w:rPr>
          <w:bCs/>
        </w:rPr>
        <w:t>yıllarında %8’lik dilime sahip dört</w:t>
      </w:r>
      <w:r w:rsidRPr="001F3584">
        <w:rPr>
          <w:bCs/>
        </w:rPr>
        <w:t xml:space="preserve"> adet, 2002, 2004, 2009, 2010, 2013, 2015 ve 2017 yıll</w:t>
      </w:r>
      <w:r w:rsidR="00014377" w:rsidRPr="001F3584">
        <w:rPr>
          <w:bCs/>
        </w:rPr>
        <w:t>arında ise %4’lük dilime sahip altı</w:t>
      </w:r>
      <w:r w:rsidRPr="001F3584">
        <w:rPr>
          <w:bCs/>
        </w:rPr>
        <w:t xml:space="preserve"> adet tez yazılmıştır. 2003, 2007 ve 2016 yıllarında kontrbas konusunda yazılmış hiçbir lisansüstü tezi yoktur.</w:t>
      </w:r>
    </w:p>
    <w:p w:rsidR="001E01BC" w:rsidRPr="001F3584" w:rsidRDefault="001E01BC" w:rsidP="00025D4F">
      <w:pPr>
        <w:pStyle w:val="ListeParagraf"/>
        <w:spacing w:before="120" w:after="120" w:line="480" w:lineRule="auto"/>
        <w:ind w:left="0" w:firstLine="720"/>
        <w:contextualSpacing w:val="0"/>
        <w:jc w:val="both"/>
        <w:rPr>
          <w:rFonts w:ascii="Times New Roman" w:hAnsi="Times New Roman"/>
          <w:sz w:val="18"/>
          <w:szCs w:val="18"/>
          <w:shd w:val="clear" w:color="auto" w:fill="FFFFFF"/>
        </w:rPr>
      </w:pPr>
      <w:r w:rsidRPr="001F3584">
        <w:rPr>
          <w:rFonts w:ascii="Times New Roman" w:hAnsi="Times New Roman"/>
          <w:sz w:val="24"/>
          <w:szCs w:val="18"/>
          <w:shd w:val="clear" w:color="auto" w:fill="FFFFFF"/>
        </w:rPr>
        <w:t>Araştırmanın ikinci alt problemi doğrultusunda Grafik 2’de ve Tablo 3’de Türkiye’de kontrbas konulu yazılmış lisansüstü tezlerin yazıldıkları üniversitelere ve enstitülere göre dağılımına yer verilmiştir. Bununla birlikte, belirtilen tablo ve grafiklere ilişkin yorumlar aktarılmıştır.</w:t>
      </w:r>
    </w:p>
    <w:p w:rsidR="001E01BC" w:rsidRPr="00313C5E" w:rsidRDefault="001E01BC" w:rsidP="00025D4F">
      <w:pPr>
        <w:pStyle w:val="ResimYazs"/>
        <w:spacing w:before="120" w:after="120"/>
        <w:jc w:val="center"/>
        <w:rPr>
          <w:rFonts w:ascii="Times New Roman" w:hAnsi="Times New Roman" w:cs="Times New Roman"/>
          <w:bCs/>
          <w:i w:val="0"/>
          <w:color w:val="auto"/>
          <w:sz w:val="24"/>
          <w:szCs w:val="24"/>
          <w:lang w:val="tr-TR"/>
        </w:rPr>
      </w:pPr>
      <w:bookmarkStart w:id="4" w:name="_Toc487724139"/>
      <w:r w:rsidRPr="00313C5E">
        <w:rPr>
          <w:rFonts w:ascii="Times New Roman" w:hAnsi="Times New Roman" w:cs="Times New Roman"/>
          <w:i w:val="0"/>
          <w:color w:val="auto"/>
          <w:sz w:val="24"/>
          <w:szCs w:val="24"/>
          <w:lang w:val="tr-TR"/>
        </w:rPr>
        <w:t xml:space="preserve">Grafik </w:t>
      </w:r>
      <w:r w:rsidR="00AE1C09" w:rsidRPr="00313C5E">
        <w:rPr>
          <w:rFonts w:ascii="Times New Roman" w:hAnsi="Times New Roman" w:cs="Times New Roman"/>
          <w:i w:val="0"/>
          <w:color w:val="auto"/>
          <w:sz w:val="24"/>
          <w:szCs w:val="24"/>
          <w:lang w:val="tr-TR"/>
        </w:rPr>
        <w:fldChar w:fldCharType="begin"/>
      </w:r>
      <w:r w:rsidRPr="00313C5E">
        <w:rPr>
          <w:rFonts w:ascii="Times New Roman" w:hAnsi="Times New Roman" w:cs="Times New Roman"/>
          <w:i w:val="0"/>
          <w:color w:val="auto"/>
          <w:sz w:val="24"/>
          <w:szCs w:val="24"/>
          <w:lang w:val="tr-TR"/>
        </w:rPr>
        <w:instrText xml:space="preserve"> SEQ Grafik \* ARABIC </w:instrText>
      </w:r>
      <w:r w:rsidR="00AE1C09" w:rsidRPr="00313C5E">
        <w:rPr>
          <w:rFonts w:ascii="Times New Roman" w:hAnsi="Times New Roman" w:cs="Times New Roman"/>
          <w:i w:val="0"/>
          <w:color w:val="auto"/>
          <w:sz w:val="24"/>
          <w:szCs w:val="24"/>
          <w:lang w:val="tr-TR"/>
        </w:rPr>
        <w:fldChar w:fldCharType="separate"/>
      </w:r>
      <w:r w:rsidR="00CF701E">
        <w:rPr>
          <w:rFonts w:ascii="Times New Roman" w:hAnsi="Times New Roman" w:cs="Times New Roman"/>
          <w:i w:val="0"/>
          <w:noProof/>
          <w:color w:val="auto"/>
          <w:sz w:val="24"/>
          <w:szCs w:val="24"/>
          <w:lang w:val="tr-TR"/>
        </w:rPr>
        <w:t>2</w:t>
      </w:r>
      <w:r w:rsidR="00AE1C09" w:rsidRPr="00313C5E">
        <w:rPr>
          <w:rFonts w:ascii="Times New Roman" w:hAnsi="Times New Roman" w:cs="Times New Roman"/>
          <w:i w:val="0"/>
          <w:noProof/>
          <w:color w:val="auto"/>
          <w:sz w:val="24"/>
          <w:szCs w:val="24"/>
          <w:lang w:val="tr-TR"/>
        </w:rPr>
        <w:fldChar w:fldCharType="end"/>
      </w:r>
      <w:r w:rsidRPr="00313C5E">
        <w:rPr>
          <w:rFonts w:ascii="Times New Roman" w:hAnsi="Times New Roman" w:cs="Times New Roman"/>
          <w:i w:val="0"/>
          <w:noProof/>
          <w:color w:val="auto"/>
          <w:sz w:val="24"/>
          <w:szCs w:val="24"/>
          <w:lang w:val="tr-TR"/>
        </w:rPr>
        <w:t>.</w:t>
      </w:r>
      <w:r w:rsidR="005B1229">
        <w:rPr>
          <w:rFonts w:ascii="Times New Roman" w:hAnsi="Times New Roman" w:cs="Times New Roman"/>
          <w:i w:val="0"/>
          <w:color w:val="auto"/>
          <w:sz w:val="24"/>
          <w:szCs w:val="24"/>
          <w:lang w:val="tr-TR"/>
        </w:rPr>
        <w:t xml:space="preserve"> </w:t>
      </w:r>
      <w:r w:rsidR="005B1229" w:rsidRPr="005B1229">
        <w:rPr>
          <w:rFonts w:ascii="Times New Roman" w:hAnsi="Times New Roman" w:cs="Times New Roman"/>
          <w:color w:val="auto"/>
          <w:sz w:val="24"/>
          <w:szCs w:val="24"/>
          <w:lang w:val="tr-TR"/>
        </w:rPr>
        <w:t>Türkiye'de Kontrbas Konulu Yazılmı</w:t>
      </w:r>
      <w:r w:rsidRPr="005B1229">
        <w:rPr>
          <w:rFonts w:ascii="Times New Roman" w:hAnsi="Times New Roman" w:cs="Times New Roman"/>
          <w:color w:val="auto"/>
          <w:sz w:val="24"/>
          <w:szCs w:val="24"/>
          <w:lang w:val="tr-TR"/>
        </w:rPr>
        <w:t>ş Lisansüstü Tezlerin Yazıldıkları Üniversitelere ve Enstitülere Göre Dağılımları</w:t>
      </w:r>
      <w:bookmarkEnd w:id="4"/>
    </w:p>
    <w:p w:rsidR="001E01BC" w:rsidRPr="001F3584" w:rsidRDefault="00DF0259" w:rsidP="00025D4F">
      <w:pPr>
        <w:spacing w:before="120" w:after="120"/>
        <w:jc w:val="center"/>
      </w:pPr>
      <w:r w:rsidRPr="001F3584">
        <w:rPr>
          <w:noProof/>
        </w:rPr>
        <w:drawing>
          <wp:inline distT="0" distB="0" distL="0" distR="0">
            <wp:extent cx="5327650" cy="2558143"/>
            <wp:effectExtent l="0" t="0" r="635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01BC" w:rsidRPr="001F3584" w:rsidRDefault="001E01BC" w:rsidP="00025D4F">
      <w:pPr>
        <w:spacing w:before="120" w:after="120"/>
        <w:ind w:firstLine="708"/>
        <w:jc w:val="center"/>
      </w:pPr>
    </w:p>
    <w:p w:rsidR="001E01BC" w:rsidRPr="00313C5E" w:rsidRDefault="001E01BC" w:rsidP="00025D4F">
      <w:pPr>
        <w:pStyle w:val="ResimYazs"/>
        <w:keepNext/>
        <w:spacing w:before="120" w:after="120"/>
        <w:jc w:val="center"/>
        <w:rPr>
          <w:rFonts w:ascii="Times New Roman" w:hAnsi="Times New Roman" w:cs="Times New Roman"/>
          <w:i w:val="0"/>
          <w:color w:val="auto"/>
          <w:sz w:val="24"/>
          <w:szCs w:val="24"/>
          <w:lang w:val="tr-TR"/>
        </w:rPr>
      </w:pPr>
      <w:bookmarkStart w:id="5" w:name="_Toc487720427"/>
      <w:r w:rsidRPr="00313C5E">
        <w:rPr>
          <w:rFonts w:ascii="Times New Roman" w:hAnsi="Times New Roman" w:cs="Times New Roman"/>
          <w:i w:val="0"/>
          <w:color w:val="auto"/>
          <w:sz w:val="24"/>
          <w:szCs w:val="24"/>
          <w:lang w:val="tr-TR"/>
        </w:rPr>
        <w:lastRenderedPageBreak/>
        <w:t xml:space="preserve">Tablo </w:t>
      </w:r>
      <w:r w:rsidR="00AE1C09" w:rsidRPr="00313C5E">
        <w:rPr>
          <w:rFonts w:ascii="Times New Roman" w:hAnsi="Times New Roman" w:cs="Times New Roman"/>
          <w:i w:val="0"/>
          <w:color w:val="auto"/>
          <w:sz w:val="24"/>
          <w:szCs w:val="24"/>
          <w:lang w:val="tr-TR"/>
        </w:rPr>
        <w:fldChar w:fldCharType="begin"/>
      </w:r>
      <w:r w:rsidRPr="00313C5E">
        <w:rPr>
          <w:rFonts w:ascii="Times New Roman" w:hAnsi="Times New Roman" w:cs="Times New Roman"/>
          <w:i w:val="0"/>
          <w:color w:val="auto"/>
          <w:sz w:val="24"/>
          <w:szCs w:val="24"/>
          <w:lang w:val="tr-TR"/>
        </w:rPr>
        <w:instrText xml:space="preserve"> SEQ Tablo \* ARABIC </w:instrText>
      </w:r>
      <w:r w:rsidR="00AE1C09" w:rsidRPr="00313C5E">
        <w:rPr>
          <w:rFonts w:ascii="Times New Roman" w:hAnsi="Times New Roman" w:cs="Times New Roman"/>
          <w:i w:val="0"/>
          <w:color w:val="auto"/>
          <w:sz w:val="24"/>
          <w:szCs w:val="24"/>
          <w:lang w:val="tr-TR"/>
        </w:rPr>
        <w:fldChar w:fldCharType="separate"/>
      </w:r>
      <w:r w:rsidR="00CF701E">
        <w:rPr>
          <w:rFonts w:ascii="Times New Roman" w:hAnsi="Times New Roman" w:cs="Times New Roman"/>
          <w:i w:val="0"/>
          <w:noProof/>
          <w:color w:val="auto"/>
          <w:sz w:val="24"/>
          <w:szCs w:val="24"/>
          <w:lang w:val="tr-TR"/>
        </w:rPr>
        <w:t>3</w:t>
      </w:r>
      <w:r w:rsidR="00AE1C09" w:rsidRPr="00313C5E">
        <w:rPr>
          <w:rFonts w:ascii="Times New Roman" w:hAnsi="Times New Roman" w:cs="Times New Roman"/>
          <w:i w:val="0"/>
          <w:color w:val="auto"/>
          <w:sz w:val="24"/>
          <w:szCs w:val="24"/>
          <w:lang w:val="tr-TR"/>
        </w:rPr>
        <w:fldChar w:fldCharType="end"/>
      </w:r>
      <w:r w:rsidRPr="00313C5E">
        <w:rPr>
          <w:rFonts w:ascii="Times New Roman" w:hAnsi="Times New Roman" w:cs="Times New Roman"/>
          <w:i w:val="0"/>
          <w:color w:val="auto"/>
          <w:sz w:val="24"/>
          <w:szCs w:val="24"/>
          <w:lang w:val="tr-TR"/>
        </w:rPr>
        <w:t xml:space="preserve">. </w:t>
      </w:r>
      <w:r w:rsidRPr="005B1229">
        <w:rPr>
          <w:rFonts w:ascii="Times New Roman" w:hAnsi="Times New Roman" w:cs="Times New Roman"/>
          <w:color w:val="auto"/>
          <w:sz w:val="24"/>
          <w:szCs w:val="24"/>
          <w:lang w:val="tr-TR"/>
        </w:rPr>
        <w:t>Türkiye’de Kontrbas Konulu Yazılmış Lisansüstü Tezlerin Üniversitelere ve Enstitülere Göre Dağılımı</w:t>
      </w:r>
      <w:bookmarkEnd w:id="5"/>
    </w:p>
    <w:tbl>
      <w:tblPr>
        <w:tblStyle w:val="KlavuzTablo2-Vurgu51"/>
        <w:tblW w:w="8172" w:type="dxa"/>
        <w:jc w:val="center"/>
        <w:tblLook w:val="04A0"/>
      </w:tblPr>
      <w:tblGrid>
        <w:gridCol w:w="5347"/>
        <w:gridCol w:w="1547"/>
        <w:gridCol w:w="1278"/>
      </w:tblGrid>
      <w:tr w:rsidR="001E01BC" w:rsidRPr="001F3584" w:rsidTr="00CE773E">
        <w:trPr>
          <w:cnfStyle w:val="100000000000"/>
          <w:trHeight w:val="237"/>
          <w:jc w:val="center"/>
        </w:trPr>
        <w:tc>
          <w:tcPr>
            <w:cnfStyle w:val="001000000000"/>
            <w:tcW w:w="5347" w:type="dxa"/>
            <w:hideMark/>
          </w:tcPr>
          <w:p w:rsidR="001E01BC" w:rsidRPr="001F3584" w:rsidRDefault="001E01BC" w:rsidP="00025D4F">
            <w:pPr>
              <w:spacing w:before="120" w:after="120"/>
              <w:rPr>
                <w:bCs w:val="0"/>
                <w:sz w:val="16"/>
                <w:szCs w:val="16"/>
              </w:rPr>
            </w:pPr>
            <w:r w:rsidRPr="001F3584">
              <w:rPr>
                <w:sz w:val="16"/>
                <w:szCs w:val="16"/>
              </w:rPr>
              <w:t>Tezin Adı</w:t>
            </w:r>
          </w:p>
        </w:tc>
        <w:tc>
          <w:tcPr>
            <w:tcW w:w="1547" w:type="dxa"/>
            <w:hideMark/>
          </w:tcPr>
          <w:p w:rsidR="001E01BC" w:rsidRPr="001F3584" w:rsidRDefault="001E01BC" w:rsidP="00025D4F">
            <w:pPr>
              <w:spacing w:before="120" w:after="120"/>
              <w:jc w:val="center"/>
              <w:cnfStyle w:val="100000000000"/>
              <w:rPr>
                <w:bCs w:val="0"/>
                <w:sz w:val="16"/>
                <w:szCs w:val="16"/>
              </w:rPr>
            </w:pPr>
            <w:r w:rsidRPr="001F3584">
              <w:rPr>
                <w:sz w:val="16"/>
                <w:szCs w:val="16"/>
              </w:rPr>
              <w:t>Üniversite</w:t>
            </w:r>
          </w:p>
        </w:tc>
        <w:tc>
          <w:tcPr>
            <w:tcW w:w="1278" w:type="dxa"/>
            <w:hideMark/>
          </w:tcPr>
          <w:p w:rsidR="001E01BC" w:rsidRPr="001F3584" w:rsidRDefault="001E01BC" w:rsidP="00025D4F">
            <w:pPr>
              <w:spacing w:before="120" w:after="120"/>
              <w:jc w:val="center"/>
              <w:cnfStyle w:val="100000000000"/>
              <w:rPr>
                <w:bCs w:val="0"/>
                <w:sz w:val="16"/>
                <w:szCs w:val="16"/>
              </w:rPr>
            </w:pPr>
            <w:r w:rsidRPr="001F3584">
              <w:rPr>
                <w:sz w:val="16"/>
                <w:szCs w:val="16"/>
              </w:rPr>
              <w:t>Enstitü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Kontrbasın Tarihsel Gelişiminde Giovanni Bottesini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Anadolu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Kontrbas Dersi Uygulamalarının Hedefler Düzeyinde İncelenmesi: Bir Taslak Önerisi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Gazi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Eğitim Bilimleri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Kontrbas Tekniğinde Alman ve Fransız Tekniklerinin Karşılaştırılması</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İstanbul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Türkiye'deki Anadolu Güzel Sanatlar Liseleri'ndeki Kontrabas Eğitiminin İncelenmesi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Gazi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Eğitim Bilimleri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Solo Kontrbasın Öncüsü Domenico Carlo Maria Dragonetti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Anadolu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Kontrbasistlerde Kas İskelet Sistemi Rahatsızlıkları ve Önleme Yöntemleri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Yıldız Teknik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757"/>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Kontrabas'ın Yapısı ve Tarihsel Gelişimi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Mimar Sinan Güzel Sanatlar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Serge Alexandrovich Koussevitzky Op.3 Kontrabas Konçertosunun İncelenmesi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İstanbul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Kontrbas Repertuvarında Uyarlamaların Yeri ve Önemi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İstanbul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Giovanni Bottesinni Si Minör Konçertosunun Form Analiz Ve İcra Yönünden İncelenmesi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Trakya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Konservatuvarlarda Verilmekte Olan Kontrbas Eğitiminde Çağdaş Türk Kontrbas Müziği Eserlerinin Yeri ve Önemi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Afyon Kocatepe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Kontrbasın İcrasında Yeni Sol El Teknikleri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İstanbul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Orkestranın Evrim Sürecinde Kontrbasın İşlevsel Gelişimi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Dokuz Eylül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Güzel Sanatlar Enstitüsü</w:t>
            </w:r>
          </w:p>
        </w:tc>
      </w:tr>
      <w:tr w:rsidR="001E01BC" w:rsidRPr="001F3584" w:rsidTr="00CE773E">
        <w:trPr>
          <w:trHeight w:val="757"/>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Giovanni Bottesinni'nin "Si Minör Kontrabas Konçertosu"nun Teknik Ve Yorum Açısından İncelenmesi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Mimar Sinan Güzel Sanatlar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Domenico Carlo Maria Dragonetti’nin La Majör Kontrbas Konçertosunun Formal Analiz ve İcra Açısından İncelenmesi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Trakya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Kontrbas Tutuş ve Çalış Tekniklerinin Ses Üzerindeki Etkileri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İstanbul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Viyana Klasik Döneminde Kontrbas Çalgısının Yeri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Afyon Kocatepe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757"/>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Domenico Dragonetti La Majör Kontrabas Konçertosu'nun İncelenmesi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Mimar Sinan Güzel Sanatlar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Solo Kontrabasın Gelişim Süreci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Trakya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lastRenderedPageBreak/>
              <w:t>Edouard Nanny Kontrbas Etüt Kitabının Tekniksel Analizi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Gazi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Eğitim Bilimleri Enstitüsü</w:t>
            </w:r>
          </w:p>
        </w:tc>
      </w:tr>
      <w:tr w:rsidR="001E01BC" w:rsidRPr="001F3584" w:rsidTr="00CE773E">
        <w:trPr>
          <w:cnfStyle w:val="000000100000"/>
          <w:trHeight w:val="757"/>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Paul Hindemith Kontrbas Sonatının Analizi</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Mimar Sinan Güzel Sanatlar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757"/>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Carl Ditters Von Dittersdorf'un 2 Nolu Mi Majör Kontrabas Konçertosu</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Mimar Sinan Güzel Sanatlar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568"/>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Cumhuriyet Dönemi Sonrası Türk Müziği Kontrabas İcracıları</w:t>
            </w:r>
          </w:p>
        </w:tc>
        <w:tc>
          <w:tcPr>
            <w:tcW w:w="1547" w:type="dxa"/>
            <w:hideMark/>
          </w:tcPr>
          <w:p w:rsidR="001E01BC" w:rsidRPr="001F3584" w:rsidRDefault="001E01BC" w:rsidP="00025D4F">
            <w:pPr>
              <w:spacing w:before="120" w:after="120"/>
              <w:jc w:val="center"/>
              <w:cnfStyle w:val="000000100000"/>
              <w:rPr>
                <w:sz w:val="16"/>
                <w:szCs w:val="16"/>
              </w:rPr>
            </w:pPr>
            <w:r w:rsidRPr="001F3584">
              <w:rPr>
                <w:sz w:val="16"/>
                <w:szCs w:val="16"/>
              </w:rPr>
              <w:t>Haliç Üniversitesi</w:t>
            </w:r>
          </w:p>
        </w:tc>
        <w:tc>
          <w:tcPr>
            <w:tcW w:w="1278" w:type="dxa"/>
            <w:hideMark/>
          </w:tcPr>
          <w:p w:rsidR="001E01BC" w:rsidRPr="001F3584" w:rsidRDefault="001E01BC" w:rsidP="00025D4F">
            <w:pPr>
              <w:spacing w:before="120" w:after="120"/>
              <w:jc w:val="center"/>
              <w:cnfStyle w:val="000000100000"/>
              <w:rPr>
                <w:sz w:val="16"/>
                <w:szCs w:val="16"/>
              </w:rPr>
            </w:pPr>
            <w:r w:rsidRPr="001F3584">
              <w:rPr>
                <w:sz w:val="16"/>
                <w:szCs w:val="16"/>
              </w:rPr>
              <w:t>Sosyal Bilimler Enstitüsü</w:t>
            </w:r>
          </w:p>
        </w:tc>
      </w:tr>
      <w:tr w:rsidR="001E01BC" w:rsidRPr="001F3584" w:rsidTr="00CE773E">
        <w:trPr>
          <w:trHeight w:val="573"/>
          <w:jc w:val="center"/>
        </w:trPr>
        <w:tc>
          <w:tcPr>
            <w:cnfStyle w:val="001000000000"/>
            <w:tcW w:w="5347" w:type="dxa"/>
            <w:hideMark/>
          </w:tcPr>
          <w:p w:rsidR="001E01BC" w:rsidRPr="001F3584" w:rsidRDefault="001E01BC" w:rsidP="00025D4F">
            <w:pPr>
              <w:spacing w:before="120" w:after="120"/>
              <w:rPr>
                <w:b w:val="0"/>
                <w:sz w:val="16"/>
                <w:szCs w:val="16"/>
              </w:rPr>
            </w:pPr>
            <w:r w:rsidRPr="001F3584">
              <w:rPr>
                <w:sz w:val="16"/>
                <w:szCs w:val="16"/>
              </w:rPr>
              <w:t xml:space="preserve">18. </w:t>
            </w:r>
            <w:proofErr w:type="gramStart"/>
            <w:r w:rsidRPr="001F3584">
              <w:rPr>
                <w:sz w:val="16"/>
                <w:szCs w:val="16"/>
              </w:rPr>
              <w:t>ve</w:t>
            </w:r>
            <w:proofErr w:type="gramEnd"/>
            <w:r w:rsidRPr="001F3584">
              <w:rPr>
                <w:sz w:val="16"/>
                <w:szCs w:val="16"/>
              </w:rPr>
              <w:t xml:space="preserve"> 19. Yüzyılda Kontrabasın İtalya, Almanya ve Avusturya'daki Sanatsal Gelişiminin Tarihsel Açıdan İncelenmesi</w:t>
            </w:r>
          </w:p>
        </w:tc>
        <w:tc>
          <w:tcPr>
            <w:tcW w:w="1547" w:type="dxa"/>
            <w:hideMark/>
          </w:tcPr>
          <w:p w:rsidR="001E01BC" w:rsidRPr="001F3584" w:rsidRDefault="001E01BC" w:rsidP="00025D4F">
            <w:pPr>
              <w:spacing w:before="120" w:after="120"/>
              <w:jc w:val="center"/>
              <w:cnfStyle w:val="000000000000"/>
              <w:rPr>
                <w:sz w:val="16"/>
                <w:szCs w:val="16"/>
              </w:rPr>
            </w:pPr>
            <w:r w:rsidRPr="001F3584">
              <w:rPr>
                <w:sz w:val="16"/>
                <w:szCs w:val="16"/>
              </w:rPr>
              <w:t>Trakya Üniversitesi</w:t>
            </w:r>
          </w:p>
        </w:tc>
        <w:tc>
          <w:tcPr>
            <w:tcW w:w="1278" w:type="dxa"/>
            <w:hideMark/>
          </w:tcPr>
          <w:p w:rsidR="001E01BC" w:rsidRPr="001F3584" w:rsidRDefault="001E01BC" w:rsidP="00025D4F">
            <w:pPr>
              <w:spacing w:before="120" w:after="120"/>
              <w:jc w:val="center"/>
              <w:cnfStyle w:val="000000000000"/>
              <w:rPr>
                <w:sz w:val="16"/>
                <w:szCs w:val="16"/>
              </w:rPr>
            </w:pPr>
            <w:r w:rsidRPr="001F3584">
              <w:rPr>
                <w:sz w:val="16"/>
                <w:szCs w:val="16"/>
              </w:rPr>
              <w:t>Sosyal Bilimler Enstitüsü</w:t>
            </w:r>
          </w:p>
        </w:tc>
      </w:tr>
      <w:tr w:rsidR="001E01BC" w:rsidRPr="001F3584" w:rsidTr="00CE773E">
        <w:trPr>
          <w:cnfStyle w:val="000000100000"/>
          <w:trHeight w:val="548"/>
          <w:jc w:val="center"/>
        </w:trPr>
        <w:tc>
          <w:tcPr>
            <w:cnfStyle w:val="001000000000"/>
            <w:tcW w:w="5347" w:type="dxa"/>
          </w:tcPr>
          <w:p w:rsidR="001E01BC" w:rsidRPr="001F3584" w:rsidRDefault="001E01BC" w:rsidP="00D87172">
            <w:pPr>
              <w:spacing w:before="120" w:after="120"/>
              <w:rPr>
                <w:b w:val="0"/>
                <w:sz w:val="16"/>
                <w:szCs w:val="16"/>
              </w:rPr>
            </w:pPr>
            <w:r w:rsidRPr="001F3584">
              <w:rPr>
                <w:sz w:val="16"/>
                <w:szCs w:val="16"/>
              </w:rPr>
              <w:t>Türkiye’de Mesleki Müzik Eğitimi Kurumlarında Verilen Kontrbas Eğitimi Üzerine Bir İnceleme</w:t>
            </w:r>
          </w:p>
        </w:tc>
        <w:tc>
          <w:tcPr>
            <w:tcW w:w="1547" w:type="dxa"/>
          </w:tcPr>
          <w:p w:rsidR="001E01BC" w:rsidRPr="001F3584" w:rsidRDefault="001E01BC" w:rsidP="00025D4F">
            <w:pPr>
              <w:spacing w:before="120" w:after="120"/>
              <w:jc w:val="center"/>
              <w:cnfStyle w:val="000000100000"/>
              <w:rPr>
                <w:sz w:val="16"/>
                <w:szCs w:val="16"/>
              </w:rPr>
            </w:pPr>
            <w:r w:rsidRPr="001F3584">
              <w:rPr>
                <w:sz w:val="16"/>
                <w:szCs w:val="16"/>
              </w:rPr>
              <w:t>Atatürk Üniversitesi</w:t>
            </w:r>
          </w:p>
        </w:tc>
        <w:tc>
          <w:tcPr>
            <w:tcW w:w="1278" w:type="dxa"/>
          </w:tcPr>
          <w:p w:rsidR="001E01BC" w:rsidRPr="001F3584" w:rsidRDefault="001E01BC" w:rsidP="00025D4F">
            <w:pPr>
              <w:spacing w:before="120" w:after="120"/>
              <w:jc w:val="center"/>
              <w:cnfStyle w:val="000000100000"/>
              <w:rPr>
                <w:sz w:val="16"/>
                <w:szCs w:val="16"/>
              </w:rPr>
            </w:pPr>
            <w:r w:rsidRPr="001F3584">
              <w:rPr>
                <w:sz w:val="16"/>
                <w:szCs w:val="16"/>
              </w:rPr>
              <w:t>Güzel Sanatlar Enstitüsü</w:t>
            </w:r>
          </w:p>
        </w:tc>
      </w:tr>
    </w:tbl>
    <w:p w:rsidR="001E01BC" w:rsidRPr="001F3584" w:rsidRDefault="001E01BC" w:rsidP="00025D4F">
      <w:pPr>
        <w:pStyle w:val="GvdeMetni"/>
        <w:spacing w:before="120" w:after="120" w:line="360" w:lineRule="auto"/>
        <w:ind w:left="548" w:right="109" w:firstLine="720"/>
        <w:jc w:val="both"/>
        <w:rPr>
          <w:lang w:val="tr-TR"/>
        </w:rPr>
      </w:pPr>
    </w:p>
    <w:p w:rsidR="001E01BC" w:rsidRDefault="001E01BC" w:rsidP="00025D4F">
      <w:pPr>
        <w:pStyle w:val="GvdeMetni"/>
        <w:spacing w:before="120" w:after="120" w:line="480" w:lineRule="auto"/>
        <w:ind w:right="109" w:firstLine="720"/>
        <w:jc w:val="both"/>
        <w:rPr>
          <w:lang w:val="tr-TR"/>
        </w:rPr>
      </w:pPr>
      <w:r w:rsidRPr="001F3584">
        <w:rPr>
          <w:lang w:val="tr-TR"/>
        </w:rPr>
        <w:t>Grafik 2’de ve Tablo 3’de beli</w:t>
      </w:r>
      <w:r w:rsidR="0045149F" w:rsidRPr="001F3584">
        <w:rPr>
          <w:lang w:val="tr-TR"/>
        </w:rPr>
        <w:t>rtildiği üzere Enstitü bazında üç</w:t>
      </w:r>
      <w:r w:rsidRPr="001F3584">
        <w:rPr>
          <w:lang w:val="tr-TR"/>
        </w:rPr>
        <w:t xml:space="preserve"> adet lisansüstü tezi </w:t>
      </w:r>
      <w:r w:rsidR="0045149F" w:rsidRPr="001F3584">
        <w:rPr>
          <w:lang w:val="tr-TR"/>
        </w:rPr>
        <w:t>Eğitim Bilimleri Enstitüsünde, iki</w:t>
      </w:r>
      <w:r w:rsidRPr="001F3584">
        <w:rPr>
          <w:lang w:val="tr-TR"/>
        </w:rPr>
        <w:t xml:space="preserve"> adet lisansüstü tezi Güzel Sanatlar Enstitüsünde diğer 20 adet lisansüstü tezi ise Sosyal Bilimler Enstitüsünde ya</w:t>
      </w:r>
      <w:r w:rsidR="0045149F" w:rsidRPr="001F3584">
        <w:rPr>
          <w:lang w:val="tr-TR"/>
        </w:rPr>
        <w:t xml:space="preserve">zılmıştır. </w:t>
      </w:r>
      <w:proofErr w:type="gramStart"/>
      <w:r w:rsidR="0045149F" w:rsidRPr="001F3584">
        <w:rPr>
          <w:lang w:val="tr-TR"/>
        </w:rPr>
        <w:t>Üniversite bazında, iki</w:t>
      </w:r>
      <w:r w:rsidRPr="001F3584">
        <w:rPr>
          <w:lang w:val="tr-TR"/>
        </w:rPr>
        <w:t xml:space="preserve"> adet lisansüstü tezi Anadolu Üniversitesinde, </w:t>
      </w:r>
      <w:r w:rsidR="0045149F" w:rsidRPr="001F3584">
        <w:rPr>
          <w:lang w:val="tr-TR"/>
        </w:rPr>
        <w:t>üç</w:t>
      </w:r>
      <w:r w:rsidRPr="001F3584">
        <w:rPr>
          <w:lang w:val="tr-TR"/>
        </w:rPr>
        <w:t xml:space="preserve"> adet lisansü</w:t>
      </w:r>
      <w:r w:rsidR="0045149F" w:rsidRPr="001F3584">
        <w:rPr>
          <w:lang w:val="tr-TR"/>
        </w:rPr>
        <w:t>stü tezi Gazi Üniversitesinde, beş</w:t>
      </w:r>
      <w:r w:rsidRPr="001F3584">
        <w:rPr>
          <w:lang w:val="tr-TR"/>
        </w:rPr>
        <w:t xml:space="preserve"> adet lisansüstü</w:t>
      </w:r>
      <w:r w:rsidRPr="001F3584">
        <w:rPr>
          <w:spacing w:val="-7"/>
          <w:lang w:val="tr-TR"/>
        </w:rPr>
        <w:t xml:space="preserve"> </w:t>
      </w:r>
      <w:r w:rsidRPr="001F3584">
        <w:rPr>
          <w:lang w:val="tr-TR"/>
        </w:rPr>
        <w:t>tezi</w:t>
      </w:r>
      <w:r w:rsidRPr="001F3584">
        <w:rPr>
          <w:spacing w:val="-7"/>
          <w:lang w:val="tr-TR"/>
        </w:rPr>
        <w:t xml:space="preserve"> </w:t>
      </w:r>
      <w:r w:rsidRPr="001F3584">
        <w:rPr>
          <w:lang w:val="tr-TR"/>
        </w:rPr>
        <w:t>İstanbul</w:t>
      </w:r>
      <w:r w:rsidRPr="001F3584">
        <w:rPr>
          <w:spacing w:val="-7"/>
          <w:lang w:val="tr-TR"/>
        </w:rPr>
        <w:t xml:space="preserve"> </w:t>
      </w:r>
      <w:r w:rsidRPr="001F3584">
        <w:rPr>
          <w:lang w:val="tr-TR"/>
        </w:rPr>
        <w:t>Üniversitesinde,</w:t>
      </w:r>
      <w:r w:rsidRPr="001F3584">
        <w:rPr>
          <w:spacing w:val="-8"/>
          <w:lang w:val="tr-TR"/>
        </w:rPr>
        <w:t xml:space="preserve"> </w:t>
      </w:r>
      <w:r w:rsidRPr="001F3584">
        <w:rPr>
          <w:lang w:val="tr-TR"/>
        </w:rPr>
        <w:t>1</w:t>
      </w:r>
      <w:r w:rsidRPr="001F3584">
        <w:rPr>
          <w:spacing w:val="-7"/>
          <w:lang w:val="tr-TR"/>
        </w:rPr>
        <w:t xml:space="preserve"> </w:t>
      </w:r>
      <w:r w:rsidRPr="001F3584">
        <w:rPr>
          <w:lang w:val="tr-TR"/>
        </w:rPr>
        <w:t>adet</w:t>
      </w:r>
      <w:r w:rsidRPr="001F3584">
        <w:rPr>
          <w:spacing w:val="-7"/>
          <w:lang w:val="tr-TR"/>
        </w:rPr>
        <w:t xml:space="preserve"> </w:t>
      </w:r>
      <w:r w:rsidRPr="001F3584">
        <w:rPr>
          <w:lang w:val="tr-TR"/>
        </w:rPr>
        <w:t>lisansüstü</w:t>
      </w:r>
      <w:r w:rsidRPr="001F3584">
        <w:rPr>
          <w:spacing w:val="-7"/>
          <w:lang w:val="tr-TR"/>
        </w:rPr>
        <w:t xml:space="preserve"> </w:t>
      </w:r>
      <w:r w:rsidRPr="001F3584">
        <w:rPr>
          <w:lang w:val="tr-TR"/>
        </w:rPr>
        <w:t>tezi</w:t>
      </w:r>
      <w:r w:rsidRPr="001F3584">
        <w:rPr>
          <w:spacing w:val="-7"/>
          <w:lang w:val="tr-TR"/>
        </w:rPr>
        <w:t xml:space="preserve"> </w:t>
      </w:r>
      <w:r w:rsidRPr="001F3584">
        <w:rPr>
          <w:lang w:val="tr-TR"/>
        </w:rPr>
        <w:t>Yıldız</w:t>
      </w:r>
      <w:r w:rsidRPr="001F3584">
        <w:rPr>
          <w:spacing w:val="-6"/>
          <w:lang w:val="tr-TR"/>
        </w:rPr>
        <w:t xml:space="preserve"> </w:t>
      </w:r>
      <w:r w:rsidRPr="001F3584">
        <w:rPr>
          <w:lang w:val="tr-TR"/>
        </w:rPr>
        <w:t>Teknik</w:t>
      </w:r>
      <w:r w:rsidRPr="001F3584">
        <w:rPr>
          <w:spacing w:val="-7"/>
          <w:lang w:val="tr-TR"/>
        </w:rPr>
        <w:t xml:space="preserve"> </w:t>
      </w:r>
      <w:r w:rsidR="0045149F" w:rsidRPr="001F3584">
        <w:rPr>
          <w:lang w:val="tr-TR"/>
        </w:rPr>
        <w:t>Üniversitesinde, beş</w:t>
      </w:r>
      <w:r w:rsidRPr="001F3584">
        <w:rPr>
          <w:lang w:val="tr-TR"/>
        </w:rPr>
        <w:t xml:space="preserve"> adet lisansüstü tezi Mimar Sinan G</w:t>
      </w:r>
      <w:r w:rsidR="0045149F" w:rsidRPr="001F3584">
        <w:rPr>
          <w:lang w:val="tr-TR"/>
        </w:rPr>
        <w:t>üzel Sanatlar Üniversitesinde, dört</w:t>
      </w:r>
      <w:r w:rsidRPr="001F3584">
        <w:rPr>
          <w:lang w:val="tr-TR"/>
        </w:rPr>
        <w:t xml:space="preserve"> adet lisansüst</w:t>
      </w:r>
      <w:r w:rsidR="0045149F" w:rsidRPr="001F3584">
        <w:rPr>
          <w:lang w:val="tr-TR"/>
        </w:rPr>
        <w:t>ü tezi Trakya Üniversitesinde, iki</w:t>
      </w:r>
      <w:r w:rsidRPr="001F3584">
        <w:rPr>
          <w:lang w:val="tr-TR"/>
        </w:rPr>
        <w:t xml:space="preserve"> adet lisansüstü tezi A</w:t>
      </w:r>
      <w:r w:rsidR="0045149F" w:rsidRPr="001F3584">
        <w:rPr>
          <w:lang w:val="tr-TR"/>
        </w:rPr>
        <w:t>fyon Kocatepe Üniversitesinde, bir</w:t>
      </w:r>
      <w:r w:rsidRPr="001F3584">
        <w:rPr>
          <w:lang w:val="tr-TR"/>
        </w:rPr>
        <w:t xml:space="preserve"> adet lisansüstü tez</w:t>
      </w:r>
      <w:r w:rsidR="0045149F" w:rsidRPr="001F3584">
        <w:rPr>
          <w:lang w:val="tr-TR"/>
        </w:rPr>
        <w:t>i Dokuz Eylül Üniversitesinde, bir</w:t>
      </w:r>
      <w:r w:rsidRPr="001F3584">
        <w:rPr>
          <w:lang w:val="tr-TR"/>
        </w:rPr>
        <w:t xml:space="preserve"> adet lisansüs</w:t>
      </w:r>
      <w:r w:rsidR="0045149F" w:rsidRPr="001F3584">
        <w:rPr>
          <w:lang w:val="tr-TR"/>
        </w:rPr>
        <w:t>tü tezi Haliç Üniversitesinde, bir</w:t>
      </w:r>
      <w:r w:rsidRPr="001F3584">
        <w:rPr>
          <w:lang w:val="tr-TR"/>
        </w:rPr>
        <w:t xml:space="preserve"> adet</w:t>
      </w:r>
      <w:r w:rsidRPr="001F3584">
        <w:rPr>
          <w:spacing w:val="-13"/>
          <w:lang w:val="tr-TR"/>
        </w:rPr>
        <w:t xml:space="preserve"> </w:t>
      </w:r>
      <w:r w:rsidRPr="001F3584">
        <w:rPr>
          <w:lang w:val="tr-TR"/>
        </w:rPr>
        <w:t>lisansüstü</w:t>
      </w:r>
      <w:r w:rsidRPr="001F3584">
        <w:rPr>
          <w:spacing w:val="-13"/>
          <w:lang w:val="tr-TR"/>
        </w:rPr>
        <w:t xml:space="preserve"> </w:t>
      </w:r>
      <w:r w:rsidRPr="001F3584">
        <w:rPr>
          <w:lang w:val="tr-TR"/>
        </w:rPr>
        <w:t>tezi</w:t>
      </w:r>
      <w:r w:rsidRPr="001F3584">
        <w:rPr>
          <w:spacing w:val="-15"/>
          <w:lang w:val="tr-TR"/>
        </w:rPr>
        <w:t xml:space="preserve"> </w:t>
      </w:r>
      <w:r w:rsidRPr="001F3584">
        <w:rPr>
          <w:lang w:val="tr-TR"/>
        </w:rPr>
        <w:t>Atatürk</w:t>
      </w:r>
      <w:r w:rsidRPr="001F3584">
        <w:rPr>
          <w:spacing w:val="-13"/>
          <w:lang w:val="tr-TR"/>
        </w:rPr>
        <w:t xml:space="preserve"> </w:t>
      </w:r>
      <w:r w:rsidRPr="001F3584">
        <w:rPr>
          <w:lang w:val="tr-TR"/>
        </w:rPr>
        <w:t>Üniversitesinde</w:t>
      </w:r>
      <w:r w:rsidRPr="001F3584">
        <w:rPr>
          <w:spacing w:val="-11"/>
          <w:lang w:val="tr-TR"/>
        </w:rPr>
        <w:t xml:space="preserve"> </w:t>
      </w:r>
      <w:r w:rsidRPr="001F3584">
        <w:rPr>
          <w:lang w:val="tr-TR"/>
        </w:rPr>
        <w:t>yazılmıştır.</w:t>
      </w:r>
      <w:r w:rsidRPr="001F3584">
        <w:rPr>
          <w:spacing w:val="-14"/>
          <w:lang w:val="tr-TR"/>
        </w:rPr>
        <w:t xml:space="preserve"> </w:t>
      </w:r>
      <w:proofErr w:type="gramEnd"/>
      <w:r w:rsidRPr="001F3584">
        <w:rPr>
          <w:lang w:val="tr-TR"/>
        </w:rPr>
        <w:t>Türkiye’de</w:t>
      </w:r>
      <w:r w:rsidRPr="001F3584">
        <w:rPr>
          <w:spacing w:val="-14"/>
          <w:lang w:val="tr-TR"/>
        </w:rPr>
        <w:t xml:space="preserve"> </w:t>
      </w:r>
      <w:r w:rsidRPr="001F3584">
        <w:rPr>
          <w:lang w:val="tr-TR"/>
        </w:rPr>
        <w:t>kontrbas</w:t>
      </w:r>
      <w:r w:rsidRPr="001F3584">
        <w:rPr>
          <w:spacing w:val="-10"/>
          <w:lang w:val="tr-TR"/>
        </w:rPr>
        <w:t xml:space="preserve"> </w:t>
      </w:r>
      <w:r w:rsidRPr="001F3584">
        <w:rPr>
          <w:lang w:val="tr-TR"/>
        </w:rPr>
        <w:t>konulu</w:t>
      </w:r>
      <w:r w:rsidRPr="001F3584">
        <w:rPr>
          <w:spacing w:val="-10"/>
          <w:lang w:val="tr-TR"/>
        </w:rPr>
        <w:t xml:space="preserve"> </w:t>
      </w:r>
      <w:r w:rsidRPr="001F3584">
        <w:rPr>
          <w:lang w:val="tr-TR"/>
        </w:rPr>
        <w:t>yazılmış en çok lisansüstü tezi “Sosyal Bilimler Enstitü</w:t>
      </w:r>
      <w:r w:rsidR="0045149F" w:rsidRPr="001F3584">
        <w:rPr>
          <w:lang w:val="tr-TR"/>
        </w:rPr>
        <w:t>sü”nde yazılmıştır. Bu durumu, üç</w:t>
      </w:r>
      <w:r w:rsidRPr="001F3584">
        <w:rPr>
          <w:lang w:val="tr-TR"/>
        </w:rPr>
        <w:t xml:space="preserve"> adet lisansüstü tezi ile</w:t>
      </w:r>
      <w:r w:rsidR="0045149F" w:rsidRPr="001F3584">
        <w:rPr>
          <w:lang w:val="tr-TR"/>
        </w:rPr>
        <w:t xml:space="preserve"> “Eğitim Bilimleri Enstitüsü”, iki</w:t>
      </w:r>
      <w:r w:rsidRPr="001F3584">
        <w:rPr>
          <w:lang w:val="tr-TR"/>
        </w:rPr>
        <w:t xml:space="preserve"> adet lisansüstü tezi ile “Güzel Sanatlar Enstitüsü”</w:t>
      </w:r>
      <w:r w:rsidRPr="001F3584">
        <w:rPr>
          <w:spacing w:val="-1"/>
          <w:lang w:val="tr-TR"/>
        </w:rPr>
        <w:t xml:space="preserve"> </w:t>
      </w:r>
      <w:r w:rsidRPr="001F3584">
        <w:rPr>
          <w:lang w:val="tr-TR"/>
        </w:rPr>
        <w:t>izlemektedir.</w:t>
      </w:r>
    </w:p>
    <w:p w:rsidR="00DF0259" w:rsidRDefault="00DF0259" w:rsidP="00025D4F">
      <w:pPr>
        <w:pStyle w:val="GvdeMetni"/>
        <w:spacing w:before="120" w:after="120" w:line="480" w:lineRule="auto"/>
        <w:ind w:right="109" w:firstLine="720"/>
        <w:jc w:val="both"/>
        <w:rPr>
          <w:lang w:val="tr-TR"/>
        </w:rPr>
      </w:pPr>
    </w:p>
    <w:p w:rsidR="00DF0259" w:rsidRDefault="00DF0259" w:rsidP="00025D4F">
      <w:pPr>
        <w:pStyle w:val="GvdeMetni"/>
        <w:spacing w:before="120" w:after="120" w:line="480" w:lineRule="auto"/>
        <w:ind w:right="109" w:firstLine="720"/>
        <w:jc w:val="both"/>
        <w:rPr>
          <w:lang w:val="tr-TR"/>
        </w:rPr>
      </w:pPr>
    </w:p>
    <w:p w:rsidR="00DF0259" w:rsidRPr="001F3584" w:rsidRDefault="00DF0259" w:rsidP="00025D4F">
      <w:pPr>
        <w:pStyle w:val="GvdeMetni"/>
        <w:spacing w:before="120" w:after="120" w:line="480" w:lineRule="auto"/>
        <w:ind w:right="109" w:firstLine="720"/>
        <w:jc w:val="both"/>
        <w:rPr>
          <w:lang w:val="tr-TR"/>
        </w:rPr>
      </w:pPr>
    </w:p>
    <w:p w:rsidR="001E01BC" w:rsidRPr="00313C5E" w:rsidRDefault="001E01BC" w:rsidP="00025D4F">
      <w:pPr>
        <w:pStyle w:val="ResimYazs"/>
        <w:spacing w:before="120" w:after="120"/>
        <w:jc w:val="center"/>
        <w:rPr>
          <w:rFonts w:ascii="Times New Roman" w:hAnsi="Times New Roman" w:cs="Times New Roman"/>
          <w:i w:val="0"/>
          <w:color w:val="auto"/>
          <w:sz w:val="24"/>
          <w:szCs w:val="24"/>
          <w:lang w:val="tr-TR"/>
        </w:rPr>
      </w:pPr>
      <w:bookmarkStart w:id="6" w:name="_Toc487720428"/>
      <w:r w:rsidRPr="00313C5E">
        <w:rPr>
          <w:rFonts w:ascii="Times New Roman" w:hAnsi="Times New Roman" w:cs="Times New Roman"/>
          <w:i w:val="0"/>
          <w:color w:val="auto"/>
          <w:sz w:val="24"/>
          <w:szCs w:val="24"/>
          <w:lang w:val="tr-TR"/>
        </w:rPr>
        <w:lastRenderedPageBreak/>
        <w:t xml:space="preserve">Tablo </w:t>
      </w:r>
      <w:r w:rsidR="00AE1C09" w:rsidRPr="00313C5E">
        <w:rPr>
          <w:rFonts w:ascii="Times New Roman" w:hAnsi="Times New Roman" w:cs="Times New Roman"/>
          <w:i w:val="0"/>
          <w:color w:val="auto"/>
          <w:sz w:val="24"/>
          <w:szCs w:val="24"/>
          <w:lang w:val="tr-TR"/>
        </w:rPr>
        <w:fldChar w:fldCharType="begin"/>
      </w:r>
      <w:r w:rsidRPr="00313C5E">
        <w:rPr>
          <w:rFonts w:ascii="Times New Roman" w:hAnsi="Times New Roman" w:cs="Times New Roman"/>
          <w:i w:val="0"/>
          <w:color w:val="auto"/>
          <w:sz w:val="24"/>
          <w:szCs w:val="24"/>
          <w:lang w:val="tr-TR"/>
        </w:rPr>
        <w:instrText xml:space="preserve"> SEQ Tablo \* ARABIC </w:instrText>
      </w:r>
      <w:r w:rsidR="00AE1C09" w:rsidRPr="00313C5E">
        <w:rPr>
          <w:rFonts w:ascii="Times New Roman" w:hAnsi="Times New Roman" w:cs="Times New Roman"/>
          <w:i w:val="0"/>
          <w:color w:val="auto"/>
          <w:sz w:val="24"/>
          <w:szCs w:val="24"/>
          <w:lang w:val="tr-TR"/>
        </w:rPr>
        <w:fldChar w:fldCharType="separate"/>
      </w:r>
      <w:r w:rsidR="00CF701E">
        <w:rPr>
          <w:rFonts w:ascii="Times New Roman" w:hAnsi="Times New Roman" w:cs="Times New Roman"/>
          <w:i w:val="0"/>
          <w:noProof/>
          <w:color w:val="auto"/>
          <w:sz w:val="24"/>
          <w:szCs w:val="24"/>
          <w:lang w:val="tr-TR"/>
        </w:rPr>
        <w:t>4</w:t>
      </w:r>
      <w:r w:rsidR="00AE1C09" w:rsidRPr="00313C5E">
        <w:rPr>
          <w:rFonts w:ascii="Times New Roman" w:hAnsi="Times New Roman" w:cs="Times New Roman"/>
          <w:i w:val="0"/>
          <w:noProof/>
          <w:color w:val="auto"/>
          <w:sz w:val="24"/>
          <w:szCs w:val="24"/>
          <w:lang w:val="tr-TR"/>
        </w:rPr>
        <w:fldChar w:fldCharType="end"/>
      </w:r>
      <w:r w:rsidRPr="00313C5E">
        <w:rPr>
          <w:rFonts w:ascii="Times New Roman" w:hAnsi="Times New Roman" w:cs="Times New Roman"/>
          <w:i w:val="0"/>
          <w:noProof/>
          <w:color w:val="auto"/>
          <w:sz w:val="24"/>
          <w:szCs w:val="24"/>
          <w:lang w:val="tr-TR"/>
        </w:rPr>
        <w:t>.</w:t>
      </w:r>
      <w:r w:rsidRPr="00313C5E">
        <w:rPr>
          <w:rFonts w:ascii="Times New Roman" w:hAnsi="Times New Roman" w:cs="Times New Roman"/>
          <w:i w:val="0"/>
          <w:color w:val="auto"/>
          <w:sz w:val="24"/>
          <w:szCs w:val="24"/>
          <w:lang w:val="tr-TR"/>
        </w:rPr>
        <w:t xml:space="preserve"> </w:t>
      </w:r>
      <w:r w:rsidRPr="005B1229">
        <w:rPr>
          <w:rFonts w:ascii="Times New Roman" w:hAnsi="Times New Roman" w:cs="Times New Roman"/>
          <w:color w:val="auto"/>
          <w:sz w:val="24"/>
          <w:szCs w:val="24"/>
          <w:lang w:val="tr-TR"/>
        </w:rPr>
        <w:t>Türkiye’de Kontrbas Konulu Yazılmış Lisansüstü Tezlerin Yazıldıkları Enstitülere ve Üniversitelere Göre Yüzde ve Frekans Tablosu</w:t>
      </w:r>
      <w:bookmarkEnd w:id="6"/>
    </w:p>
    <w:tbl>
      <w:tblPr>
        <w:tblStyle w:val="ListeTablo1Ak-Vurgu51"/>
        <w:tblpPr w:leftFromText="141" w:rightFromText="141" w:vertAnchor="text" w:tblpXSpec="center" w:tblpY="1"/>
        <w:tblOverlap w:val="never"/>
        <w:tblW w:w="7504" w:type="dxa"/>
        <w:tblLook w:val="04A0"/>
      </w:tblPr>
      <w:tblGrid>
        <w:gridCol w:w="3536"/>
        <w:gridCol w:w="104"/>
        <w:gridCol w:w="435"/>
        <w:gridCol w:w="168"/>
        <w:gridCol w:w="3261"/>
      </w:tblGrid>
      <w:tr w:rsidR="001E01BC" w:rsidRPr="001F3584" w:rsidTr="00CE773E">
        <w:trPr>
          <w:cnfStyle w:val="100000000000"/>
          <w:trHeight w:val="265"/>
        </w:trPr>
        <w:tc>
          <w:tcPr>
            <w:cnfStyle w:val="001000000000"/>
            <w:tcW w:w="3640" w:type="dxa"/>
            <w:gridSpan w:val="2"/>
            <w:noWrap/>
            <w:hideMark/>
          </w:tcPr>
          <w:p w:rsidR="001E01BC" w:rsidRPr="001F3584" w:rsidRDefault="001E01BC" w:rsidP="00025D4F">
            <w:pPr>
              <w:spacing w:before="120" w:after="120"/>
              <w:rPr>
                <w:sz w:val="20"/>
                <w:szCs w:val="20"/>
              </w:rPr>
            </w:pPr>
            <w:r w:rsidRPr="001F3584">
              <w:rPr>
                <w:sz w:val="20"/>
                <w:szCs w:val="20"/>
              </w:rPr>
              <w:t>Enstitüler</w:t>
            </w:r>
          </w:p>
        </w:tc>
        <w:tc>
          <w:tcPr>
            <w:tcW w:w="435" w:type="dxa"/>
            <w:noWrap/>
            <w:hideMark/>
          </w:tcPr>
          <w:p w:rsidR="001E01BC" w:rsidRPr="001F3584" w:rsidRDefault="001E01BC" w:rsidP="00025D4F">
            <w:pPr>
              <w:spacing w:before="120" w:after="120"/>
              <w:jc w:val="center"/>
              <w:cnfStyle w:val="100000000000"/>
              <w:rPr>
                <w:sz w:val="20"/>
                <w:szCs w:val="20"/>
              </w:rPr>
            </w:pPr>
            <w:r w:rsidRPr="001F3584">
              <w:rPr>
                <w:sz w:val="20"/>
                <w:szCs w:val="20"/>
              </w:rPr>
              <w:t>f</w:t>
            </w:r>
          </w:p>
        </w:tc>
        <w:tc>
          <w:tcPr>
            <w:tcW w:w="3429" w:type="dxa"/>
            <w:gridSpan w:val="2"/>
            <w:noWrap/>
            <w:hideMark/>
          </w:tcPr>
          <w:p w:rsidR="001E01BC" w:rsidRPr="001F3584" w:rsidRDefault="001E01BC" w:rsidP="00025D4F">
            <w:pPr>
              <w:spacing w:before="120" w:after="120"/>
              <w:jc w:val="center"/>
              <w:cnfStyle w:val="100000000000"/>
              <w:rPr>
                <w:sz w:val="20"/>
                <w:szCs w:val="20"/>
              </w:rPr>
            </w:pPr>
            <w:r w:rsidRPr="001F3584">
              <w:rPr>
                <w:sz w:val="20"/>
                <w:szCs w:val="20"/>
              </w:rPr>
              <w:t>%</w:t>
            </w:r>
          </w:p>
        </w:tc>
      </w:tr>
      <w:tr w:rsidR="001E01BC" w:rsidRPr="001F3584" w:rsidTr="00CE773E">
        <w:trPr>
          <w:cnfStyle w:val="000000100000"/>
          <w:trHeight w:val="265"/>
        </w:trPr>
        <w:tc>
          <w:tcPr>
            <w:cnfStyle w:val="001000000000"/>
            <w:tcW w:w="3640" w:type="dxa"/>
            <w:gridSpan w:val="2"/>
            <w:noWrap/>
            <w:hideMark/>
          </w:tcPr>
          <w:p w:rsidR="001E01BC" w:rsidRPr="001F3584" w:rsidRDefault="001E01BC" w:rsidP="00025D4F">
            <w:pPr>
              <w:spacing w:before="120" w:after="120"/>
              <w:rPr>
                <w:sz w:val="20"/>
                <w:szCs w:val="20"/>
              </w:rPr>
            </w:pPr>
            <w:r w:rsidRPr="001F3584">
              <w:rPr>
                <w:sz w:val="20"/>
                <w:szCs w:val="20"/>
              </w:rPr>
              <w:t> </w:t>
            </w:r>
          </w:p>
        </w:tc>
        <w:tc>
          <w:tcPr>
            <w:tcW w:w="435" w:type="dxa"/>
            <w:noWrap/>
            <w:hideMark/>
          </w:tcPr>
          <w:p w:rsidR="001E01BC" w:rsidRPr="001F3584" w:rsidRDefault="001E01BC" w:rsidP="00025D4F">
            <w:pPr>
              <w:spacing w:before="120" w:after="120"/>
              <w:cnfStyle w:val="000000100000"/>
              <w:rPr>
                <w:sz w:val="20"/>
                <w:szCs w:val="20"/>
              </w:rPr>
            </w:pPr>
            <w:r w:rsidRPr="001F3584">
              <w:rPr>
                <w:sz w:val="20"/>
                <w:szCs w:val="20"/>
              </w:rPr>
              <w:t> </w:t>
            </w:r>
          </w:p>
        </w:tc>
        <w:tc>
          <w:tcPr>
            <w:tcW w:w="3429" w:type="dxa"/>
            <w:gridSpan w:val="2"/>
            <w:noWrap/>
            <w:hideMark/>
          </w:tcPr>
          <w:p w:rsidR="001E01BC" w:rsidRPr="001F3584" w:rsidRDefault="001E01BC" w:rsidP="00025D4F">
            <w:pPr>
              <w:spacing w:before="120" w:after="120"/>
              <w:cnfStyle w:val="000000100000"/>
              <w:rPr>
                <w:sz w:val="20"/>
                <w:szCs w:val="20"/>
              </w:rPr>
            </w:pPr>
            <w:r w:rsidRPr="001F3584">
              <w:rPr>
                <w:sz w:val="20"/>
                <w:szCs w:val="20"/>
              </w:rPr>
              <w:t> </w:t>
            </w:r>
          </w:p>
        </w:tc>
      </w:tr>
      <w:tr w:rsidR="001E01BC" w:rsidRPr="001F3584" w:rsidTr="00CE773E">
        <w:trPr>
          <w:trHeight w:val="265"/>
        </w:trPr>
        <w:tc>
          <w:tcPr>
            <w:cnfStyle w:val="001000000000"/>
            <w:tcW w:w="3640" w:type="dxa"/>
            <w:gridSpan w:val="2"/>
            <w:noWrap/>
            <w:hideMark/>
          </w:tcPr>
          <w:p w:rsidR="001E01BC" w:rsidRPr="001F3584" w:rsidRDefault="001E01BC" w:rsidP="00025D4F">
            <w:pPr>
              <w:spacing w:before="120" w:after="120"/>
              <w:rPr>
                <w:b w:val="0"/>
                <w:sz w:val="20"/>
                <w:szCs w:val="20"/>
              </w:rPr>
            </w:pPr>
            <w:r w:rsidRPr="001F3584">
              <w:rPr>
                <w:sz w:val="20"/>
                <w:szCs w:val="20"/>
              </w:rPr>
              <w:t>Eğitim Bilimleri Enstitüsü</w:t>
            </w:r>
          </w:p>
        </w:tc>
        <w:tc>
          <w:tcPr>
            <w:tcW w:w="435" w:type="dxa"/>
            <w:noWrap/>
            <w:hideMark/>
          </w:tcPr>
          <w:p w:rsidR="001E01BC" w:rsidRPr="001F3584" w:rsidRDefault="001E01BC" w:rsidP="00025D4F">
            <w:pPr>
              <w:spacing w:before="120" w:after="120"/>
              <w:jc w:val="center"/>
              <w:cnfStyle w:val="000000000000"/>
              <w:rPr>
                <w:sz w:val="20"/>
                <w:szCs w:val="20"/>
              </w:rPr>
            </w:pPr>
            <w:r w:rsidRPr="001F3584">
              <w:rPr>
                <w:sz w:val="20"/>
                <w:szCs w:val="20"/>
              </w:rPr>
              <w:t>3</w:t>
            </w:r>
          </w:p>
        </w:tc>
        <w:tc>
          <w:tcPr>
            <w:tcW w:w="3429" w:type="dxa"/>
            <w:gridSpan w:val="2"/>
            <w:noWrap/>
            <w:hideMark/>
          </w:tcPr>
          <w:p w:rsidR="001E01BC" w:rsidRPr="001F3584" w:rsidRDefault="00A22FBA" w:rsidP="00025D4F">
            <w:pPr>
              <w:spacing w:before="120" w:after="120"/>
              <w:jc w:val="center"/>
              <w:cnfStyle w:val="000000000000"/>
              <w:rPr>
                <w:sz w:val="20"/>
                <w:szCs w:val="20"/>
              </w:rPr>
            </w:pPr>
            <w:r>
              <w:rPr>
                <w:sz w:val="20"/>
                <w:szCs w:val="20"/>
              </w:rPr>
              <w:t>12</w:t>
            </w:r>
            <w:r w:rsidR="001E01BC" w:rsidRPr="001F3584">
              <w:rPr>
                <w:sz w:val="20"/>
                <w:szCs w:val="20"/>
              </w:rPr>
              <w:t>%</w:t>
            </w:r>
          </w:p>
        </w:tc>
      </w:tr>
      <w:tr w:rsidR="001E01BC" w:rsidRPr="001F3584" w:rsidTr="00CE773E">
        <w:trPr>
          <w:cnfStyle w:val="000000100000"/>
          <w:trHeight w:val="265"/>
        </w:trPr>
        <w:tc>
          <w:tcPr>
            <w:cnfStyle w:val="001000000000"/>
            <w:tcW w:w="3640" w:type="dxa"/>
            <w:gridSpan w:val="2"/>
            <w:noWrap/>
            <w:hideMark/>
          </w:tcPr>
          <w:p w:rsidR="001E01BC" w:rsidRPr="001F3584" w:rsidRDefault="001E01BC" w:rsidP="00025D4F">
            <w:pPr>
              <w:spacing w:before="120" w:after="120"/>
              <w:rPr>
                <w:b w:val="0"/>
                <w:sz w:val="20"/>
                <w:szCs w:val="20"/>
              </w:rPr>
            </w:pPr>
            <w:r w:rsidRPr="001F3584">
              <w:rPr>
                <w:sz w:val="20"/>
                <w:szCs w:val="20"/>
              </w:rPr>
              <w:t>Sosyal Bilimler Enstitüsü</w:t>
            </w:r>
          </w:p>
        </w:tc>
        <w:tc>
          <w:tcPr>
            <w:tcW w:w="435" w:type="dxa"/>
            <w:noWrap/>
            <w:hideMark/>
          </w:tcPr>
          <w:p w:rsidR="001E01BC" w:rsidRPr="001F3584" w:rsidRDefault="001E01BC" w:rsidP="00025D4F">
            <w:pPr>
              <w:spacing w:before="120" w:after="120"/>
              <w:jc w:val="center"/>
              <w:cnfStyle w:val="000000100000"/>
              <w:rPr>
                <w:sz w:val="20"/>
                <w:szCs w:val="20"/>
              </w:rPr>
            </w:pPr>
            <w:r w:rsidRPr="001F3584">
              <w:rPr>
                <w:sz w:val="20"/>
                <w:szCs w:val="20"/>
              </w:rPr>
              <w:t>20</w:t>
            </w:r>
          </w:p>
        </w:tc>
        <w:tc>
          <w:tcPr>
            <w:tcW w:w="3429" w:type="dxa"/>
            <w:gridSpan w:val="2"/>
            <w:noWrap/>
            <w:hideMark/>
          </w:tcPr>
          <w:p w:rsidR="001E01BC" w:rsidRPr="001F3584" w:rsidRDefault="00A22FBA" w:rsidP="00025D4F">
            <w:pPr>
              <w:spacing w:before="120" w:after="120"/>
              <w:jc w:val="center"/>
              <w:cnfStyle w:val="000000100000"/>
              <w:rPr>
                <w:sz w:val="20"/>
                <w:szCs w:val="20"/>
              </w:rPr>
            </w:pPr>
            <w:r>
              <w:rPr>
                <w:sz w:val="20"/>
                <w:szCs w:val="20"/>
              </w:rPr>
              <w:t>80</w:t>
            </w:r>
            <w:r w:rsidR="001E01BC" w:rsidRPr="001F3584">
              <w:rPr>
                <w:sz w:val="20"/>
                <w:szCs w:val="20"/>
              </w:rPr>
              <w:t>%</w:t>
            </w:r>
          </w:p>
        </w:tc>
      </w:tr>
      <w:tr w:rsidR="001E01BC" w:rsidRPr="001F3584" w:rsidTr="00CE773E">
        <w:trPr>
          <w:trHeight w:val="265"/>
        </w:trPr>
        <w:tc>
          <w:tcPr>
            <w:cnfStyle w:val="001000000000"/>
            <w:tcW w:w="3640" w:type="dxa"/>
            <w:gridSpan w:val="2"/>
            <w:noWrap/>
            <w:hideMark/>
          </w:tcPr>
          <w:p w:rsidR="001E01BC" w:rsidRPr="001F3584" w:rsidRDefault="001E01BC" w:rsidP="00025D4F">
            <w:pPr>
              <w:spacing w:before="120" w:after="120"/>
              <w:rPr>
                <w:b w:val="0"/>
                <w:sz w:val="20"/>
                <w:szCs w:val="20"/>
              </w:rPr>
            </w:pPr>
            <w:r w:rsidRPr="001F3584">
              <w:rPr>
                <w:sz w:val="20"/>
                <w:szCs w:val="20"/>
              </w:rPr>
              <w:t>Güzel Sanatlar Enstitüsü</w:t>
            </w:r>
          </w:p>
        </w:tc>
        <w:tc>
          <w:tcPr>
            <w:tcW w:w="435" w:type="dxa"/>
            <w:noWrap/>
            <w:hideMark/>
          </w:tcPr>
          <w:p w:rsidR="001E01BC" w:rsidRPr="001F3584" w:rsidRDefault="00AA34CF" w:rsidP="00025D4F">
            <w:pPr>
              <w:spacing w:before="120" w:after="120"/>
              <w:jc w:val="center"/>
              <w:cnfStyle w:val="000000000000"/>
              <w:rPr>
                <w:sz w:val="20"/>
                <w:szCs w:val="20"/>
              </w:rPr>
            </w:pPr>
            <w:r>
              <w:rPr>
                <w:sz w:val="20"/>
                <w:szCs w:val="20"/>
              </w:rPr>
              <w:t>2</w:t>
            </w:r>
          </w:p>
        </w:tc>
        <w:tc>
          <w:tcPr>
            <w:tcW w:w="3429" w:type="dxa"/>
            <w:gridSpan w:val="2"/>
            <w:noWrap/>
            <w:hideMark/>
          </w:tcPr>
          <w:p w:rsidR="001E01BC" w:rsidRPr="001F3584" w:rsidRDefault="00AA34CF" w:rsidP="00025D4F">
            <w:pPr>
              <w:spacing w:before="120" w:after="120"/>
              <w:jc w:val="center"/>
              <w:cnfStyle w:val="000000000000"/>
              <w:rPr>
                <w:sz w:val="20"/>
                <w:szCs w:val="20"/>
              </w:rPr>
            </w:pPr>
            <w:r>
              <w:rPr>
                <w:sz w:val="20"/>
                <w:szCs w:val="20"/>
              </w:rPr>
              <w:t>8</w:t>
            </w:r>
            <w:r w:rsidR="001E01BC" w:rsidRPr="001F3584">
              <w:rPr>
                <w:sz w:val="20"/>
                <w:szCs w:val="20"/>
              </w:rPr>
              <w:t>%</w:t>
            </w:r>
          </w:p>
        </w:tc>
      </w:tr>
      <w:tr w:rsidR="001E01BC" w:rsidRPr="001F3584" w:rsidTr="00CE773E">
        <w:trPr>
          <w:cnfStyle w:val="000000100000"/>
          <w:trHeight w:val="265"/>
        </w:trPr>
        <w:tc>
          <w:tcPr>
            <w:cnfStyle w:val="001000000000"/>
            <w:tcW w:w="3640" w:type="dxa"/>
            <w:gridSpan w:val="2"/>
            <w:noWrap/>
            <w:hideMark/>
          </w:tcPr>
          <w:p w:rsidR="001E01BC" w:rsidRPr="001F3584" w:rsidRDefault="001E01BC" w:rsidP="00025D4F">
            <w:pPr>
              <w:spacing w:before="120" w:after="120"/>
              <w:rPr>
                <w:b w:val="0"/>
                <w:sz w:val="20"/>
                <w:szCs w:val="20"/>
              </w:rPr>
            </w:pPr>
            <w:r w:rsidRPr="001F3584">
              <w:rPr>
                <w:sz w:val="20"/>
                <w:szCs w:val="20"/>
              </w:rPr>
              <w:t>Toplam</w:t>
            </w:r>
          </w:p>
        </w:tc>
        <w:tc>
          <w:tcPr>
            <w:tcW w:w="435" w:type="dxa"/>
            <w:noWrap/>
            <w:hideMark/>
          </w:tcPr>
          <w:p w:rsidR="001E01BC" w:rsidRPr="001F3584" w:rsidRDefault="00AA34CF" w:rsidP="00025D4F">
            <w:pPr>
              <w:spacing w:before="120" w:after="120"/>
              <w:jc w:val="center"/>
              <w:cnfStyle w:val="000000100000"/>
              <w:rPr>
                <w:sz w:val="20"/>
                <w:szCs w:val="20"/>
              </w:rPr>
            </w:pPr>
            <w:r>
              <w:rPr>
                <w:sz w:val="20"/>
                <w:szCs w:val="20"/>
              </w:rPr>
              <w:t>25</w:t>
            </w:r>
          </w:p>
        </w:tc>
        <w:tc>
          <w:tcPr>
            <w:tcW w:w="3429" w:type="dxa"/>
            <w:gridSpan w:val="2"/>
            <w:noWrap/>
            <w:hideMark/>
          </w:tcPr>
          <w:p w:rsidR="001E01BC" w:rsidRPr="001F3584" w:rsidRDefault="001E01BC" w:rsidP="00025D4F">
            <w:pPr>
              <w:tabs>
                <w:tab w:val="center" w:pos="1606"/>
              </w:tabs>
              <w:spacing w:before="120" w:after="120"/>
              <w:cnfStyle w:val="000000100000"/>
              <w:rPr>
                <w:sz w:val="20"/>
                <w:szCs w:val="20"/>
              </w:rPr>
            </w:pPr>
            <w:r w:rsidRPr="001F3584">
              <w:rPr>
                <w:sz w:val="20"/>
                <w:szCs w:val="20"/>
              </w:rPr>
              <w:t> </w:t>
            </w:r>
            <w:r w:rsidRPr="001F3584">
              <w:rPr>
                <w:sz w:val="20"/>
                <w:szCs w:val="20"/>
              </w:rPr>
              <w:tab/>
              <w:t>100%</w:t>
            </w:r>
          </w:p>
          <w:p w:rsidR="001E01BC" w:rsidRPr="001F3584" w:rsidRDefault="001E01BC" w:rsidP="00025D4F">
            <w:pPr>
              <w:spacing w:before="120" w:after="120"/>
              <w:cnfStyle w:val="000000100000"/>
              <w:rPr>
                <w:sz w:val="20"/>
                <w:szCs w:val="20"/>
              </w:rPr>
            </w:pPr>
          </w:p>
        </w:tc>
      </w:tr>
      <w:tr w:rsidR="001E01BC" w:rsidRPr="001F3584" w:rsidTr="00CE773E">
        <w:trPr>
          <w:trHeight w:val="368"/>
        </w:trPr>
        <w:tc>
          <w:tcPr>
            <w:cnfStyle w:val="001000000000"/>
            <w:tcW w:w="3536" w:type="dxa"/>
            <w:noWrap/>
            <w:hideMark/>
          </w:tcPr>
          <w:p w:rsidR="001E01BC" w:rsidRPr="001F3584" w:rsidRDefault="001E01BC" w:rsidP="00025D4F">
            <w:pPr>
              <w:spacing w:before="120" w:after="120"/>
              <w:rPr>
                <w:sz w:val="20"/>
                <w:szCs w:val="20"/>
              </w:rPr>
            </w:pPr>
            <w:r w:rsidRPr="001F3584">
              <w:rPr>
                <w:sz w:val="20"/>
                <w:szCs w:val="20"/>
              </w:rPr>
              <w:t>Üniversiteler</w:t>
            </w:r>
          </w:p>
        </w:tc>
        <w:tc>
          <w:tcPr>
            <w:tcW w:w="707" w:type="dxa"/>
            <w:gridSpan w:val="3"/>
            <w:noWrap/>
            <w:hideMark/>
          </w:tcPr>
          <w:p w:rsidR="001E01BC" w:rsidRPr="001F3584" w:rsidRDefault="001E01BC" w:rsidP="00025D4F">
            <w:pPr>
              <w:spacing w:before="120" w:after="120"/>
              <w:jc w:val="center"/>
              <w:cnfStyle w:val="000000000000"/>
              <w:rPr>
                <w:b/>
                <w:sz w:val="20"/>
                <w:szCs w:val="20"/>
              </w:rPr>
            </w:pPr>
            <w:r w:rsidRPr="001F3584">
              <w:rPr>
                <w:b/>
                <w:sz w:val="20"/>
                <w:szCs w:val="20"/>
              </w:rPr>
              <w:t>f</w:t>
            </w:r>
          </w:p>
        </w:tc>
        <w:tc>
          <w:tcPr>
            <w:tcW w:w="3261" w:type="dxa"/>
            <w:noWrap/>
            <w:hideMark/>
          </w:tcPr>
          <w:p w:rsidR="001E01BC" w:rsidRPr="001F3584" w:rsidRDefault="001E01BC" w:rsidP="00025D4F">
            <w:pPr>
              <w:spacing w:before="120" w:after="120"/>
              <w:jc w:val="center"/>
              <w:cnfStyle w:val="000000000000"/>
              <w:rPr>
                <w:b/>
                <w:sz w:val="20"/>
                <w:szCs w:val="20"/>
              </w:rPr>
            </w:pPr>
            <w:r w:rsidRPr="001F3584">
              <w:rPr>
                <w:b/>
                <w:sz w:val="20"/>
                <w:szCs w:val="20"/>
              </w:rPr>
              <w:t>%</w:t>
            </w:r>
          </w:p>
        </w:tc>
      </w:tr>
      <w:tr w:rsidR="001E01BC" w:rsidRPr="001F3584" w:rsidTr="00CE773E">
        <w:trPr>
          <w:cnfStyle w:val="000000100000"/>
          <w:trHeight w:val="368"/>
        </w:trPr>
        <w:tc>
          <w:tcPr>
            <w:cnfStyle w:val="001000000000"/>
            <w:tcW w:w="3536" w:type="dxa"/>
            <w:noWrap/>
            <w:hideMark/>
          </w:tcPr>
          <w:p w:rsidR="001E01BC" w:rsidRPr="001F3584" w:rsidRDefault="001E01BC" w:rsidP="00025D4F">
            <w:pPr>
              <w:spacing w:before="120" w:after="120"/>
              <w:rPr>
                <w:sz w:val="20"/>
                <w:szCs w:val="20"/>
              </w:rPr>
            </w:pPr>
          </w:p>
        </w:tc>
        <w:tc>
          <w:tcPr>
            <w:tcW w:w="707" w:type="dxa"/>
            <w:gridSpan w:val="3"/>
            <w:noWrap/>
            <w:hideMark/>
          </w:tcPr>
          <w:p w:rsidR="001E01BC" w:rsidRPr="001F3584" w:rsidRDefault="001E01BC" w:rsidP="00025D4F">
            <w:pPr>
              <w:spacing w:before="120" w:after="120"/>
              <w:cnfStyle w:val="000000100000"/>
              <w:rPr>
                <w:sz w:val="20"/>
                <w:szCs w:val="20"/>
              </w:rPr>
            </w:pPr>
          </w:p>
        </w:tc>
        <w:tc>
          <w:tcPr>
            <w:tcW w:w="3261" w:type="dxa"/>
            <w:noWrap/>
            <w:hideMark/>
          </w:tcPr>
          <w:p w:rsidR="001E01BC" w:rsidRPr="001F3584" w:rsidRDefault="001E01BC" w:rsidP="00025D4F">
            <w:pPr>
              <w:spacing w:before="120" w:after="120"/>
              <w:jc w:val="center"/>
              <w:cnfStyle w:val="000000100000"/>
              <w:rPr>
                <w:sz w:val="20"/>
                <w:szCs w:val="20"/>
              </w:rPr>
            </w:pPr>
          </w:p>
        </w:tc>
      </w:tr>
      <w:tr w:rsidR="001E01BC" w:rsidRPr="001F3584" w:rsidTr="00CE773E">
        <w:trPr>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Haliç Üniversitesi</w:t>
            </w:r>
          </w:p>
        </w:tc>
        <w:tc>
          <w:tcPr>
            <w:tcW w:w="707" w:type="dxa"/>
            <w:gridSpan w:val="3"/>
            <w:noWrap/>
            <w:hideMark/>
          </w:tcPr>
          <w:p w:rsidR="001E01BC" w:rsidRPr="001F3584" w:rsidRDefault="001E01BC" w:rsidP="00025D4F">
            <w:pPr>
              <w:spacing w:before="120" w:after="120"/>
              <w:jc w:val="center"/>
              <w:cnfStyle w:val="000000000000"/>
              <w:rPr>
                <w:sz w:val="20"/>
                <w:szCs w:val="20"/>
              </w:rPr>
            </w:pPr>
            <w:r w:rsidRPr="001F3584">
              <w:rPr>
                <w:sz w:val="20"/>
                <w:szCs w:val="20"/>
              </w:rPr>
              <w:t>1</w:t>
            </w:r>
          </w:p>
        </w:tc>
        <w:tc>
          <w:tcPr>
            <w:tcW w:w="3261" w:type="dxa"/>
            <w:noWrap/>
            <w:hideMark/>
          </w:tcPr>
          <w:p w:rsidR="001E01BC" w:rsidRPr="001F3584" w:rsidRDefault="001E01BC" w:rsidP="00025D4F">
            <w:pPr>
              <w:spacing w:before="120" w:after="120"/>
              <w:jc w:val="center"/>
              <w:cnfStyle w:val="000000000000"/>
              <w:rPr>
                <w:sz w:val="20"/>
                <w:szCs w:val="20"/>
              </w:rPr>
            </w:pPr>
            <w:r w:rsidRPr="001F3584">
              <w:rPr>
                <w:sz w:val="20"/>
                <w:szCs w:val="20"/>
              </w:rPr>
              <w:t>4%</w:t>
            </w:r>
          </w:p>
        </w:tc>
      </w:tr>
      <w:tr w:rsidR="001E01BC" w:rsidRPr="001F3584" w:rsidTr="00CE773E">
        <w:trPr>
          <w:cnfStyle w:val="000000100000"/>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Dokuz Eylül Üniversitesi</w:t>
            </w:r>
          </w:p>
        </w:tc>
        <w:tc>
          <w:tcPr>
            <w:tcW w:w="707" w:type="dxa"/>
            <w:gridSpan w:val="3"/>
            <w:noWrap/>
            <w:hideMark/>
          </w:tcPr>
          <w:p w:rsidR="001E01BC" w:rsidRPr="001F3584" w:rsidRDefault="001E01BC" w:rsidP="00025D4F">
            <w:pPr>
              <w:spacing w:before="120" w:after="120"/>
              <w:jc w:val="center"/>
              <w:cnfStyle w:val="000000100000"/>
              <w:rPr>
                <w:sz w:val="20"/>
                <w:szCs w:val="20"/>
              </w:rPr>
            </w:pPr>
            <w:r w:rsidRPr="001F3584">
              <w:rPr>
                <w:sz w:val="20"/>
                <w:szCs w:val="20"/>
              </w:rPr>
              <w:t>1</w:t>
            </w:r>
          </w:p>
        </w:tc>
        <w:tc>
          <w:tcPr>
            <w:tcW w:w="3261" w:type="dxa"/>
            <w:noWrap/>
            <w:hideMark/>
          </w:tcPr>
          <w:p w:rsidR="001E01BC" w:rsidRPr="001F3584" w:rsidRDefault="001E01BC" w:rsidP="00025D4F">
            <w:pPr>
              <w:spacing w:before="120" w:after="120"/>
              <w:jc w:val="center"/>
              <w:cnfStyle w:val="000000100000"/>
              <w:rPr>
                <w:sz w:val="20"/>
                <w:szCs w:val="20"/>
              </w:rPr>
            </w:pPr>
            <w:r w:rsidRPr="001F3584">
              <w:rPr>
                <w:sz w:val="20"/>
                <w:szCs w:val="20"/>
              </w:rPr>
              <w:t>4%</w:t>
            </w:r>
          </w:p>
        </w:tc>
      </w:tr>
      <w:tr w:rsidR="001E01BC" w:rsidRPr="001F3584" w:rsidTr="00CE773E">
        <w:trPr>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Afyon Kocatepe Üniversitesi</w:t>
            </w:r>
          </w:p>
        </w:tc>
        <w:tc>
          <w:tcPr>
            <w:tcW w:w="707" w:type="dxa"/>
            <w:gridSpan w:val="3"/>
            <w:noWrap/>
            <w:hideMark/>
          </w:tcPr>
          <w:p w:rsidR="001E01BC" w:rsidRPr="001F3584" w:rsidRDefault="001E01BC" w:rsidP="00025D4F">
            <w:pPr>
              <w:spacing w:before="120" w:after="120"/>
              <w:jc w:val="center"/>
              <w:cnfStyle w:val="000000000000"/>
              <w:rPr>
                <w:sz w:val="20"/>
                <w:szCs w:val="20"/>
              </w:rPr>
            </w:pPr>
            <w:r w:rsidRPr="001F3584">
              <w:rPr>
                <w:sz w:val="20"/>
                <w:szCs w:val="20"/>
              </w:rPr>
              <w:t>2</w:t>
            </w:r>
          </w:p>
        </w:tc>
        <w:tc>
          <w:tcPr>
            <w:tcW w:w="3261" w:type="dxa"/>
            <w:noWrap/>
            <w:hideMark/>
          </w:tcPr>
          <w:p w:rsidR="001E01BC" w:rsidRPr="001F3584" w:rsidRDefault="001E01BC" w:rsidP="00025D4F">
            <w:pPr>
              <w:spacing w:before="120" w:after="120"/>
              <w:jc w:val="center"/>
              <w:cnfStyle w:val="000000000000"/>
              <w:rPr>
                <w:sz w:val="20"/>
                <w:szCs w:val="20"/>
              </w:rPr>
            </w:pPr>
            <w:r w:rsidRPr="001F3584">
              <w:rPr>
                <w:sz w:val="20"/>
                <w:szCs w:val="20"/>
              </w:rPr>
              <w:t>8%</w:t>
            </w:r>
          </w:p>
        </w:tc>
      </w:tr>
      <w:tr w:rsidR="001E01BC" w:rsidRPr="001F3584" w:rsidTr="00CE773E">
        <w:trPr>
          <w:cnfStyle w:val="000000100000"/>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Trakya Üniversitesi</w:t>
            </w:r>
          </w:p>
        </w:tc>
        <w:tc>
          <w:tcPr>
            <w:tcW w:w="707" w:type="dxa"/>
            <w:gridSpan w:val="3"/>
            <w:noWrap/>
            <w:hideMark/>
          </w:tcPr>
          <w:p w:rsidR="001E01BC" w:rsidRPr="001F3584" w:rsidRDefault="001E01BC" w:rsidP="00025D4F">
            <w:pPr>
              <w:spacing w:before="120" w:after="120"/>
              <w:jc w:val="center"/>
              <w:cnfStyle w:val="000000100000"/>
              <w:rPr>
                <w:sz w:val="20"/>
                <w:szCs w:val="20"/>
              </w:rPr>
            </w:pPr>
            <w:r w:rsidRPr="001F3584">
              <w:rPr>
                <w:sz w:val="20"/>
                <w:szCs w:val="20"/>
              </w:rPr>
              <w:t>4</w:t>
            </w:r>
          </w:p>
        </w:tc>
        <w:tc>
          <w:tcPr>
            <w:tcW w:w="3261" w:type="dxa"/>
            <w:noWrap/>
            <w:hideMark/>
          </w:tcPr>
          <w:p w:rsidR="001E01BC" w:rsidRPr="001F3584" w:rsidRDefault="00A22FBA" w:rsidP="00025D4F">
            <w:pPr>
              <w:spacing w:before="120" w:after="120"/>
              <w:jc w:val="center"/>
              <w:cnfStyle w:val="000000100000"/>
              <w:rPr>
                <w:sz w:val="20"/>
                <w:szCs w:val="20"/>
              </w:rPr>
            </w:pPr>
            <w:r>
              <w:rPr>
                <w:sz w:val="20"/>
                <w:szCs w:val="20"/>
              </w:rPr>
              <w:t>16</w:t>
            </w:r>
            <w:r w:rsidR="001E01BC" w:rsidRPr="001F3584">
              <w:rPr>
                <w:sz w:val="20"/>
                <w:szCs w:val="20"/>
              </w:rPr>
              <w:t>%</w:t>
            </w:r>
          </w:p>
        </w:tc>
      </w:tr>
      <w:tr w:rsidR="001E01BC" w:rsidRPr="001F3584" w:rsidTr="00CE773E">
        <w:trPr>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Mimar Sinan Güzel Sanatlar Üniversitesi</w:t>
            </w:r>
          </w:p>
        </w:tc>
        <w:tc>
          <w:tcPr>
            <w:tcW w:w="707" w:type="dxa"/>
            <w:gridSpan w:val="3"/>
            <w:noWrap/>
            <w:hideMark/>
          </w:tcPr>
          <w:p w:rsidR="001E01BC" w:rsidRPr="001F3584" w:rsidRDefault="001E01BC" w:rsidP="00025D4F">
            <w:pPr>
              <w:spacing w:before="120" w:after="120"/>
              <w:jc w:val="center"/>
              <w:cnfStyle w:val="000000000000"/>
              <w:rPr>
                <w:sz w:val="20"/>
                <w:szCs w:val="20"/>
              </w:rPr>
            </w:pPr>
            <w:r w:rsidRPr="001F3584">
              <w:rPr>
                <w:sz w:val="20"/>
                <w:szCs w:val="20"/>
              </w:rPr>
              <w:t>5</w:t>
            </w:r>
          </w:p>
        </w:tc>
        <w:tc>
          <w:tcPr>
            <w:tcW w:w="3261" w:type="dxa"/>
            <w:noWrap/>
            <w:hideMark/>
          </w:tcPr>
          <w:p w:rsidR="001E01BC" w:rsidRPr="001F3584" w:rsidRDefault="00A22FBA" w:rsidP="00025D4F">
            <w:pPr>
              <w:spacing w:before="120" w:after="120"/>
              <w:jc w:val="center"/>
              <w:cnfStyle w:val="000000000000"/>
              <w:rPr>
                <w:sz w:val="20"/>
                <w:szCs w:val="20"/>
              </w:rPr>
            </w:pPr>
            <w:r>
              <w:rPr>
                <w:sz w:val="20"/>
                <w:szCs w:val="20"/>
              </w:rPr>
              <w:t>20</w:t>
            </w:r>
            <w:r w:rsidR="001E01BC" w:rsidRPr="001F3584">
              <w:rPr>
                <w:sz w:val="20"/>
                <w:szCs w:val="20"/>
              </w:rPr>
              <w:t>%</w:t>
            </w:r>
          </w:p>
        </w:tc>
      </w:tr>
      <w:tr w:rsidR="001E01BC" w:rsidRPr="001F3584" w:rsidTr="00CE773E">
        <w:trPr>
          <w:cnfStyle w:val="000000100000"/>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Yıldız Teknik Üniversitesi</w:t>
            </w:r>
          </w:p>
        </w:tc>
        <w:tc>
          <w:tcPr>
            <w:tcW w:w="707" w:type="dxa"/>
            <w:gridSpan w:val="3"/>
            <w:noWrap/>
            <w:hideMark/>
          </w:tcPr>
          <w:p w:rsidR="001E01BC" w:rsidRPr="001F3584" w:rsidRDefault="001E01BC" w:rsidP="00025D4F">
            <w:pPr>
              <w:spacing w:before="120" w:after="120"/>
              <w:jc w:val="center"/>
              <w:cnfStyle w:val="000000100000"/>
              <w:rPr>
                <w:sz w:val="20"/>
                <w:szCs w:val="20"/>
              </w:rPr>
            </w:pPr>
            <w:r w:rsidRPr="001F3584">
              <w:rPr>
                <w:sz w:val="20"/>
                <w:szCs w:val="20"/>
              </w:rPr>
              <w:t>1</w:t>
            </w:r>
          </w:p>
        </w:tc>
        <w:tc>
          <w:tcPr>
            <w:tcW w:w="3261" w:type="dxa"/>
            <w:noWrap/>
            <w:hideMark/>
          </w:tcPr>
          <w:p w:rsidR="001E01BC" w:rsidRPr="001F3584" w:rsidRDefault="001E01BC" w:rsidP="00025D4F">
            <w:pPr>
              <w:spacing w:before="120" w:after="120"/>
              <w:jc w:val="center"/>
              <w:cnfStyle w:val="000000100000"/>
              <w:rPr>
                <w:sz w:val="20"/>
                <w:szCs w:val="20"/>
              </w:rPr>
            </w:pPr>
            <w:r w:rsidRPr="001F3584">
              <w:rPr>
                <w:sz w:val="20"/>
                <w:szCs w:val="20"/>
              </w:rPr>
              <w:t>4%</w:t>
            </w:r>
          </w:p>
        </w:tc>
      </w:tr>
      <w:tr w:rsidR="001E01BC" w:rsidRPr="001F3584" w:rsidTr="00CE773E">
        <w:trPr>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İstanbul Üniversitesi</w:t>
            </w:r>
          </w:p>
        </w:tc>
        <w:tc>
          <w:tcPr>
            <w:tcW w:w="707" w:type="dxa"/>
            <w:gridSpan w:val="3"/>
            <w:noWrap/>
            <w:hideMark/>
          </w:tcPr>
          <w:p w:rsidR="001E01BC" w:rsidRPr="001F3584" w:rsidRDefault="001E01BC" w:rsidP="00025D4F">
            <w:pPr>
              <w:spacing w:before="120" w:after="120"/>
              <w:jc w:val="center"/>
              <w:cnfStyle w:val="000000000000"/>
              <w:rPr>
                <w:sz w:val="20"/>
                <w:szCs w:val="20"/>
              </w:rPr>
            </w:pPr>
            <w:r w:rsidRPr="001F3584">
              <w:rPr>
                <w:sz w:val="20"/>
                <w:szCs w:val="20"/>
              </w:rPr>
              <w:t>5</w:t>
            </w:r>
          </w:p>
        </w:tc>
        <w:tc>
          <w:tcPr>
            <w:tcW w:w="3261" w:type="dxa"/>
            <w:noWrap/>
            <w:hideMark/>
          </w:tcPr>
          <w:p w:rsidR="001E01BC" w:rsidRPr="001F3584" w:rsidRDefault="00A22FBA" w:rsidP="00025D4F">
            <w:pPr>
              <w:spacing w:before="120" w:after="120"/>
              <w:jc w:val="center"/>
              <w:cnfStyle w:val="000000000000"/>
              <w:rPr>
                <w:sz w:val="20"/>
                <w:szCs w:val="20"/>
              </w:rPr>
            </w:pPr>
            <w:r>
              <w:rPr>
                <w:sz w:val="20"/>
                <w:szCs w:val="20"/>
              </w:rPr>
              <w:t>20</w:t>
            </w:r>
            <w:r w:rsidR="001E01BC" w:rsidRPr="001F3584">
              <w:rPr>
                <w:sz w:val="20"/>
                <w:szCs w:val="20"/>
              </w:rPr>
              <w:t>%</w:t>
            </w:r>
          </w:p>
        </w:tc>
      </w:tr>
      <w:tr w:rsidR="001E01BC" w:rsidRPr="001F3584" w:rsidTr="00CE773E">
        <w:trPr>
          <w:cnfStyle w:val="000000100000"/>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Gazi Üniversitesi</w:t>
            </w:r>
          </w:p>
        </w:tc>
        <w:tc>
          <w:tcPr>
            <w:tcW w:w="707" w:type="dxa"/>
            <w:gridSpan w:val="3"/>
            <w:noWrap/>
            <w:hideMark/>
          </w:tcPr>
          <w:p w:rsidR="001E01BC" w:rsidRPr="001F3584" w:rsidRDefault="001E01BC" w:rsidP="00025D4F">
            <w:pPr>
              <w:spacing w:before="120" w:after="120"/>
              <w:jc w:val="center"/>
              <w:cnfStyle w:val="000000100000"/>
              <w:rPr>
                <w:sz w:val="20"/>
                <w:szCs w:val="20"/>
              </w:rPr>
            </w:pPr>
            <w:r w:rsidRPr="001F3584">
              <w:rPr>
                <w:sz w:val="20"/>
                <w:szCs w:val="20"/>
              </w:rPr>
              <w:t>3</w:t>
            </w:r>
          </w:p>
        </w:tc>
        <w:tc>
          <w:tcPr>
            <w:tcW w:w="3261" w:type="dxa"/>
            <w:noWrap/>
            <w:hideMark/>
          </w:tcPr>
          <w:p w:rsidR="001E01BC" w:rsidRPr="001F3584" w:rsidRDefault="00A22FBA" w:rsidP="00025D4F">
            <w:pPr>
              <w:spacing w:before="120" w:after="120"/>
              <w:jc w:val="center"/>
              <w:cnfStyle w:val="000000100000"/>
              <w:rPr>
                <w:sz w:val="20"/>
                <w:szCs w:val="20"/>
              </w:rPr>
            </w:pPr>
            <w:r>
              <w:rPr>
                <w:sz w:val="20"/>
                <w:szCs w:val="20"/>
              </w:rPr>
              <w:t>12</w:t>
            </w:r>
            <w:r w:rsidR="001E01BC" w:rsidRPr="001F3584">
              <w:rPr>
                <w:sz w:val="20"/>
                <w:szCs w:val="20"/>
              </w:rPr>
              <w:t>%</w:t>
            </w:r>
          </w:p>
        </w:tc>
      </w:tr>
      <w:tr w:rsidR="001E01BC" w:rsidRPr="001F3584" w:rsidTr="00CE773E">
        <w:trPr>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Anadolu Üniversitesi</w:t>
            </w:r>
          </w:p>
        </w:tc>
        <w:tc>
          <w:tcPr>
            <w:tcW w:w="707" w:type="dxa"/>
            <w:gridSpan w:val="3"/>
            <w:noWrap/>
            <w:hideMark/>
          </w:tcPr>
          <w:p w:rsidR="001E01BC" w:rsidRPr="001F3584" w:rsidRDefault="001E01BC" w:rsidP="00025D4F">
            <w:pPr>
              <w:spacing w:before="120" w:after="120"/>
              <w:jc w:val="center"/>
              <w:cnfStyle w:val="000000000000"/>
              <w:rPr>
                <w:sz w:val="20"/>
                <w:szCs w:val="20"/>
              </w:rPr>
            </w:pPr>
            <w:r w:rsidRPr="001F3584">
              <w:rPr>
                <w:sz w:val="20"/>
                <w:szCs w:val="20"/>
              </w:rPr>
              <w:t>2</w:t>
            </w:r>
          </w:p>
        </w:tc>
        <w:tc>
          <w:tcPr>
            <w:tcW w:w="3261" w:type="dxa"/>
            <w:noWrap/>
            <w:hideMark/>
          </w:tcPr>
          <w:p w:rsidR="001E01BC" w:rsidRPr="001F3584" w:rsidRDefault="001E01BC" w:rsidP="00025D4F">
            <w:pPr>
              <w:spacing w:before="120" w:after="120"/>
              <w:jc w:val="center"/>
              <w:cnfStyle w:val="000000000000"/>
              <w:rPr>
                <w:sz w:val="20"/>
                <w:szCs w:val="20"/>
              </w:rPr>
            </w:pPr>
            <w:r w:rsidRPr="001F3584">
              <w:rPr>
                <w:sz w:val="20"/>
                <w:szCs w:val="20"/>
              </w:rPr>
              <w:t>8%</w:t>
            </w:r>
          </w:p>
        </w:tc>
      </w:tr>
      <w:tr w:rsidR="00AA34CF" w:rsidRPr="001F3584" w:rsidTr="00CE773E">
        <w:trPr>
          <w:cnfStyle w:val="000000100000"/>
          <w:trHeight w:val="368"/>
        </w:trPr>
        <w:tc>
          <w:tcPr>
            <w:cnfStyle w:val="001000000000"/>
            <w:tcW w:w="3536" w:type="dxa"/>
            <w:noWrap/>
          </w:tcPr>
          <w:p w:rsidR="00AA34CF" w:rsidRPr="001F3584" w:rsidRDefault="00AA34CF" w:rsidP="00025D4F">
            <w:pPr>
              <w:spacing w:before="120" w:after="120"/>
              <w:rPr>
                <w:b w:val="0"/>
                <w:sz w:val="20"/>
                <w:szCs w:val="20"/>
              </w:rPr>
            </w:pPr>
            <w:r>
              <w:rPr>
                <w:sz w:val="20"/>
                <w:szCs w:val="20"/>
              </w:rPr>
              <w:t xml:space="preserve">Atatürk </w:t>
            </w:r>
            <w:r w:rsidRPr="00AA34CF">
              <w:rPr>
                <w:sz w:val="20"/>
                <w:szCs w:val="20"/>
              </w:rPr>
              <w:t>Üniversitesi</w:t>
            </w:r>
          </w:p>
        </w:tc>
        <w:tc>
          <w:tcPr>
            <w:tcW w:w="707" w:type="dxa"/>
            <w:gridSpan w:val="3"/>
            <w:noWrap/>
          </w:tcPr>
          <w:p w:rsidR="00AA34CF" w:rsidRPr="001F3584" w:rsidRDefault="00AA34CF" w:rsidP="00025D4F">
            <w:pPr>
              <w:spacing w:before="120" w:after="120"/>
              <w:jc w:val="center"/>
              <w:cnfStyle w:val="000000100000"/>
              <w:rPr>
                <w:sz w:val="20"/>
                <w:szCs w:val="20"/>
              </w:rPr>
            </w:pPr>
            <w:r>
              <w:rPr>
                <w:sz w:val="20"/>
                <w:szCs w:val="20"/>
              </w:rPr>
              <w:t>1</w:t>
            </w:r>
          </w:p>
        </w:tc>
        <w:tc>
          <w:tcPr>
            <w:tcW w:w="3261" w:type="dxa"/>
            <w:noWrap/>
          </w:tcPr>
          <w:p w:rsidR="00AA34CF" w:rsidRPr="001F3584" w:rsidRDefault="00AA34CF" w:rsidP="00025D4F">
            <w:pPr>
              <w:spacing w:before="120" w:after="120"/>
              <w:jc w:val="center"/>
              <w:cnfStyle w:val="000000100000"/>
              <w:rPr>
                <w:sz w:val="20"/>
                <w:szCs w:val="20"/>
              </w:rPr>
            </w:pPr>
            <w:r w:rsidRPr="001F3584">
              <w:rPr>
                <w:sz w:val="20"/>
                <w:szCs w:val="20"/>
              </w:rPr>
              <w:t>4%</w:t>
            </w:r>
          </w:p>
        </w:tc>
      </w:tr>
      <w:tr w:rsidR="001E01BC" w:rsidRPr="001F3584" w:rsidTr="00CE773E">
        <w:trPr>
          <w:trHeight w:val="368"/>
        </w:trPr>
        <w:tc>
          <w:tcPr>
            <w:cnfStyle w:val="001000000000"/>
            <w:tcW w:w="3536" w:type="dxa"/>
            <w:noWrap/>
            <w:hideMark/>
          </w:tcPr>
          <w:p w:rsidR="001E01BC" w:rsidRPr="001F3584" w:rsidRDefault="001E01BC" w:rsidP="00025D4F">
            <w:pPr>
              <w:spacing w:before="120" w:after="120"/>
              <w:rPr>
                <w:b w:val="0"/>
                <w:sz w:val="20"/>
                <w:szCs w:val="20"/>
              </w:rPr>
            </w:pPr>
            <w:r w:rsidRPr="001F3584">
              <w:rPr>
                <w:sz w:val="20"/>
                <w:szCs w:val="20"/>
              </w:rPr>
              <w:t>Toplam</w:t>
            </w:r>
          </w:p>
        </w:tc>
        <w:tc>
          <w:tcPr>
            <w:tcW w:w="707" w:type="dxa"/>
            <w:gridSpan w:val="3"/>
            <w:noWrap/>
            <w:hideMark/>
          </w:tcPr>
          <w:p w:rsidR="001E01BC" w:rsidRPr="001F3584" w:rsidRDefault="00AA34CF" w:rsidP="00025D4F">
            <w:pPr>
              <w:spacing w:before="120" w:after="120"/>
              <w:jc w:val="center"/>
              <w:cnfStyle w:val="000000000000"/>
              <w:rPr>
                <w:sz w:val="20"/>
                <w:szCs w:val="20"/>
              </w:rPr>
            </w:pPr>
            <w:r>
              <w:rPr>
                <w:sz w:val="20"/>
                <w:szCs w:val="20"/>
              </w:rPr>
              <w:t>25</w:t>
            </w:r>
          </w:p>
        </w:tc>
        <w:tc>
          <w:tcPr>
            <w:tcW w:w="3261" w:type="dxa"/>
            <w:noWrap/>
            <w:hideMark/>
          </w:tcPr>
          <w:p w:rsidR="001E01BC" w:rsidRPr="001F3584" w:rsidRDefault="001E01BC" w:rsidP="00025D4F">
            <w:pPr>
              <w:spacing w:before="120" w:after="120"/>
              <w:jc w:val="center"/>
              <w:cnfStyle w:val="000000000000"/>
              <w:rPr>
                <w:sz w:val="20"/>
                <w:szCs w:val="20"/>
              </w:rPr>
            </w:pPr>
            <w:r w:rsidRPr="001F3584">
              <w:rPr>
                <w:sz w:val="20"/>
                <w:szCs w:val="20"/>
              </w:rPr>
              <w:t>100%</w:t>
            </w:r>
          </w:p>
        </w:tc>
      </w:tr>
    </w:tbl>
    <w:p w:rsidR="001E01BC" w:rsidRPr="001F3584" w:rsidRDefault="001E01BC" w:rsidP="00025D4F">
      <w:pPr>
        <w:spacing w:before="120" w:after="120"/>
      </w:pPr>
    </w:p>
    <w:p w:rsidR="001E01BC" w:rsidRPr="001F3584" w:rsidRDefault="001E01BC" w:rsidP="00025D4F">
      <w:pPr>
        <w:spacing w:before="120" w:after="120"/>
      </w:pPr>
    </w:p>
    <w:p w:rsidR="00ED77C3" w:rsidRDefault="00ED77C3" w:rsidP="00025D4F">
      <w:pPr>
        <w:pStyle w:val="GvdeMetni"/>
        <w:spacing w:before="120" w:after="120" w:line="480" w:lineRule="auto"/>
        <w:ind w:right="109" w:firstLine="720"/>
        <w:jc w:val="both"/>
        <w:rPr>
          <w:lang w:val="tr-TR"/>
        </w:rPr>
      </w:pPr>
    </w:p>
    <w:p w:rsidR="001E01BC" w:rsidRPr="001F3584" w:rsidRDefault="001E01BC" w:rsidP="00025D4F">
      <w:pPr>
        <w:pStyle w:val="GvdeMetni"/>
        <w:spacing w:before="120" w:after="120" w:line="480" w:lineRule="auto"/>
        <w:ind w:right="109" w:firstLine="720"/>
        <w:jc w:val="both"/>
        <w:rPr>
          <w:lang w:val="tr-TR"/>
        </w:rPr>
      </w:pPr>
      <w:r w:rsidRPr="001F3584">
        <w:rPr>
          <w:lang w:val="tr-TR"/>
        </w:rPr>
        <w:t xml:space="preserve">Tablo 4’de, Türkiye’de kontrbas konulu yazılmış lisansüstü tezlerin, yazıldıkları üniversitelere ve enstitülere ilişkin yüzde ve frekans tablosu yer almaktadır. Tabloda, %80 ile </w:t>
      </w:r>
      <w:r w:rsidRPr="003655FA">
        <w:rPr>
          <w:lang w:val="tr-TR"/>
        </w:rPr>
        <w:t>en çok</w:t>
      </w:r>
      <w:r w:rsidRPr="001F3584">
        <w:rPr>
          <w:b/>
          <w:lang w:val="tr-TR"/>
        </w:rPr>
        <w:t xml:space="preserve"> </w:t>
      </w:r>
      <w:r w:rsidRPr="001F3584">
        <w:rPr>
          <w:lang w:val="tr-TR"/>
        </w:rPr>
        <w:t xml:space="preserve">lisansüstü tezin Sosyal Bilimler Enstitüsünde, %20 ile </w:t>
      </w:r>
      <w:r w:rsidRPr="003655FA">
        <w:rPr>
          <w:lang w:val="tr-TR"/>
        </w:rPr>
        <w:t>en çok</w:t>
      </w:r>
      <w:r w:rsidRPr="001F3584">
        <w:rPr>
          <w:b/>
          <w:lang w:val="tr-TR"/>
        </w:rPr>
        <w:t xml:space="preserve"> </w:t>
      </w:r>
      <w:r w:rsidRPr="001F3584">
        <w:rPr>
          <w:lang w:val="tr-TR"/>
        </w:rPr>
        <w:t xml:space="preserve">lisansüstü tezin Mimar Sinan Güzel Sanatlar Üniversitesi ile İstanbul Üniversitesi’nde yazılmış olduğu görülmektedir. Bununla birlikte enstitü bazında </w:t>
      </w:r>
      <w:r w:rsidRPr="003655FA">
        <w:rPr>
          <w:lang w:val="tr-TR"/>
        </w:rPr>
        <w:t>en az</w:t>
      </w:r>
      <w:r w:rsidRPr="001F3584">
        <w:rPr>
          <w:b/>
          <w:lang w:val="tr-TR"/>
        </w:rPr>
        <w:t xml:space="preserve"> </w:t>
      </w:r>
      <w:r w:rsidRPr="001F3584">
        <w:rPr>
          <w:lang w:val="tr-TR"/>
        </w:rPr>
        <w:t xml:space="preserve">lisansüstü tezi Güzel Sanatlar Enstitüsünde, üniversite bazında ise en az lisansüstü tezi Haliç Üniversitesi, Dokuz Eylül </w:t>
      </w:r>
      <w:r w:rsidRPr="001F3584">
        <w:rPr>
          <w:lang w:val="tr-TR"/>
        </w:rPr>
        <w:lastRenderedPageBreak/>
        <w:t>Üniversitesi ve Yıldız Teknik Üniversitesinde yazılmıştır.</w:t>
      </w:r>
    </w:p>
    <w:p w:rsidR="001E01BC" w:rsidRPr="001F3584" w:rsidRDefault="001E01BC" w:rsidP="00025D4F">
      <w:pPr>
        <w:spacing w:before="120" w:after="120" w:line="480" w:lineRule="auto"/>
        <w:ind w:firstLine="720"/>
        <w:jc w:val="both"/>
        <w:rPr>
          <w:szCs w:val="18"/>
          <w:shd w:val="clear" w:color="auto" w:fill="FFFFFF"/>
        </w:rPr>
      </w:pPr>
      <w:r w:rsidRPr="001F3584">
        <w:rPr>
          <w:szCs w:val="18"/>
          <w:shd w:val="clear" w:color="auto" w:fill="FFFFFF"/>
        </w:rPr>
        <w:t>Araştırmanın üçüncü alt problemi doğrultusunda Grafik 3’de ve Tablo 5’de Türkiye’de kontrbas konulu yazılmış lisansüstü tezlerin konularına göre dağılımına yer verilmiştir. Ayrıca, bulgula</w:t>
      </w:r>
      <w:r w:rsidR="0045149F" w:rsidRPr="001F3584">
        <w:rPr>
          <w:szCs w:val="18"/>
          <w:shd w:val="clear" w:color="auto" w:fill="FFFFFF"/>
        </w:rPr>
        <w:t xml:space="preserve">rın bu kısmında konu yönünden; </w:t>
      </w:r>
      <w:r w:rsidRPr="00313C5E">
        <w:rPr>
          <w:szCs w:val="18"/>
          <w:shd w:val="clear" w:color="auto" w:fill="FFFFFF"/>
        </w:rPr>
        <w:t>Tarihsel Gelişim</w:t>
      </w:r>
      <w:r w:rsidR="0045149F" w:rsidRPr="00313C5E">
        <w:rPr>
          <w:szCs w:val="18"/>
          <w:shd w:val="clear" w:color="auto" w:fill="FFFFFF"/>
        </w:rPr>
        <w:t xml:space="preserve">, </w:t>
      </w:r>
      <w:r w:rsidRPr="00313C5E">
        <w:rPr>
          <w:szCs w:val="18"/>
          <w:shd w:val="clear" w:color="auto" w:fill="FFFFFF"/>
        </w:rPr>
        <w:t>Eser-Etüt-Metod Analizi</w:t>
      </w:r>
      <w:r w:rsidR="0045149F" w:rsidRPr="00313C5E">
        <w:rPr>
          <w:szCs w:val="18"/>
          <w:shd w:val="clear" w:color="auto" w:fill="FFFFFF"/>
        </w:rPr>
        <w:t xml:space="preserve">, </w:t>
      </w:r>
      <w:r w:rsidRPr="00313C5E">
        <w:rPr>
          <w:szCs w:val="18"/>
          <w:shd w:val="clear" w:color="auto" w:fill="FFFFFF"/>
        </w:rPr>
        <w:t>Kontrbas Eğitimi</w:t>
      </w:r>
      <w:r w:rsidR="0045149F" w:rsidRPr="00313C5E">
        <w:rPr>
          <w:szCs w:val="18"/>
          <w:shd w:val="clear" w:color="auto" w:fill="FFFFFF"/>
        </w:rPr>
        <w:t xml:space="preserve"> ve </w:t>
      </w:r>
      <w:r w:rsidRPr="00313C5E">
        <w:rPr>
          <w:szCs w:val="18"/>
          <w:shd w:val="clear" w:color="auto" w:fill="FFFFFF"/>
        </w:rPr>
        <w:t xml:space="preserve">Biyografi </w:t>
      </w:r>
      <w:r w:rsidRPr="001F3584">
        <w:rPr>
          <w:szCs w:val="18"/>
          <w:shd w:val="clear" w:color="auto" w:fill="FFFFFF"/>
        </w:rPr>
        <w:t xml:space="preserve">başlıklarında gruplandırılan lisansüstü tezlerin yüzde ve frekans tablosu ile tabloya ilişkin yorumları yer almaktadır. </w:t>
      </w:r>
    </w:p>
    <w:p w:rsidR="001E01BC" w:rsidRPr="001F3584" w:rsidRDefault="001E01BC" w:rsidP="00025D4F">
      <w:pPr>
        <w:pStyle w:val="ResimYazs"/>
        <w:spacing w:before="120" w:after="120"/>
        <w:jc w:val="center"/>
        <w:rPr>
          <w:rFonts w:ascii="Times New Roman" w:hAnsi="Times New Roman" w:cs="Times New Roman"/>
          <w:color w:val="auto"/>
          <w:sz w:val="24"/>
          <w:szCs w:val="24"/>
          <w:lang w:val="tr-TR"/>
        </w:rPr>
      </w:pPr>
      <w:bookmarkStart w:id="7" w:name="_Toc487724140"/>
      <w:r w:rsidRPr="005B1229">
        <w:rPr>
          <w:rFonts w:ascii="Times New Roman" w:hAnsi="Times New Roman" w:cs="Times New Roman"/>
          <w:i w:val="0"/>
          <w:color w:val="auto"/>
          <w:sz w:val="24"/>
          <w:szCs w:val="24"/>
          <w:lang w:val="tr-TR"/>
        </w:rPr>
        <w:t xml:space="preserve">Grafik </w:t>
      </w:r>
      <w:r w:rsidR="00AE1C09" w:rsidRPr="005B1229">
        <w:rPr>
          <w:rFonts w:ascii="Times New Roman" w:hAnsi="Times New Roman" w:cs="Times New Roman"/>
          <w:i w:val="0"/>
          <w:color w:val="auto"/>
          <w:sz w:val="24"/>
          <w:szCs w:val="24"/>
          <w:lang w:val="tr-TR"/>
        </w:rPr>
        <w:fldChar w:fldCharType="begin"/>
      </w:r>
      <w:r w:rsidRPr="005B1229">
        <w:rPr>
          <w:rFonts w:ascii="Times New Roman" w:hAnsi="Times New Roman" w:cs="Times New Roman"/>
          <w:i w:val="0"/>
          <w:color w:val="auto"/>
          <w:sz w:val="24"/>
          <w:szCs w:val="24"/>
          <w:lang w:val="tr-TR"/>
        </w:rPr>
        <w:instrText xml:space="preserve"> SEQ Grafik \* ARABIC </w:instrText>
      </w:r>
      <w:r w:rsidR="00AE1C09" w:rsidRPr="005B1229">
        <w:rPr>
          <w:rFonts w:ascii="Times New Roman" w:hAnsi="Times New Roman" w:cs="Times New Roman"/>
          <w:i w:val="0"/>
          <w:color w:val="auto"/>
          <w:sz w:val="24"/>
          <w:szCs w:val="24"/>
          <w:lang w:val="tr-TR"/>
        </w:rPr>
        <w:fldChar w:fldCharType="separate"/>
      </w:r>
      <w:r w:rsidR="00CF701E">
        <w:rPr>
          <w:rFonts w:ascii="Times New Roman" w:hAnsi="Times New Roman" w:cs="Times New Roman"/>
          <w:i w:val="0"/>
          <w:noProof/>
          <w:color w:val="auto"/>
          <w:sz w:val="24"/>
          <w:szCs w:val="24"/>
          <w:lang w:val="tr-TR"/>
        </w:rPr>
        <w:t>3</w:t>
      </w:r>
      <w:r w:rsidR="00AE1C09" w:rsidRPr="005B1229">
        <w:rPr>
          <w:rFonts w:ascii="Times New Roman" w:hAnsi="Times New Roman" w:cs="Times New Roman"/>
          <w:i w:val="0"/>
          <w:noProof/>
          <w:color w:val="auto"/>
          <w:sz w:val="24"/>
          <w:szCs w:val="24"/>
          <w:lang w:val="tr-TR"/>
        </w:rPr>
        <w:fldChar w:fldCharType="end"/>
      </w:r>
      <w:r w:rsidRPr="005B1229">
        <w:rPr>
          <w:rFonts w:ascii="Times New Roman" w:hAnsi="Times New Roman" w:cs="Times New Roman"/>
          <w:i w:val="0"/>
          <w:noProof/>
          <w:color w:val="auto"/>
          <w:sz w:val="24"/>
          <w:szCs w:val="24"/>
          <w:lang w:val="tr-TR"/>
        </w:rPr>
        <w:t>.</w:t>
      </w:r>
      <w:r w:rsidRPr="001F3584">
        <w:rPr>
          <w:rFonts w:ascii="Times New Roman" w:hAnsi="Times New Roman" w:cs="Times New Roman"/>
          <w:color w:val="auto"/>
          <w:sz w:val="24"/>
          <w:szCs w:val="24"/>
          <w:lang w:val="tr-TR"/>
        </w:rPr>
        <w:t xml:space="preserve"> Lisansüstü Tezlerin Konularına Göre Dağılım Grafiği</w:t>
      </w:r>
      <w:bookmarkEnd w:id="7"/>
    </w:p>
    <w:p w:rsidR="001E01BC" w:rsidRPr="001F3584" w:rsidRDefault="00DF0259" w:rsidP="00025D4F">
      <w:pPr>
        <w:spacing w:before="120" w:after="120"/>
        <w:jc w:val="center"/>
      </w:pPr>
      <w:r w:rsidRPr="001F3584">
        <w:rPr>
          <w:noProof/>
        </w:rPr>
        <w:drawing>
          <wp:inline distT="0" distB="0" distL="0" distR="0">
            <wp:extent cx="4470400" cy="1993900"/>
            <wp:effectExtent l="0" t="0" r="6350" b="6350"/>
            <wp:docPr id="26"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A6A6D" w:rsidRDefault="007A6A6D" w:rsidP="00025D4F">
      <w:pPr>
        <w:pStyle w:val="ResimYazs"/>
        <w:spacing w:before="120" w:after="120"/>
        <w:jc w:val="center"/>
        <w:rPr>
          <w:rFonts w:ascii="Times New Roman" w:hAnsi="Times New Roman" w:cs="Times New Roman"/>
          <w:i w:val="0"/>
          <w:color w:val="auto"/>
          <w:sz w:val="24"/>
          <w:szCs w:val="24"/>
          <w:lang w:val="tr-TR"/>
        </w:rPr>
      </w:pPr>
      <w:bookmarkStart w:id="8" w:name="_Toc487720429"/>
    </w:p>
    <w:p w:rsidR="001E01BC" w:rsidRPr="00313C5E" w:rsidRDefault="001E01BC" w:rsidP="00025D4F">
      <w:pPr>
        <w:pStyle w:val="ResimYazs"/>
        <w:spacing w:before="120" w:after="120"/>
        <w:jc w:val="center"/>
        <w:rPr>
          <w:rFonts w:ascii="Times New Roman" w:hAnsi="Times New Roman" w:cs="Times New Roman"/>
          <w:bCs/>
          <w:i w:val="0"/>
          <w:color w:val="auto"/>
          <w:sz w:val="24"/>
          <w:szCs w:val="24"/>
          <w:lang w:val="tr-TR"/>
        </w:rPr>
      </w:pPr>
      <w:r w:rsidRPr="00313C5E">
        <w:rPr>
          <w:rFonts w:ascii="Times New Roman" w:hAnsi="Times New Roman" w:cs="Times New Roman"/>
          <w:i w:val="0"/>
          <w:color w:val="auto"/>
          <w:sz w:val="24"/>
          <w:szCs w:val="24"/>
          <w:lang w:val="tr-TR"/>
        </w:rPr>
        <w:t xml:space="preserve">Tablo </w:t>
      </w:r>
      <w:r w:rsidR="00AE1C09" w:rsidRPr="00313C5E">
        <w:rPr>
          <w:rFonts w:ascii="Times New Roman" w:hAnsi="Times New Roman" w:cs="Times New Roman"/>
          <w:i w:val="0"/>
          <w:color w:val="auto"/>
          <w:sz w:val="24"/>
          <w:szCs w:val="24"/>
          <w:lang w:val="tr-TR"/>
        </w:rPr>
        <w:fldChar w:fldCharType="begin"/>
      </w:r>
      <w:r w:rsidRPr="00313C5E">
        <w:rPr>
          <w:rFonts w:ascii="Times New Roman" w:hAnsi="Times New Roman" w:cs="Times New Roman"/>
          <w:i w:val="0"/>
          <w:color w:val="auto"/>
          <w:sz w:val="24"/>
          <w:szCs w:val="24"/>
          <w:lang w:val="tr-TR"/>
        </w:rPr>
        <w:instrText xml:space="preserve"> SEQ Tablo \* ARABIC </w:instrText>
      </w:r>
      <w:r w:rsidR="00AE1C09" w:rsidRPr="00313C5E">
        <w:rPr>
          <w:rFonts w:ascii="Times New Roman" w:hAnsi="Times New Roman" w:cs="Times New Roman"/>
          <w:i w:val="0"/>
          <w:color w:val="auto"/>
          <w:sz w:val="24"/>
          <w:szCs w:val="24"/>
          <w:lang w:val="tr-TR"/>
        </w:rPr>
        <w:fldChar w:fldCharType="separate"/>
      </w:r>
      <w:r w:rsidR="00CF701E">
        <w:rPr>
          <w:rFonts w:ascii="Times New Roman" w:hAnsi="Times New Roman" w:cs="Times New Roman"/>
          <w:i w:val="0"/>
          <w:noProof/>
          <w:color w:val="auto"/>
          <w:sz w:val="24"/>
          <w:szCs w:val="24"/>
          <w:lang w:val="tr-TR"/>
        </w:rPr>
        <w:t>5</w:t>
      </w:r>
      <w:r w:rsidR="00AE1C09" w:rsidRPr="00313C5E">
        <w:rPr>
          <w:rFonts w:ascii="Times New Roman" w:hAnsi="Times New Roman" w:cs="Times New Roman"/>
          <w:i w:val="0"/>
          <w:color w:val="auto"/>
          <w:sz w:val="24"/>
          <w:szCs w:val="24"/>
          <w:lang w:val="tr-TR"/>
        </w:rPr>
        <w:fldChar w:fldCharType="end"/>
      </w:r>
      <w:r w:rsidRPr="00313C5E">
        <w:rPr>
          <w:rFonts w:ascii="Times New Roman" w:hAnsi="Times New Roman" w:cs="Times New Roman"/>
          <w:i w:val="0"/>
          <w:color w:val="auto"/>
          <w:sz w:val="24"/>
          <w:szCs w:val="24"/>
          <w:lang w:val="tr-TR"/>
        </w:rPr>
        <w:t xml:space="preserve">. </w:t>
      </w:r>
      <w:r w:rsidRPr="005B1229">
        <w:rPr>
          <w:rFonts w:ascii="Times New Roman" w:hAnsi="Times New Roman" w:cs="Times New Roman"/>
          <w:color w:val="auto"/>
          <w:sz w:val="24"/>
          <w:szCs w:val="24"/>
          <w:lang w:val="tr-TR"/>
        </w:rPr>
        <w:t>Türkiye’de Kontrbas Konulu Yazılmış Lisansüstü Tezlerin Konularına Göre Gruplandırılması</w:t>
      </w:r>
      <w:bookmarkEnd w:id="8"/>
    </w:p>
    <w:tbl>
      <w:tblPr>
        <w:tblStyle w:val="DzTablo21"/>
        <w:tblW w:w="7000" w:type="dxa"/>
        <w:jc w:val="center"/>
        <w:tblLook w:val="04A0"/>
      </w:tblPr>
      <w:tblGrid>
        <w:gridCol w:w="978"/>
        <w:gridCol w:w="6022"/>
      </w:tblGrid>
      <w:tr w:rsidR="001E01BC" w:rsidRPr="001F3584" w:rsidTr="00CE773E">
        <w:trPr>
          <w:cnfStyle w:val="100000000000"/>
          <w:trHeight w:val="344"/>
          <w:jc w:val="center"/>
        </w:trPr>
        <w:tc>
          <w:tcPr>
            <w:cnfStyle w:val="001000000000"/>
            <w:tcW w:w="978" w:type="dxa"/>
            <w:vMerge w:val="restart"/>
            <w:textDirection w:val="btLr"/>
            <w:hideMark/>
          </w:tcPr>
          <w:p w:rsidR="001E01BC" w:rsidRPr="001F3584" w:rsidRDefault="001E01BC" w:rsidP="00025D4F">
            <w:pPr>
              <w:spacing w:before="120" w:after="120"/>
              <w:ind w:left="113" w:right="113"/>
              <w:jc w:val="center"/>
              <w:rPr>
                <w:sz w:val="18"/>
                <w:szCs w:val="18"/>
              </w:rPr>
            </w:pPr>
            <w:r w:rsidRPr="001F3584">
              <w:rPr>
                <w:sz w:val="18"/>
                <w:szCs w:val="18"/>
              </w:rPr>
              <w:t>Tarihsel Gelişim</w:t>
            </w:r>
          </w:p>
        </w:tc>
        <w:tc>
          <w:tcPr>
            <w:tcW w:w="6022" w:type="dxa"/>
            <w:hideMark/>
          </w:tcPr>
          <w:p w:rsidR="001E01BC" w:rsidRPr="001F3584" w:rsidRDefault="001E01BC" w:rsidP="00025D4F">
            <w:pPr>
              <w:spacing w:before="120" w:after="120"/>
              <w:cnfStyle w:val="100000000000"/>
              <w:rPr>
                <w:b w:val="0"/>
                <w:sz w:val="18"/>
                <w:szCs w:val="18"/>
              </w:rPr>
            </w:pPr>
            <w:r w:rsidRPr="001F3584">
              <w:rPr>
                <w:sz w:val="18"/>
                <w:szCs w:val="18"/>
              </w:rPr>
              <w:t>Kontrabas'ın Yapısı Ve Tarihsel Gelişimi</w:t>
            </w:r>
          </w:p>
        </w:tc>
      </w:tr>
      <w:tr w:rsidR="001E01BC" w:rsidRPr="001F3584" w:rsidTr="00CE773E">
        <w:trPr>
          <w:cnfStyle w:val="000000100000"/>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Orkestranın Evrim Sürecinde Kontrbasın İşlevsel Gelişimi</w:t>
            </w:r>
          </w:p>
        </w:tc>
      </w:tr>
      <w:tr w:rsidR="001E01BC" w:rsidRPr="001F3584" w:rsidTr="00CE773E">
        <w:trPr>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Viyana Klasik Döneminde Kontrbas Çalgısının Yeri</w:t>
            </w:r>
          </w:p>
        </w:tc>
      </w:tr>
      <w:tr w:rsidR="001E01BC" w:rsidRPr="001F3584" w:rsidTr="00CE773E">
        <w:trPr>
          <w:cnfStyle w:val="000000100000"/>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Solo Kontrabasın Gelişim Süreci</w:t>
            </w:r>
          </w:p>
        </w:tc>
      </w:tr>
      <w:tr w:rsidR="001E01BC" w:rsidRPr="001F3584" w:rsidTr="00CE773E">
        <w:trPr>
          <w:trHeight w:val="65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 xml:space="preserve">18. </w:t>
            </w:r>
            <w:proofErr w:type="gramStart"/>
            <w:r w:rsidRPr="001F3584">
              <w:rPr>
                <w:sz w:val="18"/>
                <w:szCs w:val="18"/>
              </w:rPr>
              <w:t>ve</w:t>
            </w:r>
            <w:proofErr w:type="gramEnd"/>
            <w:r w:rsidRPr="001F3584">
              <w:rPr>
                <w:sz w:val="18"/>
                <w:szCs w:val="18"/>
              </w:rPr>
              <w:t xml:space="preserve"> 19. Yüzyılda Kontrabasın İtalya, Almanya ve Avusturya'daki Sanatsal Gelişiminin Tarihsel Açıdan İncelenmesi</w:t>
            </w:r>
          </w:p>
        </w:tc>
      </w:tr>
      <w:tr w:rsidR="001E01BC" w:rsidRPr="001F3584" w:rsidTr="00CE773E">
        <w:trPr>
          <w:cnfStyle w:val="000000100000"/>
          <w:trHeight w:val="307"/>
          <w:jc w:val="center"/>
        </w:trPr>
        <w:tc>
          <w:tcPr>
            <w:cnfStyle w:val="001000000000"/>
            <w:tcW w:w="978" w:type="dxa"/>
            <w:vMerge w:val="restart"/>
            <w:textDirection w:val="btLr"/>
            <w:hideMark/>
          </w:tcPr>
          <w:p w:rsidR="001E01BC" w:rsidRPr="001F3584" w:rsidRDefault="001E01BC" w:rsidP="00025D4F">
            <w:pPr>
              <w:spacing w:before="120" w:after="120"/>
              <w:ind w:left="113" w:right="113"/>
              <w:jc w:val="center"/>
              <w:rPr>
                <w:sz w:val="18"/>
                <w:szCs w:val="18"/>
              </w:rPr>
            </w:pPr>
            <w:r w:rsidRPr="001F3584">
              <w:rPr>
                <w:sz w:val="18"/>
                <w:szCs w:val="18"/>
              </w:rPr>
              <w:t>Eser-Etüt-Metod Analizi</w:t>
            </w: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Serge Alexandrovich Koussevitzky Op.3 Kontrabas Konçertosunun İncelenmesi</w:t>
            </w:r>
          </w:p>
        </w:tc>
      </w:tr>
      <w:tr w:rsidR="001E01BC" w:rsidRPr="001F3584" w:rsidTr="00CE773E">
        <w:trPr>
          <w:trHeight w:val="307"/>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Giovanni Bottesinni'nin "Si Minör Kontrabas Konçertosu"nun Teknik Ve Yorum Açısından İncelenmesi</w:t>
            </w:r>
          </w:p>
        </w:tc>
      </w:tr>
      <w:tr w:rsidR="001E01BC" w:rsidRPr="001F3584" w:rsidTr="00CE773E">
        <w:trPr>
          <w:cnfStyle w:val="000000100000"/>
          <w:trHeight w:val="307"/>
          <w:jc w:val="center"/>
        </w:trPr>
        <w:tc>
          <w:tcPr>
            <w:cnfStyle w:val="001000000000"/>
            <w:tcW w:w="978" w:type="dxa"/>
            <w:vMerge/>
          </w:tcPr>
          <w:p w:rsidR="001E01BC" w:rsidRPr="001F3584" w:rsidRDefault="001E01BC" w:rsidP="00025D4F">
            <w:pPr>
              <w:spacing w:before="120" w:after="120"/>
              <w:rPr>
                <w:sz w:val="18"/>
                <w:szCs w:val="18"/>
              </w:rPr>
            </w:pPr>
          </w:p>
        </w:tc>
        <w:tc>
          <w:tcPr>
            <w:tcW w:w="6022" w:type="dxa"/>
          </w:tcPr>
          <w:p w:rsidR="001E01BC" w:rsidRPr="001F3584" w:rsidRDefault="001E01BC" w:rsidP="00025D4F">
            <w:pPr>
              <w:spacing w:before="120" w:after="120"/>
              <w:cnfStyle w:val="000000100000"/>
              <w:rPr>
                <w:sz w:val="18"/>
                <w:szCs w:val="18"/>
              </w:rPr>
            </w:pPr>
            <w:r w:rsidRPr="001F3584">
              <w:rPr>
                <w:sz w:val="18"/>
                <w:szCs w:val="18"/>
              </w:rPr>
              <w:t>Giovanni Bottesinni Si Minör Konçertosunun Form Analiz Ve İcra Yönünden İncelenmesi</w:t>
            </w:r>
          </w:p>
        </w:tc>
      </w:tr>
      <w:tr w:rsidR="001E01BC" w:rsidRPr="001F3584" w:rsidTr="00CE773E">
        <w:trPr>
          <w:trHeight w:val="307"/>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Domenico Carlo Maria Dragonetti’nin La Majör Kontrbas Konçertosunun Formal Analiz ve İcra Açısından İncelenmesi</w:t>
            </w:r>
          </w:p>
        </w:tc>
      </w:tr>
      <w:tr w:rsidR="001E01BC" w:rsidRPr="001F3584" w:rsidTr="00CE773E">
        <w:trPr>
          <w:cnfStyle w:val="000000100000"/>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Domenico Dragonetti La Majör Kontrabas Konçertosu'nun İncelenmesi</w:t>
            </w:r>
          </w:p>
        </w:tc>
      </w:tr>
      <w:tr w:rsidR="001E01BC" w:rsidRPr="001F3584" w:rsidTr="00CE773E">
        <w:trPr>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Edouard Nanny Kontrbas Etüt Kitabının Tekniksel Analizi</w:t>
            </w:r>
          </w:p>
        </w:tc>
      </w:tr>
      <w:tr w:rsidR="001E01BC" w:rsidRPr="001F3584" w:rsidTr="00CE773E">
        <w:trPr>
          <w:cnfStyle w:val="000000100000"/>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Paul Hindemith Kontrbas Sonatının Analizi</w:t>
            </w:r>
          </w:p>
        </w:tc>
      </w:tr>
      <w:tr w:rsidR="001E01BC" w:rsidRPr="001F3584" w:rsidTr="00CE773E">
        <w:trPr>
          <w:trHeight w:val="588"/>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Carl Ditters Von Dittersdorf'un 2 Nolu Mi Majör Kontrabas Konçertosu</w:t>
            </w:r>
          </w:p>
        </w:tc>
      </w:tr>
      <w:tr w:rsidR="001E01BC" w:rsidRPr="001F3584" w:rsidTr="00CE773E">
        <w:trPr>
          <w:cnfStyle w:val="000000100000"/>
          <w:trHeight w:val="344"/>
          <w:jc w:val="center"/>
        </w:trPr>
        <w:tc>
          <w:tcPr>
            <w:cnfStyle w:val="001000000000"/>
            <w:tcW w:w="978" w:type="dxa"/>
            <w:vMerge w:val="restart"/>
            <w:textDirection w:val="btLr"/>
            <w:hideMark/>
          </w:tcPr>
          <w:p w:rsidR="001E01BC" w:rsidRPr="001F3584" w:rsidRDefault="001E01BC" w:rsidP="00025D4F">
            <w:pPr>
              <w:spacing w:before="120" w:after="120"/>
              <w:ind w:left="113" w:right="113"/>
              <w:jc w:val="center"/>
              <w:rPr>
                <w:sz w:val="18"/>
                <w:szCs w:val="18"/>
              </w:rPr>
            </w:pPr>
            <w:r w:rsidRPr="001F3584">
              <w:rPr>
                <w:sz w:val="18"/>
                <w:szCs w:val="18"/>
              </w:rPr>
              <w:t>Kontrbas Eğitimi</w:t>
            </w: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Kontrbas Dersi Uygulamalarının Hedefler Düzeyinde İncelenmesi: Bir Taslak Önerisi</w:t>
            </w:r>
          </w:p>
        </w:tc>
      </w:tr>
      <w:tr w:rsidR="001E01BC" w:rsidRPr="001F3584" w:rsidTr="00CE773E">
        <w:trPr>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Kontrbas Tekniğinde Alman ve Fransız Tekniklerinin Karşılaştırılması</w:t>
            </w:r>
          </w:p>
        </w:tc>
      </w:tr>
      <w:tr w:rsidR="001E01BC" w:rsidRPr="001F3584" w:rsidTr="00CE773E">
        <w:trPr>
          <w:cnfStyle w:val="000000100000"/>
          <w:trHeight w:val="315"/>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noWrap/>
            <w:hideMark/>
          </w:tcPr>
          <w:p w:rsidR="001E01BC" w:rsidRPr="001F3584" w:rsidRDefault="001E01BC" w:rsidP="00025D4F">
            <w:pPr>
              <w:spacing w:before="120" w:after="120"/>
              <w:cnfStyle w:val="000000100000"/>
              <w:rPr>
                <w:sz w:val="18"/>
                <w:szCs w:val="18"/>
              </w:rPr>
            </w:pPr>
            <w:r w:rsidRPr="001F3584">
              <w:rPr>
                <w:sz w:val="18"/>
                <w:szCs w:val="18"/>
              </w:rPr>
              <w:t>Anadolu Güzel Sanatlar Liselerinde Kontrabas Eğitiminin İncelenmesi</w:t>
            </w:r>
          </w:p>
        </w:tc>
      </w:tr>
      <w:tr w:rsidR="001E01BC" w:rsidRPr="001F3584" w:rsidTr="00CE773E">
        <w:trPr>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Kontrbasistlerde Kas İskelet Sistemi Rahatsızlıkları ve Önleme Yöntemleri</w:t>
            </w:r>
          </w:p>
        </w:tc>
      </w:tr>
      <w:tr w:rsidR="001E01BC" w:rsidRPr="001F3584" w:rsidTr="00CE773E">
        <w:trPr>
          <w:cnfStyle w:val="000000100000"/>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Kontrbas Repertuvarında Uyarlamaların Yeri ve Önemi</w:t>
            </w:r>
          </w:p>
        </w:tc>
      </w:tr>
      <w:tr w:rsidR="001E01BC" w:rsidRPr="001F3584" w:rsidTr="00CE773E">
        <w:trPr>
          <w:trHeight w:val="307"/>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Konservatuvarlarda Verilmekte Olan Kontrbas Eğitiminde Çağdaş Türk Kontrbas Müziği Eserlerinin Yeri ve Önemi</w:t>
            </w:r>
          </w:p>
        </w:tc>
      </w:tr>
      <w:tr w:rsidR="001E01BC" w:rsidRPr="001F3584" w:rsidTr="00CE773E">
        <w:trPr>
          <w:cnfStyle w:val="000000100000"/>
          <w:trHeight w:val="307"/>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Kontrbasın İcrasında Yeni Sol El Teknikleri</w:t>
            </w:r>
          </w:p>
        </w:tc>
      </w:tr>
      <w:tr w:rsidR="001E01BC" w:rsidRPr="001F3584" w:rsidTr="00CE773E">
        <w:trPr>
          <w:trHeight w:val="418"/>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Kontrbas Tutuş ve Çalış Tekniklerinin Ses Üzerindeki Etkileri</w:t>
            </w:r>
          </w:p>
        </w:tc>
      </w:tr>
      <w:tr w:rsidR="001E01BC" w:rsidRPr="001F3584" w:rsidTr="00CE773E">
        <w:trPr>
          <w:cnfStyle w:val="000000100000"/>
          <w:trHeight w:val="307"/>
          <w:jc w:val="center"/>
        </w:trPr>
        <w:tc>
          <w:tcPr>
            <w:cnfStyle w:val="001000000000"/>
            <w:tcW w:w="978" w:type="dxa"/>
            <w:vMerge w:val="restart"/>
            <w:textDirection w:val="btLr"/>
            <w:hideMark/>
          </w:tcPr>
          <w:p w:rsidR="001E01BC" w:rsidRPr="001F3584" w:rsidRDefault="001E01BC" w:rsidP="00025D4F">
            <w:pPr>
              <w:spacing w:before="120" w:after="120"/>
              <w:ind w:left="113" w:right="113"/>
              <w:jc w:val="center"/>
              <w:rPr>
                <w:sz w:val="18"/>
                <w:szCs w:val="18"/>
              </w:rPr>
            </w:pPr>
            <w:r w:rsidRPr="001F3584">
              <w:rPr>
                <w:sz w:val="18"/>
                <w:szCs w:val="18"/>
              </w:rPr>
              <w:t>Biyografi</w:t>
            </w: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Kontrbasın Tarihsel Gelişiminde Giovanni Bottesini</w:t>
            </w:r>
          </w:p>
        </w:tc>
      </w:tr>
      <w:tr w:rsidR="001E01BC" w:rsidRPr="001F3584" w:rsidTr="00CE773E">
        <w:trPr>
          <w:trHeight w:val="170"/>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000000"/>
              <w:rPr>
                <w:sz w:val="18"/>
                <w:szCs w:val="18"/>
              </w:rPr>
            </w:pPr>
            <w:r w:rsidRPr="001F3584">
              <w:rPr>
                <w:sz w:val="18"/>
                <w:szCs w:val="18"/>
              </w:rPr>
              <w:t>Solo Kontrbasın Öncüsü Domenico Carlo Maria Dragonetti</w:t>
            </w:r>
          </w:p>
        </w:tc>
      </w:tr>
      <w:tr w:rsidR="001E01BC" w:rsidRPr="001F3584" w:rsidTr="00CE773E">
        <w:trPr>
          <w:cnfStyle w:val="000000100000"/>
          <w:trHeight w:val="538"/>
          <w:jc w:val="center"/>
        </w:trPr>
        <w:tc>
          <w:tcPr>
            <w:cnfStyle w:val="001000000000"/>
            <w:tcW w:w="978" w:type="dxa"/>
            <w:vMerge/>
            <w:hideMark/>
          </w:tcPr>
          <w:p w:rsidR="001E01BC" w:rsidRPr="001F3584" w:rsidRDefault="001E01BC" w:rsidP="00025D4F">
            <w:pPr>
              <w:spacing w:before="120" w:after="120"/>
              <w:rPr>
                <w:sz w:val="18"/>
                <w:szCs w:val="18"/>
              </w:rPr>
            </w:pPr>
          </w:p>
        </w:tc>
        <w:tc>
          <w:tcPr>
            <w:tcW w:w="6022" w:type="dxa"/>
            <w:hideMark/>
          </w:tcPr>
          <w:p w:rsidR="001E01BC" w:rsidRPr="001F3584" w:rsidRDefault="001E01BC" w:rsidP="00025D4F">
            <w:pPr>
              <w:spacing w:before="120" w:after="120"/>
              <w:cnfStyle w:val="000000100000"/>
              <w:rPr>
                <w:sz w:val="18"/>
                <w:szCs w:val="18"/>
              </w:rPr>
            </w:pPr>
            <w:r w:rsidRPr="001F3584">
              <w:rPr>
                <w:sz w:val="18"/>
                <w:szCs w:val="18"/>
              </w:rPr>
              <w:t>Cumhuriyet Dönemi Sonrası Türk Müziği Kontrabas İcracıları</w:t>
            </w:r>
          </w:p>
        </w:tc>
      </w:tr>
    </w:tbl>
    <w:p w:rsidR="00025D4F" w:rsidRDefault="00025D4F" w:rsidP="00025D4F">
      <w:pPr>
        <w:pStyle w:val="GvdeMetni"/>
        <w:spacing w:before="120" w:after="120"/>
        <w:ind w:right="113" w:firstLine="720"/>
        <w:jc w:val="both"/>
        <w:rPr>
          <w:lang w:val="tr-TR"/>
        </w:rPr>
      </w:pPr>
    </w:p>
    <w:p w:rsidR="001E01BC" w:rsidRPr="001F3584" w:rsidRDefault="00AE1C09" w:rsidP="00025D4F">
      <w:pPr>
        <w:pStyle w:val="GvdeMetni"/>
        <w:spacing w:before="120" w:after="120" w:line="480" w:lineRule="auto"/>
        <w:ind w:right="112" w:firstLine="720"/>
        <w:jc w:val="both"/>
        <w:rPr>
          <w:sz w:val="10"/>
          <w:lang w:val="tr-TR"/>
        </w:rPr>
      </w:pPr>
      <w:r w:rsidRPr="00AE1C09">
        <w:rPr>
          <w:noProof/>
          <w:lang w:val="tr-TR" w:eastAsia="tr-TR"/>
        </w:rPr>
        <w:pict>
          <v:line id="Düz Bağlayıcı 27" o:spid="_x0000_s1026" style="position:absolute;left:0;text-align:left;z-index:-251658752;visibility:visible;mso-position-horizontal-relative:page" from="208.35pt,-74.35pt" to="509.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" strokecolor="#7e7e7e" strokeweight=".24pt">
            <w10:wrap anchorx="page"/>
          </v:line>
        </w:pict>
      </w:r>
      <w:r w:rsidR="001E01BC" w:rsidRPr="001F3584">
        <w:rPr>
          <w:lang w:val="tr-TR"/>
        </w:rPr>
        <w:t>Tablo 5’de lisansüstü programları doğrultusunda kontrbas konulu yazılmış t</w:t>
      </w:r>
      <w:r w:rsidR="0045149F" w:rsidRPr="001F3584">
        <w:rPr>
          <w:lang w:val="tr-TR"/>
        </w:rPr>
        <w:t xml:space="preserve">ezler konu içerikleri yönünden </w:t>
      </w:r>
      <w:r w:rsidR="001E01BC" w:rsidRPr="00313C5E">
        <w:rPr>
          <w:lang w:val="tr-TR"/>
        </w:rPr>
        <w:t>Tarihsel Gelişim, Eser-Etüt Analizi, Kontrbas Eğitimi ve Biyografi</w:t>
      </w:r>
      <w:r w:rsidR="0045149F" w:rsidRPr="001F3584">
        <w:rPr>
          <w:lang w:val="tr-TR"/>
        </w:rPr>
        <w:t xml:space="preserve"> </w:t>
      </w:r>
      <w:r w:rsidR="001E01BC" w:rsidRPr="001F3584">
        <w:rPr>
          <w:lang w:val="tr-TR"/>
        </w:rPr>
        <w:t>başlıkları</w:t>
      </w:r>
      <w:r w:rsidR="001E01BC" w:rsidRPr="001F3584">
        <w:rPr>
          <w:spacing w:val="-8"/>
          <w:lang w:val="tr-TR"/>
        </w:rPr>
        <w:t xml:space="preserve"> </w:t>
      </w:r>
      <w:r w:rsidR="001E01BC" w:rsidRPr="001F3584">
        <w:rPr>
          <w:lang w:val="tr-TR"/>
        </w:rPr>
        <w:t>altında</w:t>
      </w:r>
      <w:r w:rsidR="001E01BC" w:rsidRPr="001F3584">
        <w:rPr>
          <w:spacing w:val="-9"/>
          <w:lang w:val="tr-TR"/>
        </w:rPr>
        <w:t xml:space="preserve"> </w:t>
      </w:r>
      <w:r w:rsidR="001E01BC" w:rsidRPr="001F3584">
        <w:rPr>
          <w:lang w:val="tr-TR"/>
        </w:rPr>
        <w:t>gruplandırılmıştır.</w:t>
      </w:r>
      <w:r w:rsidR="001E01BC" w:rsidRPr="001F3584">
        <w:rPr>
          <w:spacing w:val="-11"/>
          <w:lang w:val="tr-TR"/>
        </w:rPr>
        <w:t xml:space="preserve"> </w:t>
      </w:r>
      <w:r w:rsidR="001E01BC" w:rsidRPr="001F3584">
        <w:rPr>
          <w:lang w:val="tr-TR"/>
        </w:rPr>
        <w:t>Bu</w:t>
      </w:r>
      <w:r w:rsidR="001E01BC" w:rsidRPr="001F3584">
        <w:rPr>
          <w:spacing w:val="-8"/>
          <w:lang w:val="tr-TR"/>
        </w:rPr>
        <w:t xml:space="preserve"> </w:t>
      </w:r>
      <w:r w:rsidR="001E01BC" w:rsidRPr="001F3584">
        <w:rPr>
          <w:lang w:val="tr-TR"/>
        </w:rPr>
        <w:t>doğrultuda,</w:t>
      </w:r>
      <w:r w:rsidR="001E01BC" w:rsidRPr="001F3584">
        <w:rPr>
          <w:spacing w:val="-8"/>
          <w:lang w:val="tr-TR"/>
        </w:rPr>
        <w:t xml:space="preserve"> </w:t>
      </w:r>
      <w:r w:rsidR="001E01BC" w:rsidRPr="001F3584">
        <w:rPr>
          <w:lang w:val="tr-TR"/>
        </w:rPr>
        <w:t>Tarihsel</w:t>
      </w:r>
      <w:r w:rsidR="001E01BC" w:rsidRPr="001F3584">
        <w:rPr>
          <w:spacing w:val="-8"/>
          <w:lang w:val="tr-TR"/>
        </w:rPr>
        <w:t xml:space="preserve"> </w:t>
      </w:r>
      <w:r w:rsidR="001E01BC" w:rsidRPr="001F3584">
        <w:rPr>
          <w:lang w:val="tr-TR"/>
        </w:rPr>
        <w:t>Gelişim</w:t>
      </w:r>
      <w:r w:rsidR="001E01BC" w:rsidRPr="001F3584">
        <w:rPr>
          <w:spacing w:val="-10"/>
          <w:lang w:val="tr-TR"/>
        </w:rPr>
        <w:t xml:space="preserve"> </w:t>
      </w:r>
      <w:r w:rsidR="001E01BC" w:rsidRPr="001F3584">
        <w:rPr>
          <w:lang w:val="tr-TR"/>
        </w:rPr>
        <w:t>başlığında</w:t>
      </w:r>
      <w:r w:rsidR="001E01BC" w:rsidRPr="001F3584">
        <w:rPr>
          <w:spacing w:val="-11"/>
          <w:lang w:val="tr-TR"/>
        </w:rPr>
        <w:t xml:space="preserve"> </w:t>
      </w:r>
      <w:r w:rsidR="0045149F" w:rsidRPr="001F3584">
        <w:rPr>
          <w:lang w:val="tr-TR"/>
        </w:rPr>
        <w:t>beş</w:t>
      </w:r>
      <w:r w:rsidR="001E01BC" w:rsidRPr="001F3584">
        <w:rPr>
          <w:lang w:val="tr-TR"/>
        </w:rPr>
        <w:t xml:space="preserve"> adet, Eser-Etüt-Metod Analizi başlığında 8 adet tez, Kontrbas Eğitimi başlığında 9 adet tez, Biyografi </w:t>
      </w:r>
      <w:r w:rsidR="0045149F" w:rsidRPr="001F3584">
        <w:rPr>
          <w:lang w:val="tr-TR"/>
        </w:rPr>
        <w:t>başlığında ise üç</w:t>
      </w:r>
      <w:r w:rsidR="001E01BC" w:rsidRPr="001F3584">
        <w:rPr>
          <w:lang w:val="tr-TR"/>
        </w:rPr>
        <w:t xml:space="preserve"> adet tez</w:t>
      </w:r>
      <w:r w:rsidR="001E01BC" w:rsidRPr="001F3584">
        <w:rPr>
          <w:spacing w:val="-12"/>
          <w:lang w:val="tr-TR"/>
        </w:rPr>
        <w:t xml:space="preserve"> </w:t>
      </w:r>
      <w:r w:rsidR="001E01BC" w:rsidRPr="001F3584">
        <w:rPr>
          <w:lang w:val="tr-TR"/>
        </w:rPr>
        <w:t>gruplandırılmıştır.</w:t>
      </w:r>
    </w:p>
    <w:p w:rsidR="001E01BC" w:rsidRPr="00313C5E" w:rsidRDefault="001E01BC" w:rsidP="00025D4F">
      <w:pPr>
        <w:spacing w:before="120" w:after="120"/>
        <w:ind w:right="34" w:firstLine="708"/>
      </w:pPr>
      <w:bookmarkStart w:id="9" w:name="_bookmark15"/>
      <w:bookmarkEnd w:id="9"/>
      <w:r w:rsidRPr="00313C5E">
        <w:t xml:space="preserve">Tablo 6. </w:t>
      </w:r>
      <w:r w:rsidRPr="005B1229">
        <w:rPr>
          <w:i/>
        </w:rPr>
        <w:t>Türkiye’de Kontrbas Konulu Yazılmış Lisansüstü Tezlerin Konularına Göre Yüzde ve Frekans Tablosu</w:t>
      </w:r>
    </w:p>
    <w:p w:rsidR="001E01BC" w:rsidRPr="001F3584" w:rsidRDefault="001E01BC" w:rsidP="00025D4F">
      <w:pPr>
        <w:pStyle w:val="GvdeMetni"/>
        <w:spacing w:before="120" w:after="120"/>
        <w:rPr>
          <w:i/>
          <w:sz w:val="17"/>
          <w:lang w:val="tr-TR"/>
        </w:rPr>
      </w:pPr>
    </w:p>
    <w:tbl>
      <w:tblPr>
        <w:tblStyle w:val="TableNormal"/>
        <w:tblW w:w="0" w:type="auto"/>
        <w:tblInd w:w="2202" w:type="dxa"/>
        <w:tblBorders>
          <w:top w:val="nil"/>
          <w:left w:val="nil"/>
          <w:bottom w:val="nil"/>
          <w:right w:val="nil"/>
          <w:insideH w:val="nil"/>
          <w:insideV w:val="nil"/>
        </w:tblBorders>
        <w:tblLayout w:type="fixed"/>
        <w:tblLook w:val="01E0"/>
      </w:tblPr>
      <w:tblGrid>
        <w:gridCol w:w="2925"/>
        <w:gridCol w:w="1291"/>
        <w:gridCol w:w="1314"/>
      </w:tblGrid>
      <w:tr w:rsidR="001E01BC" w:rsidRPr="001F3584" w:rsidTr="00CE773E">
        <w:trPr>
          <w:trHeight w:hRule="exact" w:val="502"/>
        </w:trPr>
        <w:tc>
          <w:tcPr>
            <w:tcW w:w="2925" w:type="dxa"/>
            <w:tcBorders>
              <w:top w:val="single" w:sz="2" w:space="0" w:color="94B3D6"/>
              <w:bottom w:val="single" w:sz="2" w:space="0" w:color="94B3D6"/>
            </w:tcBorders>
          </w:tcPr>
          <w:p w:rsidR="001E01BC" w:rsidRPr="00025D4F" w:rsidRDefault="001E01BC" w:rsidP="00025D4F">
            <w:pPr>
              <w:pStyle w:val="TableParagraph"/>
              <w:spacing w:before="120" w:after="120"/>
              <w:ind w:left="66" w:right="1020"/>
              <w:rPr>
                <w:b/>
                <w:lang w:val="tr-TR"/>
              </w:rPr>
            </w:pPr>
            <w:r w:rsidRPr="00025D4F">
              <w:rPr>
                <w:b/>
                <w:lang w:val="tr-TR"/>
              </w:rPr>
              <w:t>Konular</w:t>
            </w:r>
          </w:p>
        </w:tc>
        <w:tc>
          <w:tcPr>
            <w:tcW w:w="1291" w:type="dxa"/>
            <w:tcBorders>
              <w:top w:val="single" w:sz="2" w:space="0" w:color="94B3D6"/>
              <w:bottom w:val="single" w:sz="2" w:space="0" w:color="94B3D6"/>
            </w:tcBorders>
          </w:tcPr>
          <w:p w:rsidR="001E01BC" w:rsidRPr="00025D4F" w:rsidRDefault="001E01BC" w:rsidP="00025D4F">
            <w:pPr>
              <w:pStyle w:val="TableParagraph"/>
              <w:spacing w:before="120" w:after="120"/>
              <w:ind w:left="709"/>
              <w:rPr>
                <w:b/>
                <w:lang w:val="tr-TR"/>
              </w:rPr>
            </w:pPr>
            <w:proofErr w:type="gramStart"/>
            <w:r w:rsidRPr="00025D4F">
              <w:rPr>
                <w:b/>
                <w:lang w:val="tr-TR"/>
              </w:rPr>
              <w:t>f</w:t>
            </w:r>
            <w:proofErr w:type="gramEnd"/>
          </w:p>
        </w:tc>
        <w:tc>
          <w:tcPr>
            <w:tcW w:w="1314" w:type="dxa"/>
            <w:tcBorders>
              <w:top w:val="single" w:sz="2" w:space="0" w:color="94B3D6"/>
              <w:bottom w:val="single" w:sz="2" w:space="0" w:color="94B3D6"/>
            </w:tcBorders>
          </w:tcPr>
          <w:p w:rsidR="001E01BC" w:rsidRPr="00025D4F" w:rsidRDefault="001E01BC" w:rsidP="00025D4F">
            <w:pPr>
              <w:pStyle w:val="TableParagraph"/>
              <w:spacing w:before="120" w:after="120"/>
              <w:ind w:left="71"/>
              <w:jc w:val="center"/>
              <w:rPr>
                <w:b/>
                <w:lang w:val="tr-TR"/>
              </w:rPr>
            </w:pPr>
            <w:r w:rsidRPr="00025D4F">
              <w:rPr>
                <w:b/>
                <w:lang w:val="tr-TR"/>
              </w:rPr>
              <w:t>%</w:t>
            </w:r>
          </w:p>
        </w:tc>
      </w:tr>
      <w:tr w:rsidR="001E01BC" w:rsidRPr="001F3584" w:rsidTr="00CE773E">
        <w:trPr>
          <w:trHeight w:hRule="exact" w:val="499"/>
        </w:trPr>
        <w:tc>
          <w:tcPr>
            <w:tcW w:w="2925" w:type="dxa"/>
            <w:tcBorders>
              <w:top w:val="single" w:sz="2" w:space="0" w:color="94B3D6"/>
              <w:bottom w:val="single" w:sz="2" w:space="0" w:color="94B3D6"/>
            </w:tcBorders>
          </w:tcPr>
          <w:p w:rsidR="001E01BC" w:rsidRPr="001F3584" w:rsidRDefault="001E01BC" w:rsidP="00025D4F">
            <w:pPr>
              <w:pStyle w:val="TableParagraph"/>
              <w:spacing w:before="120" w:after="120"/>
              <w:ind w:left="108"/>
              <w:rPr>
                <w:lang w:val="tr-TR"/>
              </w:rPr>
            </w:pPr>
            <w:r w:rsidRPr="001F3584">
              <w:rPr>
                <w:lang w:val="tr-TR"/>
              </w:rPr>
              <w:t>Tarihsel Gelişim</w:t>
            </w:r>
          </w:p>
        </w:tc>
        <w:tc>
          <w:tcPr>
            <w:tcW w:w="1291" w:type="dxa"/>
            <w:tcBorders>
              <w:top w:val="single" w:sz="2" w:space="0" w:color="94B3D6"/>
              <w:bottom w:val="single" w:sz="2" w:space="0" w:color="94B3D6"/>
            </w:tcBorders>
          </w:tcPr>
          <w:p w:rsidR="001E01BC" w:rsidRPr="001F3584" w:rsidRDefault="001E01BC" w:rsidP="00025D4F">
            <w:pPr>
              <w:pStyle w:val="TableParagraph"/>
              <w:spacing w:before="120" w:after="120"/>
              <w:ind w:left="689"/>
              <w:rPr>
                <w:lang w:val="tr-TR"/>
              </w:rPr>
            </w:pPr>
            <w:r w:rsidRPr="001F3584">
              <w:rPr>
                <w:lang w:val="tr-TR"/>
              </w:rPr>
              <w:t>5</w:t>
            </w:r>
          </w:p>
        </w:tc>
        <w:tc>
          <w:tcPr>
            <w:tcW w:w="1314" w:type="dxa"/>
            <w:tcBorders>
              <w:top w:val="single" w:sz="2" w:space="0" w:color="94B3D6"/>
              <w:bottom w:val="single" w:sz="2" w:space="0" w:color="94B3D6"/>
            </w:tcBorders>
          </w:tcPr>
          <w:p w:rsidR="001E01BC" w:rsidRPr="001F3584" w:rsidRDefault="001E01BC" w:rsidP="00025D4F">
            <w:pPr>
              <w:pStyle w:val="TableParagraph"/>
              <w:spacing w:before="120" w:after="120"/>
              <w:ind w:left="490"/>
              <w:rPr>
                <w:lang w:val="tr-TR"/>
              </w:rPr>
            </w:pPr>
            <w:r w:rsidRPr="001F3584">
              <w:rPr>
                <w:lang w:val="tr-TR"/>
              </w:rPr>
              <w:t>20%</w:t>
            </w:r>
          </w:p>
        </w:tc>
      </w:tr>
      <w:tr w:rsidR="001E01BC" w:rsidRPr="001F3584" w:rsidTr="00CE773E">
        <w:trPr>
          <w:trHeight w:hRule="exact" w:val="499"/>
        </w:trPr>
        <w:tc>
          <w:tcPr>
            <w:tcW w:w="2925" w:type="dxa"/>
            <w:tcBorders>
              <w:top w:val="single" w:sz="2" w:space="0" w:color="94B3D6"/>
              <w:bottom w:val="single" w:sz="2" w:space="0" w:color="94B3D6"/>
            </w:tcBorders>
          </w:tcPr>
          <w:p w:rsidR="001E01BC" w:rsidRPr="001F3584" w:rsidRDefault="001E01BC" w:rsidP="00025D4F">
            <w:pPr>
              <w:pStyle w:val="TableParagraph"/>
              <w:spacing w:before="120" w:after="120"/>
              <w:ind w:left="108"/>
              <w:rPr>
                <w:lang w:val="tr-TR"/>
              </w:rPr>
            </w:pPr>
            <w:r w:rsidRPr="001F3584">
              <w:rPr>
                <w:lang w:val="tr-TR"/>
              </w:rPr>
              <w:t>Eser-Etüt-Metod Analizi</w:t>
            </w:r>
          </w:p>
        </w:tc>
        <w:tc>
          <w:tcPr>
            <w:tcW w:w="1291" w:type="dxa"/>
            <w:tcBorders>
              <w:top w:val="single" w:sz="2" w:space="0" w:color="94B3D6"/>
              <w:bottom w:val="single" w:sz="2" w:space="0" w:color="94B3D6"/>
            </w:tcBorders>
          </w:tcPr>
          <w:p w:rsidR="001E01BC" w:rsidRPr="001F3584" w:rsidRDefault="001E01BC" w:rsidP="00025D4F">
            <w:pPr>
              <w:pStyle w:val="TableParagraph"/>
              <w:spacing w:before="120" w:after="120"/>
              <w:ind w:left="689"/>
              <w:rPr>
                <w:lang w:val="tr-TR"/>
              </w:rPr>
            </w:pPr>
            <w:r w:rsidRPr="001F3584">
              <w:rPr>
                <w:lang w:val="tr-TR"/>
              </w:rPr>
              <w:t>8</w:t>
            </w:r>
          </w:p>
        </w:tc>
        <w:tc>
          <w:tcPr>
            <w:tcW w:w="1314" w:type="dxa"/>
            <w:tcBorders>
              <w:top w:val="single" w:sz="2" w:space="0" w:color="94B3D6"/>
              <w:bottom w:val="single" w:sz="2" w:space="0" w:color="94B3D6"/>
            </w:tcBorders>
          </w:tcPr>
          <w:p w:rsidR="001E01BC" w:rsidRPr="001F3584" w:rsidRDefault="001E01BC" w:rsidP="00025D4F">
            <w:pPr>
              <w:pStyle w:val="TableParagraph"/>
              <w:spacing w:before="120" w:after="120"/>
              <w:ind w:left="490"/>
              <w:rPr>
                <w:lang w:val="tr-TR"/>
              </w:rPr>
            </w:pPr>
            <w:r w:rsidRPr="001F3584">
              <w:rPr>
                <w:lang w:val="tr-TR"/>
              </w:rPr>
              <w:t>32%</w:t>
            </w:r>
          </w:p>
        </w:tc>
      </w:tr>
      <w:tr w:rsidR="001E01BC" w:rsidRPr="001F3584" w:rsidTr="00CE773E">
        <w:trPr>
          <w:trHeight w:hRule="exact" w:val="502"/>
        </w:trPr>
        <w:tc>
          <w:tcPr>
            <w:tcW w:w="2925" w:type="dxa"/>
            <w:tcBorders>
              <w:top w:val="single" w:sz="2" w:space="0" w:color="94B3D6"/>
              <w:bottom w:val="single" w:sz="2" w:space="0" w:color="94B3D6"/>
            </w:tcBorders>
          </w:tcPr>
          <w:p w:rsidR="001E01BC" w:rsidRPr="001F3584" w:rsidRDefault="001E01BC" w:rsidP="00025D4F">
            <w:pPr>
              <w:pStyle w:val="TableParagraph"/>
              <w:spacing w:before="120" w:after="120"/>
              <w:ind w:left="108"/>
              <w:rPr>
                <w:lang w:val="tr-TR"/>
              </w:rPr>
            </w:pPr>
            <w:r w:rsidRPr="001F3584">
              <w:rPr>
                <w:lang w:val="tr-TR"/>
              </w:rPr>
              <w:t>Kontrbas Eğitimi</w:t>
            </w:r>
          </w:p>
        </w:tc>
        <w:tc>
          <w:tcPr>
            <w:tcW w:w="1291" w:type="dxa"/>
            <w:tcBorders>
              <w:top w:val="single" w:sz="2" w:space="0" w:color="94B3D6"/>
              <w:bottom w:val="single" w:sz="2" w:space="0" w:color="94B3D6"/>
            </w:tcBorders>
          </w:tcPr>
          <w:p w:rsidR="001E01BC" w:rsidRPr="001F3584" w:rsidRDefault="001E01BC" w:rsidP="00025D4F">
            <w:pPr>
              <w:pStyle w:val="TableParagraph"/>
              <w:spacing w:before="120" w:after="120"/>
              <w:ind w:left="689"/>
              <w:rPr>
                <w:lang w:val="tr-TR"/>
              </w:rPr>
            </w:pPr>
            <w:r w:rsidRPr="001F3584">
              <w:rPr>
                <w:lang w:val="tr-TR"/>
              </w:rPr>
              <w:t>9</w:t>
            </w:r>
          </w:p>
        </w:tc>
        <w:tc>
          <w:tcPr>
            <w:tcW w:w="1314" w:type="dxa"/>
            <w:tcBorders>
              <w:top w:val="single" w:sz="2" w:space="0" w:color="94B3D6"/>
              <w:bottom w:val="single" w:sz="2" w:space="0" w:color="94B3D6"/>
            </w:tcBorders>
          </w:tcPr>
          <w:p w:rsidR="001E01BC" w:rsidRPr="001F3584" w:rsidRDefault="001E01BC" w:rsidP="00025D4F">
            <w:pPr>
              <w:pStyle w:val="TableParagraph"/>
              <w:spacing w:before="120" w:after="120"/>
              <w:ind w:left="490"/>
              <w:rPr>
                <w:lang w:val="tr-TR"/>
              </w:rPr>
            </w:pPr>
            <w:r w:rsidRPr="001F3584">
              <w:rPr>
                <w:lang w:val="tr-TR"/>
              </w:rPr>
              <w:t>36%</w:t>
            </w:r>
          </w:p>
        </w:tc>
      </w:tr>
      <w:tr w:rsidR="001E01BC" w:rsidRPr="001F3584" w:rsidTr="00CE773E">
        <w:trPr>
          <w:trHeight w:hRule="exact" w:val="499"/>
        </w:trPr>
        <w:tc>
          <w:tcPr>
            <w:tcW w:w="2925" w:type="dxa"/>
            <w:tcBorders>
              <w:top w:val="single" w:sz="2" w:space="0" w:color="94B3D6"/>
              <w:bottom w:val="single" w:sz="2" w:space="0" w:color="94B3D6"/>
            </w:tcBorders>
          </w:tcPr>
          <w:p w:rsidR="001E01BC" w:rsidRPr="001F3584" w:rsidRDefault="001E01BC" w:rsidP="00025D4F">
            <w:pPr>
              <w:pStyle w:val="TableParagraph"/>
              <w:spacing w:before="120" w:after="120"/>
              <w:ind w:left="108"/>
              <w:rPr>
                <w:lang w:val="tr-TR"/>
              </w:rPr>
            </w:pPr>
            <w:r w:rsidRPr="001F3584">
              <w:rPr>
                <w:lang w:val="tr-TR"/>
              </w:rPr>
              <w:lastRenderedPageBreak/>
              <w:t>Biyografi</w:t>
            </w:r>
          </w:p>
        </w:tc>
        <w:tc>
          <w:tcPr>
            <w:tcW w:w="1291" w:type="dxa"/>
            <w:tcBorders>
              <w:top w:val="single" w:sz="2" w:space="0" w:color="94B3D6"/>
              <w:bottom w:val="single" w:sz="2" w:space="0" w:color="94B3D6"/>
            </w:tcBorders>
          </w:tcPr>
          <w:p w:rsidR="001E01BC" w:rsidRPr="001F3584" w:rsidRDefault="001E01BC" w:rsidP="00025D4F">
            <w:pPr>
              <w:pStyle w:val="TableParagraph"/>
              <w:spacing w:before="120" w:after="120"/>
              <w:ind w:left="689"/>
              <w:rPr>
                <w:lang w:val="tr-TR"/>
              </w:rPr>
            </w:pPr>
            <w:r w:rsidRPr="001F3584">
              <w:rPr>
                <w:lang w:val="tr-TR"/>
              </w:rPr>
              <w:t>3</w:t>
            </w:r>
          </w:p>
        </w:tc>
        <w:tc>
          <w:tcPr>
            <w:tcW w:w="1314" w:type="dxa"/>
            <w:tcBorders>
              <w:top w:val="single" w:sz="2" w:space="0" w:color="94B3D6"/>
              <w:bottom w:val="single" w:sz="2" w:space="0" w:color="94B3D6"/>
            </w:tcBorders>
          </w:tcPr>
          <w:p w:rsidR="001E01BC" w:rsidRPr="001F3584" w:rsidRDefault="001E01BC" w:rsidP="00025D4F">
            <w:pPr>
              <w:pStyle w:val="TableParagraph"/>
              <w:spacing w:before="120" w:after="120"/>
              <w:ind w:left="490"/>
              <w:rPr>
                <w:lang w:val="tr-TR"/>
              </w:rPr>
            </w:pPr>
            <w:r w:rsidRPr="001F3584">
              <w:rPr>
                <w:lang w:val="tr-TR"/>
              </w:rPr>
              <w:t>12%</w:t>
            </w:r>
          </w:p>
        </w:tc>
      </w:tr>
      <w:tr w:rsidR="001E01BC" w:rsidRPr="001F3584" w:rsidTr="00CE773E">
        <w:trPr>
          <w:trHeight w:hRule="exact" w:val="502"/>
        </w:trPr>
        <w:tc>
          <w:tcPr>
            <w:tcW w:w="2925" w:type="dxa"/>
            <w:tcBorders>
              <w:top w:val="single" w:sz="2" w:space="0" w:color="94B3D6"/>
              <w:bottom w:val="single" w:sz="2" w:space="0" w:color="94B3D6"/>
            </w:tcBorders>
          </w:tcPr>
          <w:p w:rsidR="001E01BC" w:rsidRPr="001F3584" w:rsidRDefault="001E01BC" w:rsidP="00025D4F">
            <w:pPr>
              <w:pStyle w:val="TableParagraph"/>
              <w:spacing w:before="120" w:after="120"/>
              <w:ind w:left="108"/>
              <w:rPr>
                <w:lang w:val="tr-TR"/>
              </w:rPr>
            </w:pPr>
            <w:r w:rsidRPr="001F3584">
              <w:rPr>
                <w:lang w:val="tr-TR"/>
              </w:rPr>
              <w:t>Toplam</w:t>
            </w:r>
          </w:p>
        </w:tc>
        <w:tc>
          <w:tcPr>
            <w:tcW w:w="1291" w:type="dxa"/>
            <w:tcBorders>
              <w:top w:val="single" w:sz="2" w:space="0" w:color="94B3D6"/>
              <w:bottom w:val="single" w:sz="2" w:space="0" w:color="94B3D6"/>
            </w:tcBorders>
          </w:tcPr>
          <w:p w:rsidR="001E01BC" w:rsidRPr="001F3584" w:rsidRDefault="001E01BC" w:rsidP="00025D4F">
            <w:pPr>
              <w:pStyle w:val="TableParagraph"/>
              <w:spacing w:before="120" w:after="120"/>
              <w:ind w:left="634"/>
              <w:rPr>
                <w:lang w:val="tr-TR"/>
              </w:rPr>
            </w:pPr>
            <w:r w:rsidRPr="001F3584">
              <w:rPr>
                <w:lang w:val="tr-TR"/>
              </w:rPr>
              <w:t>25</w:t>
            </w:r>
          </w:p>
        </w:tc>
        <w:tc>
          <w:tcPr>
            <w:tcW w:w="1314" w:type="dxa"/>
            <w:tcBorders>
              <w:top w:val="single" w:sz="2" w:space="0" w:color="94B3D6"/>
              <w:bottom w:val="single" w:sz="2" w:space="0" w:color="94B3D6"/>
            </w:tcBorders>
          </w:tcPr>
          <w:p w:rsidR="001E01BC" w:rsidRPr="001F3584" w:rsidRDefault="001E01BC" w:rsidP="00025D4F">
            <w:pPr>
              <w:pStyle w:val="TableParagraph"/>
              <w:spacing w:before="120" w:after="120"/>
              <w:ind w:left="435"/>
              <w:rPr>
                <w:lang w:val="tr-TR"/>
              </w:rPr>
            </w:pPr>
            <w:r w:rsidRPr="001F3584">
              <w:rPr>
                <w:lang w:val="tr-TR"/>
              </w:rPr>
              <w:t>100%</w:t>
            </w:r>
          </w:p>
        </w:tc>
      </w:tr>
    </w:tbl>
    <w:p w:rsidR="001E01BC" w:rsidRPr="001F3584" w:rsidRDefault="001E01BC" w:rsidP="00025D4F">
      <w:pPr>
        <w:pStyle w:val="GvdeMetni"/>
        <w:spacing w:before="120" w:after="120"/>
        <w:rPr>
          <w:i/>
          <w:sz w:val="20"/>
          <w:lang w:val="tr-TR"/>
        </w:rPr>
      </w:pPr>
    </w:p>
    <w:p w:rsidR="001E01BC" w:rsidRPr="001F3584" w:rsidRDefault="001E01BC" w:rsidP="00025D4F">
      <w:pPr>
        <w:pStyle w:val="GvdeMetni"/>
        <w:spacing w:before="120" w:after="120" w:line="480" w:lineRule="auto"/>
        <w:ind w:right="110" w:firstLine="708"/>
        <w:jc w:val="both"/>
        <w:rPr>
          <w:lang w:val="tr-TR"/>
        </w:rPr>
      </w:pPr>
      <w:r w:rsidRPr="001F3584">
        <w:rPr>
          <w:lang w:val="tr-TR"/>
        </w:rPr>
        <w:t>Tablo</w:t>
      </w:r>
      <w:r w:rsidRPr="001F3584">
        <w:rPr>
          <w:spacing w:val="-13"/>
          <w:lang w:val="tr-TR"/>
        </w:rPr>
        <w:t xml:space="preserve"> </w:t>
      </w:r>
      <w:r w:rsidRPr="001F3584">
        <w:rPr>
          <w:lang w:val="tr-TR"/>
        </w:rPr>
        <w:t>6’da</w:t>
      </w:r>
      <w:r w:rsidRPr="001F3584">
        <w:rPr>
          <w:spacing w:val="-15"/>
          <w:lang w:val="tr-TR"/>
        </w:rPr>
        <w:t xml:space="preserve"> </w:t>
      </w:r>
      <w:r w:rsidRPr="001F3584">
        <w:rPr>
          <w:lang w:val="tr-TR"/>
        </w:rPr>
        <w:t>konuları</w:t>
      </w:r>
      <w:r w:rsidRPr="001F3584">
        <w:rPr>
          <w:spacing w:val="-14"/>
          <w:lang w:val="tr-TR"/>
        </w:rPr>
        <w:t xml:space="preserve"> </w:t>
      </w:r>
      <w:r w:rsidRPr="001F3584">
        <w:rPr>
          <w:lang w:val="tr-TR"/>
        </w:rPr>
        <w:t>bakımından</w:t>
      </w:r>
      <w:r w:rsidRPr="001F3584">
        <w:rPr>
          <w:spacing w:val="-13"/>
          <w:lang w:val="tr-TR"/>
        </w:rPr>
        <w:t xml:space="preserve"> </w:t>
      </w:r>
      <w:r w:rsidRPr="001F3584">
        <w:rPr>
          <w:lang w:val="tr-TR"/>
        </w:rPr>
        <w:t>%36</w:t>
      </w:r>
      <w:r w:rsidRPr="001F3584">
        <w:rPr>
          <w:spacing w:val="-13"/>
          <w:lang w:val="tr-TR"/>
        </w:rPr>
        <w:t xml:space="preserve"> </w:t>
      </w:r>
      <w:r w:rsidRPr="001F3584">
        <w:rPr>
          <w:lang w:val="tr-TR"/>
        </w:rPr>
        <w:t>ile</w:t>
      </w:r>
      <w:r w:rsidRPr="001F3584">
        <w:rPr>
          <w:spacing w:val="-14"/>
          <w:lang w:val="tr-TR"/>
        </w:rPr>
        <w:t xml:space="preserve"> </w:t>
      </w:r>
      <w:r w:rsidRPr="001F3584">
        <w:rPr>
          <w:lang w:val="tr-TR"/>
        </w:rPr>
        <w:t>en</w:t>
      </w:r>
      <w:r w:rsidRPr="001F3584">
        <w:rPr>
          <w:spacing w:val="-12"/>
          <w:lang w:val="tr-TR"/>
        </w:rPr>
        <w:t xml:space="preserve"> </w:t>
      </w:r>
      <w:r w:rsidRPr="001F3584">
        <w:rPr>
          <w:lang w:val="tr-TR"/>
        </w:rPr>
        <w:t>çok</w:t>
      </w:r>
      <w:r w:rsidRPr="001F3584">
        <w:rPr>
          <w:spacing w:val="-11"/>
          <w:lang w:val="tr-TR"/>
        </w:rPr>
        <w:t xml:space="preserve"> </w:t>
      </w:r>
      <w:r w:rsidRPr="001F3584">
        <w:rPr>
          <w:i/>
          <w:lang w:val="tr-TR"/>
        </w:rPr>
        <w:t>Kontrbas</w:t>
      </w:r>
      <w:r w:rsidRPr="001F3584">
        <w:rPr>
          <w:i/>
          <w:spacing w:val="-13"/>
          <w:lang w:val="tr-TR"/>
        </w:rPr>
        <w:t xml:space="preserve"> </w:t>
      </w:r>
      <w:r w:rsidRPr="001F3584">
        <w:rPr>
          <w:i/>
          <w:lang w:val="tr-TR"/>
        </w:rPr>
        <w:t>Eğitimi</w:t>
      </w:r>
      <w:r w:rsidRPr="001F3584">
        <w:rPr>
          <w:spacing w:val="-14"/>
          <w:lang w:val="tr-TR"/>
        </w:rPr>
        <w:t xml:space="preserve"> </w:t>
      </w:r>
      <w:r w:rsidRPr="001F3584">
        <w:rPr>
          <w:lang w:val="tr-TR"/>
        </w:rPr>
        <w:t>ve</w:t>
      </w:r>
      <w:r w:rsidRPr="001F3584">
        <w:rPr>
          <w:spacing w:val="-14"/>
          <w:lang w:val="tr-TR"/>
        </w:rPr>
        <w:t xml:space="preserve"> </w:t>
      </w:r>
      <w:r w:rsidRPr="001F3584">
        <w:rPr>
          <w:lang w:val="tr-TR"/>
        </w:rPr>
        <w:t>%32</w:t>
      </w:r>
      <w:r w:rsidRPr="001F3584">
        <w:rPr>
          <w:spacing w:val="-13"/>
          <w:lang w:val="tr-TR"/>
        </w:rPr>
        <w:t xml:space="preserve"> </w:t>
      </w:r>
      <w:r w:rsidRPr="001F3584">
        <w:rPr>
          <w:lang w:val="tr-TR"/>
        </w:rPr>
        <w:t>ile</w:t>
      </w:r>
      <w:r w:rsidRPr="001F3584">
        <w:rPr>
          <w:spacing w:val="-14"/>
          <w:lang w:val="tr-TR"/>
        </w:rPr>
        <w:t xml:space="preserve"> </w:t>
      </w:r>
      <w:r w:rsidRPr="00313C5E">
        <w:rPr>
          <w:lang w:val="tr-TR"/>
        </w:rPr>
        <w:t xml:space="preserve">Eser- Etüt-Metod Analizi </w:t>
      </w:r>
      <w:r w:rsidRPr="001F3584">
        <w:rPr>
          <w:lang w:val="tr-TR"/>
        </w:rPr>
        <w:t>hakkınd</w:t>
      </w:r>
      <w:r w:rsidR="0045149F" w:rsidRPr="001F3584">
        <w:rPr>
          <w:lang w:val="tr-TR"/>
        </w:rPr>
        <w:t>a lisansüstü tezi yazılmıştır</w:t>
      </w:r>
      <w:r w:rsidR="0045149F" w:rsidRPr="00313C5E">
        <w:rPr>
          <w:lang w:val="tr-TR"/>
        </w:rPr>
        <w:t xml:space="preserve">. </w:t>
      </w:r>
      <w:r w:rsidRPr="00313C5E">
        <w:rPr>
          <w:lang w:val="tr-TR"/>
        </w:rPr>
        <w:t>Tarihsel Gelişim</w:t>
      </w:r>
      <w:r w:rsidR="0045149F" w:rsidRPr="00313C5E">
        <w:rPr>
          <w:lang w:val="tr-TR"/>
        </w:rPr>
        <w:t xml:space="preserve"> ve </w:t>
      </w:r>
      <w:r w:rsidRPr="00313C5E">
        <w:rPr>
          <w:lang w:val="tr-TR"/>
        </w:rPr>
        <w:t>Biyografi</w:t>
      </w:r>
      <w:r w:rsidRPr="001F3584">
        <w:rPr>
          <w:lang w:val="tr-TR"/>
        </w:rPr>
        <w:t xml:space="preserve"> konularında ise toplam 8 adet lisansüstü tezi</w:t>
      </w:r>
      <w:r w:rsidRPr="001F3584">
        <w:rPr>
          <w:spacing w:val="-7"/>
          <w:lang w:val="tr-TR"/>
        </w:rPr>
        <w:t xml:space="preserve"> </w:t>
      </w:r>
      <w:r w:rsidRPr="001F3584">
        <w:rPr>
          <w:lang w:val="tr-TR"/>
        </w:rPr>
        <w:t>yazılmıştır.</w:t>
      </w:r>
    </w:p>
    <w:p w:rsidR="003C03C5" w:rsidRPr="001F3584" w:rsidRDefault="00E37434" w:rsidP="00025D4F">
      <w:pPr>
        <w:tabs>
          <w:tab w:val="left" w:pos="9072"/>
        </w:tabs>
        <w:spacing w:before="120" w:after="120" w:line="480" w:lineRule="auto"/>
        <w:jc w:val="both"/>
        <w:rPr>
          <w:b/>
          <w:lang w:eastAsia="en-US"/>
        </w:rPr>
      </w:pPr>
      <w:r w:rsidRPr="001F3584">
        <w:rPr>
          <w:b/>
          <w:lang w:eastAsia="en-US"/>
        </w:rPr>
        <w:t>Tartışma ve Sonuç</w:t>
      </w:r>
    </w:p>
    <w:p w:rsidR="00B240AD" w:rsidRPr="00313C5E" w:rsidRDefault="00B240AD" w:rsidP="00025D4F">
      <w:pPr>
        <w:widowControl w:val="0"/>
        <w:spacing w:before="120" w:after="120" w:line="480" w:lineRule="auto"/>
        <w:ind w:right="110"/>
        <w:jc w:val="both"/>
      </w:pPr>
      <w:r w:rsidRPr="001F3584">
        <w:tab/>
      </w:r>
      <w:proofErr w:type="gramStart"/>
      <w:r w:rsidR="003C03C5" w:rsidRPr="001F3584">
        <w:t xml:space="preserve">Yapılan araştırma </w:t>
      </w:r>
      <w:r w:rsidR="00CE773E" w:rsidRPr="001F3584">
        <w:t xml:space="preserve">sonucunda, </w:t>
      </w:r>
      <w:r w:rsidRPr="001F3584">
        <w:t>yıllarına ve türlerine göre 2002 ile 2015 yılları arasında kontrbas konulu toplam 25 adet lisansüstü</w:t>
      </w:r>
      <w:r w:rsidRPr="001F3584">
        <w:rPr>
          <w:spacing w:val="-9"/>
        </w:rPr>
        <w:t xml:space="preserve"> </w:t>
      </w:r>
      <w:r w:rsidRPr="001F3584">
        <w:t>tez</w:t>
      </w:r>
      <w:r w:rsidRPr="001F3584">
        <w:rPr>
          <w:spacing w:val="-7"/>
        </w:rPr>
        <w:t xml:space="preserve"> </w:t>
      </w:r>
      <w:r w:rsidRPr="001F3584">
        <w:t>yazıldığı,</w:t>
      </w:r>
      <w:r w:rsidRPr="001F3584">
        <w:rPr>
          <w:spacing w:val="-9"/>
        </w:rPr>
        <w:t xml:space="preserve"> </w:t>
      </w:r>
      <w:r w:rsidRPr="001F3584">
        <w:t>2003,</w:t>
      </w:r>
      <w:r w:rsidRPr="001F3584">
        <w:rPr>
          <w:spacing w:val="-10"/>
        </w:rPr>
        <w:t xml:space="preserve"> </w:t>
      </w:r>
      <w:r w:rsidRPr="001F3584">
        <w:t>2007</w:t>
      </w:r>
      <w:r w:rsidRPr="001F3584">
        <w:rPr>
          <w:spacing w:val="-10"/>
        </w:rPr>
        <w:t xml:space="preserve"> </w:t>
      </w:r>
      <w:r w:rsidRPr="001F3584">
        <w:t>ve</w:t>
      </w:r>
      <w:r w:rsidRPr="001F3584">
        <w:rPr>
          <w:spacing w:val="-8"/>
        </w:rPr>
        <w:t xml:space="preserve"> </w:t>
      </w:r>
      <w:r w:rsidRPr="001F3584">
        <w:t>2016</w:t>
      </w:r>
      <w:r w:rsidRPr="001F3584">
        <w:rPr>
          <w:spacing w:val="-5"/>
        </w:rPr>
        <w:t xml:space="preserve"> </w:t>
      </w:r>
      <w:r w:rsidRPr="001F3584">
        <w:t>yılları</w:t>
      </w:r>
      <w:r w:rsidRPr="001F3584">
        <w:rPr>
          <w:spacing w:val="-7"/>
        </w:rPr>
        <w:t xml:space="preserve"> </w:t>
      </w:r>
      <w:r w:rsidRPr="001F3584">
        <w:t>hariç</w:t>
      </w:r>
      <w:r w:rsidRPr="001F3584">
        <w:rPr>
          <w:spacing w:val="-11"/>
        </w:rPr>
        <w:t xml:space="preserve"> </w:t>
      </w:r>
      <w:r w:rsidRPr="001F3584">
        <w:t>2002</w:t>
      </w:r>
      <w:r w:rsidRPr="001F3584">
        <w:rPr>
          <w:spacing w:val="-3"/>
        </w:rPr>
        <w:t xml:space="preserve"> </w:t>
      </w:r>
      <w:r w:rsidRPr="001F3584">
        <w:t>yılından</w:t>
      </w:r>
      <w:r w:rsidRPr="001F3584">
        <w:rPr>
          <w:spacing w:val="-10"/>
        </w:rPr>
        <w:t xml:space="preserve"> </w:t>
      </w:r>
      <w:r w:rsidRPr="001F3584">
        <w:t>2017</w:t>
      </w:r>
      <w:r w:rsidRPr="001F3584">
        <w:rPr>
          <w:spacing w:val="-7"/>
        </w:rPr>
        <w:t xml:space="preserve"> </w:t>
      </w:r>
      <w:r w:rsidRPr="001F3584">
        <w:t>yılına kadar her yıl kontrbas konulu lisansüstü tez yazıldığ</w:t>
      </w:r>
      <w:r w:rsidR="00556998" w:rsidRPr="001F3584">
        <w:t>ı, yazılan lisansüstü tezlerin iki</w:t>
      </w:r>
      <w:r w:rsidRPr="001F3584">
        <w:t>s</w:t>
      </w:r>
      <w:r w:rsidR="00556998" w:rsidRPr="001F3584">
        <w:t>inin “Sanatta Yeterlilik Tezi” bir</w:t>
      </w:r>
      <w:r w:rsidRPr="001F3584">
        <w:t>inin “Doktora Tezi” diğer 22 adedinin ise “Yüksek Lisans Tezi” olarak hazırlandığı tespit edilmiştir. Bun</w:t>
      </w:r>
      <w:r w:rsidR="00556998" w:rsidRPr="001F3584">
        <w:t>unla birlikte, enstitü bazında üç</w:t>
      </w:r>
      <w:r w:rsidRPr="001F3584">
        <w:t xml:space="preserve"> adet lisansüstü tezinin </w:t>
      </w:r>
      <w:r w:rsidR="00556998" w:rsidRPr="001F3584">
        <w:t>Eğitim Bilimleri Enstitüsünde, iki</w:t>
      </w:r>
      <w:r w:rsidRPr="001F3584">
        <w:t xml:space="preserve"> adet lisansüstü tezinin Güzel Sanatlar Enstitüsünde diğer 20 adet lisansüstü tezinin ise Sosyal Bilimler Enstitüsünde </w:t>
      </w:r>
      <w:r w:rsidR="00556998" w:rsidRPr="001F3584">
        <w:t>yazıldığı, üniversite bazında, iki</w:t>
      </w:r>
      <w:r w:rsidRPr="001F3584">
        <w:t xml:space="preserve"> adet lisansüstü te</w:t>
      </w:r>
      <w:r w:rsidR="00556998" w:rsidRPr="001F3584">
        <w:t>zinin Anadolu Üniversitesinde, üç</w:t>
      </w:r>
      <w:r w:rsidRPr="001F3584">
        <w:t xml:space="preserve"> adet lisansüstü</w:t>
      </w:r>
      <w:r w:rsidR="00556998" w:rsidRPr="001F3584">
        <w:t xml:space="preserve"> tezinin Gazi Üniversitesinde, beş</w:t>
      </w:r>
      <w:r w:rsidRPr="001F3584">
        <w:t xml:space="preserve"> adet lisansüstü tez</w:t>
      </w:r>
      <w:r w:rsidR="00556998" w:rsidRPr="001F3584">
        <w:t>inin İstanbul Üniversitesinde, bir</w:t>
      </w:r>
      <w:r w:rsidRPr="001F3584">
        <w:t xml:space="preserve"> adet lisansüstü tezinin </w:t>
      </w:r>
      <w:r w:rsidR="00556998" w:rsidRPr="001F3584">
        <w:t>Yıldız Teknik Üniversitesinde, beş</w:t>
      </w:r>
      <w:r w:rsidRPr="001F3584">
        <w:t xml:space="preserve"> adet lisansüstü tezinin Mimar Sinan Güzel Sanatlar Üniversitesinde,</w:t>
      </w:r>
      <w:r w:rsidRPr="001F3584">
        <w:rPr>
          <w:spacing w:val="-12"/>
        </w:rPr>
        <w:t xml:space="preserve"> </w:t>
      </w:r>
      <w:r w:rsidR="00556998" w:rsidRPr="001F3584">
        <w:t>dört</w:t>
      </w:r>
      <w:r w:rsidRPr="001F3584">
        <w:rPr>
          <w:spacing w:val="-12"/>
        </w:rPr>
        <w:t xml:space="preserve"> </w:t>
      </w:r>
      <w:r w:rsidRPr="001F3584">
        <w:t>adet</w:t>
      </w:r>
      <w:r w:rsidRPr="001F3584">
        <w:rPr>
          <w:spacing w:val="-12"/>
        </w:rPr>
        <w:t xml:space="preserve"> </w:t>
      </w:r>
      <w:r w:rsidRPr="001F3584">
        <w:t>lisansüstü</w:t>
      </w:r>
      <w:r w:rsidRPr="001F3584">
        <w:rPr>
          <w:spacing w:val="-12"/>
        </w:rPr>
        <w:t xml:space="preserve"> </w:t>
      </w:r>
      <w:r w:rsidRPr="001F3584">
        <w:t>tezinin</w:t>
      </w:r>
      <w:r w:rsidRPr="001F3584">
        <w:rPr>
          <w:spacing w:val="-14"/>
        </w:rPr>
        <w:t xml:space="preserve"> </w:t>
      </w:r>
      <w:r w:rsidRPr="001F3584">
        <w:t>Trakya</w:t>
      </w:r>
      <w:r w:rsidRPr="001F3584">
        <w:rPr>
          <w:spacing w:val="-11"/>
        </w:rPr>
        <w:t xml:space="preserve"> </w:t>
      </w:r>
      <w:r w:rsidRPr="001F3584">
        <w:t>Üniversitesinde,</w:t>
      </w:r>
      <w:r w:rsidRPr="001F3584">
        <w:rPr>
          <w:spacing w:val="-12"/>
        </w:rPr>
        <w:t xml:space="preserve"> </w:t>
      </w:r>
      <w:r w:rsidR="00556998" w:rsidRPr="001F3584">
        <w:rPr>
          <w:spacing w:val="-12"/>
        </w:rPr>
        <w:t>iki</w:t>
      </w:r>
      <w:r w:rsidRPr="001F3584">
        <w:rPr>
          <w:spacing w:val="-12"/>
        </w:rPr>
        <w:t xml:space="preserve"> </w:t>
      </w:r>
      <w:r w:rsidRPr="001F3584">
        <w:t>adet</w:t>
      </w:r>
      <w:r w:rsidRPr="001F3584">
        <w:rPr>
          <w:spacing w:val="-12"/>
        </w:rPr>
        <w:t xml:space="preserve"> </w:t>
      </w:r>
      <w:r w:rsidRPr="001F3584">
        <w:t xml:space="preserve">lisansüstü tezinin Afyon Kocatepe Üniversitesinde, </w:t>
      </w:r>
      <w:r w:rsidR="00556998" w:rsidRPr="001F3584">
        <w:t>bir</w:t>
      </w:r>
      <w:r w:rsidRPr="001F3584">
        <w:t xml:space="preserve"> adet lisansüstü tezinin Dokuz Eylül Üniversitesinde, </w:t>
      </w:r>
      <w:r w:rsidR="00556998" w:rsidRPr="001F3584">
        <w:t>bir</w:t>
      </w:r>
      <w:r w:rsidRPr="001F3584">
        <w:t xml:space="preserve"> adet lisansüstü tezinin Haliç Üniversitesinde, </w:t>
      </w:r>
      <w:r w:rsidR="00556998" w:rsidRPr="001F3584">
        <w:t>bir</w:t>
      </w:r>
      <w:r w:rsidRPr="001F3584">
        <w:t xml:space="preserve"> adet lisansüstü tezinin Atatürk Üniversitesinde yazıldığı tespit edilmiştir. </w:t>
      </w:r>
      <w:proofErr w:type="gramEnd"/>
      <w:r w:rsidRPr="001F3584">
        <w:t xml:space="preserve">Ayrıca konularına göre </w:t>
      </w:r>
      <w:r w:rsidRPr="00313C5E">
        <w:t>Tarihsel</w:t>
      </w:r>
      <w:r w:rsidRPr="00313C5E">
        <w:rPr>
          <w:spacing w:val="-14"/>
        </w:rPr>
        <w:t xml:space="preserve"> </w:t>
      </w:r>
      <w:proofErr w:type="gramStart"/>
      <w:r w:rsidR="00556998" w:rsidRPr="00313C5E">
        <w:t xml:space="preserve">Gelişim </w:t>
      </w:r>
      <w:r w:rsidRPr="00313C5E">
        <w:rPr>
          <w:spacing w:val="-18"/>
        </w:rPr>
        <w:t xml:space="preserve"> </w:t>
      </w:r>
      <w:r w:rsidRPr="00313C5E">
        <w:t>başlığında</w:t>
      </w:r>
      <w:proofErr w:type="gramEnd"/>
      <w:r w:rsidRPr="00313C5E">
        <w:rPr>
          <w:spacing w:val="-17"/>
        </w:rPr>
        <w:t xml:space="preserve"> </w:t>
      </w:r>
      <w:r w:rsidR="00556998" w:rsidRPr="00313C5E">
        <w:t>beş</w:t>
      </w:r>
      <w:r w:rsidRPr="00313C5E">
        <w:rPr>
          <w:spacing w:val="-14"/>
        </w:rPr>
        <w:t xml:space="preserve"> </w:t>
      </w:r>
      <w:r w:rsidRPr="00313C5E">
        <w:t>adet,</w:t>
      </w:r>
      <w:r w:rsidRPr="00313C5E">
        <w:rPr>
          <w:spacing w:val="-12"/>
        </w:rPr>
        <w:t xml:space="preserve"> </w:t>
      </w:r>
      <w:r w:rsidRPr="00313C5E">
        <w:t>Eser-Etüt-Metod</w:t>
      </w:r>
      <w:r w:rsidRPr="00313C5E">
        <w:rPr>
          <w:spacing w:val="-16"/>
        </w:rPr>
        <w:t xml:space="preserve"> </w:t>
      </w:r>
      <w:r w:rsidR="00556998" w:rsidRPr="00313C5E">
        <w:t>Analizi</w:t>
      </w:r>
      <w:r w:rsidRPr="00313C5E">
        <w:rPr>
          <w:spacing w:val="-17"/>
        </w:rPr>
        <w:t xml:space="preserve"> </w:t>
      </w:r>
      <w:r w:rsidRPr="00313C5E">
        <w:t>başlığında</w:t>
      </w:r>
      <w:r w:rsidRPr="00313C5E">
        <w:rPr>
          <w:spacing w:val="-15"/>
        </w:rPr>
        <w:t xml:space="preserve"> </w:t>
      </w:r>
      <w:r w:rsidRPr="00313C5E">
        <w:t>8</w:t>
      </w:r>
      <w:r w:rsidRPr="00313C5E">
        <w:rPr>
          <w:spacing w:val="-17"/>
        </w:rPr>
        <w:t xml:space="preserve"> </w:t>
      </w:r>
      <w:r w:rsidR="00556998" w:rsidRPr="00313C5E">
        <w:t xml:space="preserve">adet, </w:t>
      </w:r>
      <w:r w:rsidRPr="00313C5E">
        <w:t>Kontrbas Eğitimi başlığında 9 ad</w:t>
      </w:r>
      <w:r w:rsidR="00556998" w:rsidRPr="00313C5E">
        <w:t>et, Biyografi başlığında ise üç</w:t>
      </w:r>
      <w:r w:rsidRPr="00313C5E">
        <w:t xml:space="preserve"> adet lisansüstü tezi gruplandırılmışt</w:t>
      </w:r>
      <w:r w:rsidR="00556998" w:rsidRPr="00313C5E">
        <w:t xml:space="preserve">ır. Konuları bakımından en çok </w:t>
      </w:r>
      <w:r w:rsidRPr="00313C5E">
        <w:t>Kontrbas Eğitimi ve</w:t>
      </w:r>
      <w:r w:rsidRPr="00313C5E">
        <w:rPr>
          <w:spacing w:val="-16"/>
        </w:rPr>
        <w:t xml:space="preserve"> </w:t>
      </w:r>
      <w:r w:rsidRPr="00313C5E">
        <w:t>Eser- Etüt-Metod Analizi hakkı</w:t>
      </w:r>
      <w:r w:rsidR="00556998" w:rsidRPr="00313C5E">
        <w:t xml:space="preserve">nda lisansüstü tezi yazıldığı, </w:t>
      </w:r>
      <w:r w:rsidRPr="00313C5E">
        <w:t>Tarihsel Gelişim</w:t>
      </w:r>
      <w:r w:rsidR="00556998" w:rsidRPr="00313C5E">
        <w:t xml:space="preserve"> ve </w:t>
      </w:r>
      <w:r w:rsidRPr="00313C5E">
        <w:t xml:space="preserve">Biyografi konularında ise toplam 8 adet lisansüstü tezi </w:t>
      </w:r>
      <w:r w:rsidRPr="00313C5E">
        <w:lastRenderedPageBreak/>
        <w:t>yazıldığı sonucuna varılmıştır.</w:t>
      </w:r>
    </w:p>
    <w:p w:rsidR="00904DCD" w:rsidRPr="00313C5E" w:rsidRDefault="00904DCD" w:rsidP="00025D4F">
      <w:pPr>
        <w:spacing w:before="120" w:after="120" w:line="480" w:lineRule="auto"/>
        <w:jc w:val="both"/>
      </w:pPr>
      <w:r w:rsidRPr="001F3584">
        <w:tab/>
      </w:r>
      <w:proofErr w:type="gramStart"/>
      <w:r w:rsidRPr="001F3584">
        <w:t xml:space="preserve">Yapalı (2015) tarafından yapılan </w:t>
      </w:r>
      <w:r w:rsidRPr="00313C5E">
        <w:rPr>
          <w:bCs/>
        </w:rPr>
        <w:t>Ülkemizde Flüt ve Flüt Eğitimi Alanlarında Yapılan Lisansüstü Tezlerin İncelenmesi (1987/2014)</w:t>
      </w:r>
      <w:r w:rsidRPr="001F3584">
        <w:rPr>
          <w:bCs/>
          <w:i/>
        </w:rPr>
        <w:t xml:space="preserve"> </w:t>
      </w:r>
      <w:r w:rsidRPr="001F3584">
        <w:rPr>
          <w:bCs/>
        </w:rPr>
        <w:t xml:space="preserve">adlı yüksek lisans çalışmasında da bu çalışma ile benzerlik gösterecek şekilde flüt alanında yapılan lisansüstü </w:t>
      </w:r>
      <w:r w:rsidRPr="001F3584">
        <w:t xml:space="preserve">çalışmalarda çoğunluğu % 84 oranı ile flüt eğitimi alanının oluşturduğu, yüksek lisans tezlerinin %74,1’lik oranla çoğunlukta olduğu sonucuna varılmıştır. Yine aynı şekilde Akın (2016) tarafından hazırlanmış olan </w:t>
      </w:r>
      <w:r w:rsidRPr="00313C5E">
        <w:t>Türkiye’de Keman Eğitimi Alanında Yazılmış Lisansüstü Tezlerin Konu Ve Türleri Yönünden İncelenmesi başlıklı yüksek lisans tez çalışmasında, keman eğitimi alanında çoğunlukla yüksek lisans tezi (%76.07) hazırlandığı, tezler içerik ve konu başlıklarına göre incelendiğinde Keman eğitimi yöntem ve metotlarının (%41,03)  ve keman eğitim programlarının (%20,51) en çok araştırılan konular olduğu tespit edilmiştir.</w:t>
      </w:r>
      <w:r w:rsidR="009B5D59" w:rsidRPr="00313C5E">
        <w:t xml:space="preserve"> Orhan (2012) tarafından yapılan Türkiye’de Viyolonsel Alanında Yapılmış Yüksek Lisans, Doktora ve Sanatta Yeterlilik Tezleri isimli bir diğer çalışmada, yine 1992-2011 yılları arasında çoğunlukla yüksek lisans tezi (%80) yapıldığı, Tezler içerik ve konu başlıklarına göre incelendiğinde Eser-etüt analizlerinin (%37,24), viyolonsel eğitimi-tekniklerinin (%29,26) viyolonsel alanında en çok araştırılan konular olduğu sonucuna varılmıştır.</w:t>
      </w:r>
      <w:proofErr w:type="gramEnd"/>
    </w:p>
    <w:p w:rsidR="00B240AD" w:rsidRPr="00313C5E" w:rsidRDefault="009D7E02" w:rsidP="00025D4F">
      <w:pPr>
        <w:widowControl w:val="0"/>
        <w:spacing w:before="120" w:after="120" w:line="480" w:lineRule="auto"/>
        <w:ind w:right="109" w:firstLine="708"/>
        <w:jc w:val="both"/>
      </w:pPr>
      <w:r w:rsidRPr="00313C5E">
        <w:t xml:space="preserve">Araştırmada elde edilen bulgular doğrultusunda Türkiye’de kontrbas konusunda yazılmış lisansüstü tezler içerisinde en çok </w:t>
      </w:r>
      <w:r w:rsidR="00284809" w:rsidRPr="00313C5E">
        <w:t>Sosyal Bilimler Enstitüsünde</w:t>
      </w:r>
      <w:r w:rsidR="00556998" w:rsidRPr="00313C5E">
        <w:t xml:space="preserve">, </w:t>
      </w:r>
      <w:r w:rsidR="00284809" w:rsidRPr="00313C5E">
        <w:t>Eser-Etüt-Metod Analizi</w:t>
      </w:r>
      <w:r w:rsidR="00556998" w:rsidRPr="00313C5E">
        <w:t xml:space="preserve"> ve </w:t>
      </w:r>
      <w:r w:rsidR="00284809" w:rsidRPr="00313C5E">
        <w:t xml:space="preserve">Kontrbas Eğitimi başlığında tez yazıldığı, </w:t>
      </w:r>
      <w:r w:rsidRPr="00313C5E">
        <w:t xml:space="preserve"> </w:t>
      </w:r>
      <w:r w:rsidR="00B240AD" w:rsidRPr="00313C5E">
        <w:t xml:space="preserve">en çok lisansüstü tezinin </w:t>
      </w:r>
      <w:r w:rsidR="00CC185A" w:rsidRPr="00313C5E">
        <w:t xml:space="preserve">yüksek lisans tezi olarak </w:t>
      </w:r>
      <w:r w:rsidR="00B240AD" w:rsidRPr="00313C5E">
        <w:t>yazıldığı sonucuna varılmıştır.</w:t>
      </w:r>
      <w:r w:rsidR="00CC185A" w:rsidRPr="00313C5E">
        <w:t xml:space="preserve"> Tüm bu sonuçlara dayanarak, on beş yıl içerisinde kontrbas konusunda yirmi beş adet tez yazılmış olması, kontrbas alanına ait öğretim elemanlarının ve öğrencilerinin diğer çalgı alanlarına göre daha az olduğunu düşündürmektedir. Ayrıca, lisans mezunu kontrbas öğrencilerinin lisansüstü programları çok tercih etmedikleri de söylenebilir. </w:t>
      </w:r>
      <w:r w:rsidR="000731DE" w:rsidRPr="00313C5E">
        <w:t xml:space="preserve">Genel olarak kontrbas eğitiminin konservatuvarlarda </w:t>
      </w:r>
      <w:r w:rsidR="000731DE" w:rsidRPr="00313C5E">
        <w:lastRenderedPageBreak/>
        <w:t>verildiği göz önüne alınırsa b</w:t>
      </w:r>
      <w:r w:rsidR="00CC185A" w:rsidRPr="00313C5E">
        <w:t xml:space="preserve">u durum aynı zamanda </w:t>
      </w:r>
      <w:r w:rsidR="000731DE" w:rsidRPr="00313C5E">
        <w:t xml:space="preserve">kontrbas mezunu öğrencilerin </w:t>
      </w:r>
      <w:r w:rsidR="00CC185A" w:rsidRPr="00313C5E">
        <w:t>akademisyenlik yerine icracılığı tercih ettikleri şeklinde de açıklanabilir.</w:t>
      </w:r>
    </w:p>
    <w:p w:rsidR="00D867E9" w:rsidRPr="001F3584" w:rsidRDefault="00F20F9C" w:rsidP="00025D4F">
      <w:pPr>
        <w:widowControl w:val="0"/>
        <w:spacing w:before="120" w:after="120" w:line="480" w:lineRule="auto"/>
        <w:ind w:right="109" w:firstLine="708"/>
        <w:jc w:val="both"/>
      </w:pPr>
      <w:r w:rsidRPr="001F3584">
        <w:t>Araştırma içerisinde</w:t>
      </w:r>
      <w:r w:rsidR="00D867E9" w:rsidRPr="001F3584">
        <w:t xml:space="preserve"> yer verilen ve diğer çalgı alanları ile yapılmış olan çalışmalar da göstermektedir ki genel olarak çalışmalar birbirlerinden etkilenmiş ve farklı çalgı alanlarıyla tekrarlanmıştır. Bu alan çalışması bütünlüğü açısından son derece önemlidir. Zaten farklı </w:t>
      </w:r>
      <w:r w:rsidRPr="001F3584">
        <w:t>çalgı alanlarında yapılmış araştırmalar olsa da,</w:t>
      </w:r>
      <w:r w:rsidR="00D867E9" w:rsidRPr="001F3584">
        <w:t xml:space="preserve"> çalışmalar arasındaki benzer sonuçlar bu durumu</w:t>
      </w:r>
      <w:r w:rsidRPr="001F3584">
        <w:t xml:space="preserve"> fazlasıyla</w:t>
      </w:r>
      <w:r w:rsidR="00D867E9" w:rsidRPr="001F3584">
        <w:t xml:space="preserve"> desteklemektedir. </w:t>
      </w:r>
    </w:p>
    <w:p w:rsidR="00F20F9C" w:rsidRPr="001F3584" w:rsidRDefault="00F20F9C" w:rsidP="00025D4F">
      <w:pPr>
        <w:widowControl w:val="0"/>
        <w:spacing w:before="120" w:after="120" w:line="480" w:lineRule="auto"/>
        <w:ind w:right="109" w:firstLine="708"/>
        <w:jc w:val="both"/>
      </w:pPr>
      <w:r w:rsidRPr="001F3584">
        <w:t xml:space="preserve">Son olarak, bu tür benzer çalışmaların güncel kalması için günümüz koşullarında yinelenmesi gerekir. </w:t>
      </w:r>
      <w:r w:rsidR="00374380" w:rsidRPr="001F3584">
        <w:t xml:space="preserve">Bu </w:t>
      </w:r>
      <w:r w:rsidRPr="001F3584">
        <w:t xml:space="preserve">çalışmalar ile lisansüstü tez verilerinin bir araya toplanarak bibliyografya haline getirilmesi, zaman ve bütünlük açısından </w:t>
      </w:r>
      <w:r w:rsidR="00374380" w:rsidRPr="001F3584">
        <w:t>araştırmacılara önemli katkı sağlayacaktır. Ayrıca bu çalışma</w:t>
      </w:r>
      <w:r w:rsidR="001D4937" w:rsidRPr="001F3584">
        <w:t>nın</w:t>
      </w:r>
      <w:r w:rsidR="00374380" w:rsidRPr="001F3584">
        <w:t>, kontrbas alanında yeni yapılacak araştırma konularına fikir sağlaması bakımından kaynak olarak kullanılması önerilir.</w:t>
      </w:r>
      <w:r w:rsidRPr="001F3584">
        <w:t xml:space="preserve">  </w:t>
      </w:r>
    </w:p>
    <w:p w:rsidR="00BB5383" w:rsidRPr="001F3584" w:rsidRDefault="00BB29B0" w:rsidP="00025D4F">
      <w:pPr>
        <w:spacing w:before="120" w:after="120" w:line="480" w:lineRule="auto"/>
        <w:jc w:val="both"/>
        <w:rPr>
          <w:b/>
        </w:rPr>
      </w:pPr>
      <w:r w:rsidRPr="001F3584">
        <w:rPr>
          <w:b/>
        </w:rPr>
        <w:t>Makalenin Bilimdeki Konumu (Yeri)</w:t>
      </w:r>
    </w:p>
    <w:p w:rsidR="00177DBD" w:rsidRPr="001F3584" w:rsidRDefault="003F09BA" w:rsidP="00025D4F">
      <w:pPr>
        <w:spacing w:before="120" w:after="120" w:line="480" w:lineRule="auto"/>
        <w:ind w:firstLine="708"/>
        <w:jc w:val="both"/>
        <w:rPr>
          <w:b/>
        </w:rPr>
      </w:pPr>
      <w:r w:rsidRPr="001F3584">
        <w:t>Güzel Sanatlar Eğitimi Bölümü, Müzik Eğitimi Ana Bilim Dalı</w:t>
      </w:r>
    </w:p>
    <w:p w:rsidR="00E37434" w:rsidRPr="001F3584" w:rsidRDefault="003F09BA" w:rsidP="00025D4F">
      <w:pPr>
        <w:spacing w:before="120" w:after="120" w:line="480" w:lineRule="auto"/>
        <w:jc w:val="both"/>
        <w:rPr>
          <w:b/>
        </w:rPr>
      </w:pPr>
      <w:r w:rsidRPr="001F3584">
        <w:rPr>
          <w:b/>
        </w:rPr>
        <w:t>Makalenin Bilimdeki Özgünlüğü</w:t>
      </w:r>
    </w:p>
    <w:p w:rsidR="00BB5383" w:rsidRPr="001F3584" w:rsidRDefault="00BB5383" w:rsidP="00025D4F">
      <w:pPr>
        <w:spacing w:before="120" w:after="120" w:line="480" w:lineRule="auto"/>
        <w:ind w:firstLine="708"/>
        <w:jc w:val="both"/>
        <w:rPr>
          <w:b/>
        </w:rPr>
      </w:pPr>
      <w:r w:rsidRPr="001F3584">
        <w:t>Türkiye’de yazılmış lisansüstü tezler incelendiğinde</w:t>
      </w:r>
      <w:r w:rsidRPr="001F3584">
        <w:rPr>
          <w:b/>
        </w:rPr>
        <w:t xml:space="preserve">, </w:t>
      </w:r>
      <w:r w:rsidRPr="001F3584">
        <w:t>kontrbas konusunda yazılmış lisansüstü tezlerin durum</w:t>
      </w:r>
      <w:r w:rsidR="00E03A88" w:rsidRPr="001F3584">
        <w:t xml:space="preserve"> tespitine yönelik</w:t>
      </w:r>
      <w:r w:rsidRPr="001F3584">
        <w:t xml:space="preserve"> hiçbir çalışmanın yapılmadığı görülmektedir. Bu eksiklik araştırmanın gerekliliğini ortaya koymaktadır.</w:t>
      </w:r>
    </w:p>
    <w:p w:rsidR="002141E5" w:rsidRDefault="003F09BA" w:rsidP="00025D4F">
      <w:pPr>
        <w:spacing w:before="120" w:after="120" w:line="360" w:lineRule="auto"/>
        <w:jc w:val="both"/>
        <w:rPr>
          <w:b/>
        </w:rPr>
      </w:pPr>
      <w:r w:rsidRPr="001F3584">
        <w:rPr>
          <w:b/>
        </w:rPr>
        <w:t xml:space="preserve"> </w:t>
      </w:r>
    </w:p>
    <w:p w:rsidR="002141E5" w:rsidRDefault="002141E5" w:rsidP="00025D4F">
      <w:pPr>
        <w:spacing w:before="120" w:after="120" w:line="360" w:lineRule="auto"/>
        <w:jc w:val="both"/>
        <w:rPr>
          <w:b/>
        </w:rPr>
      </w:pPr>
    </w:p>
    <w:p w:rsidR="002141E5" w:rsidRDefault="002141E5" w:rsidP="00025D4F">
      <w:pPr>
        <w:spacing w:before="120" w:after="120" w:line="360" w:lineRule="auto"/>
        <w:jc w:val="both"/>
        <w:rPr>
          <w:b/>
        </w:rPr>
      </w:pPr>
    </w:p>
    <w:p w:rsidR="006002E3" w:rsidRDefault="006002E3" w:rsidP="00025D4F">
      <w:pPr>
        <w:spacing w:before="120" w:after="120" w:line="360" w:lineRule="auto"/>
        <w:jc w:val="both"/>
        <w:rPr>
          <w:b/>
        </w:rPr>
      </w:pPr>
    </w:p>
    <w:p w:rsidR="006002E3" w:rsidRDefault="006002E3" w:rsidP="00025D4F">
      <w:pPr>
        <w:spacing w:before="120" w:after="120" w:line="360" w:lineRule="auto"/>
        <w:jc w:val="both"/>
        <w:rPr>
          <w:b/>
        </w:rPr>
      </w:pPr>
    </w:p>
    <w:p w:rsidR="002141E5" w:rsidRDefault="002141E5" w:rsidP="00025D4F">
      <w:pPr>
        <w:spacing w:before="120" w:after="120" w:line="360" w:lineRule="auto"/>
        <w:jc w:val="both"/>
        <w:rPr>
          <w:b/>
        </w:rPr>
      </w:pPr>
    </w:p>
    <w:p w:rsidR="003C03C5" w:rsidRPr="001F3584" w:rsidRDefault="00E37434" w:rsidP="00025D4F">
      <w:pPr>
        <w:spacing w:before="120" w:after="120" w:line="360" w:lineRule="auto"/>
        <w:jc w:val="both"/>
        <w:rPr>
          <w:b/>
        </w:rPr>
      </w:pPr>
      <w:r w:rsidRPr="001F3584">
        <w:rPr>
          <w:b/>
        </w:rPr>
        <w:lastRenderedPageBreak/>
        <w:t>Kaynakça</w:t>
      </w:r>
    </w:p>
    <w:p w:rsidR="00835241" w:rsidRPr="00F21AE2" w:rsidRDefault="00835241" w:rsidP="00025D4F">
      <w:pPr>
        <w:spacing w:before="120" w:after="120" w:line="360" w:lineRule="auto"/>
        <w:ind w:left="567" w:hanging="567"/>
        <w:jc w:val="both"/>
      </w:pPr>
      <w:r w:rsidRPr="00F21AE2">
        <w:t xml:space="preserve">Agoşyan, A. A. (2005). </w:t>
      </w:r>
      <w:proofErr w:type="gramStart"/>
      <w:r w:rsidRPr="00F21AE2">
        <w:rPr>
          <w:i/>
        </w:rPr>
        <w:t>Kontrbas tekniğinde Alman ve Fransız tekniklerinin karşılaştırılması</w:t>
      </w:r>
      <w:r w:rsidR="00530685" w:rsidRPr="00F21AE2">
        <w:rPr>
          <w:i/>
        </w:rPr>
        <w:t>.</w:t>
      </w:r>
      <w:r w:rsidR="00AE3A57" w:rsidRPr="00F21AE2">
        <w:rPr>
          <w:i/>
        </w:rPr>
        <w:t xml:space="preserve"> </w:t>
      </w:r>
      <w:proofErr w:type="gramEnd"/>
      <w:r w:rsidRPr="00F21AE2">
        <w:t>Y</w:t>
      </w:r>
      <w:r w:rsidR="00AE3A57" w:rsidRPr="00F21AE2">
        <w:t>ayımlanmamış yüksek lisans tezi</w:t>
      </w:r>
      <w:r w:rsidRPr="00F21AE2">
        <w:t>.</w:t>
      </w:r>
      <w:r w:rsidR="00AE3A57" w:rsidRPr="00F21AE2">
        <w:t xml:space="preserve"> Sosyal Bilimler Enstitüsü,</w:t>
      </w:r>
      <w:r w:rsidRPr="00F21AE2">
        <w:t xml:space="preserve"> İstanbul Üniversitesi, İstanbul.</w:t>
      </w:r>
    </w:p>
    <w:p w:rsidR="009F2B7C" w:rsidRPr="00F21AE2" w:rsidRDefault="009F2B7C" w:rsidP="00025D4F">
      <w:pPr>
        <w:spacing w:before="120" w:after="120" w:line="360" w:lineRule="auto"/>
        <w:ind w:left="567" w:hanging="567"/>
        <w:jc w:val="both"/>
      </w:pPr>
      <w:r w:rsidRPr="00F21AE2">
        <w:t xml:space="preserve">Agoşyan, A. A. (2010). </w:t>
      </w:r>
      <w:r w:rsidRPr="00F21AE2">
        <w:rPr>
          <w:i/>
        </w:rPr>
        <w:t xml:space="preserve">Kontrbasın icrasında yeni sol el teknikleri. </w:t>
      </w:r>
      <w:r w:rsidRPr="00F21AE2">
        <w:t>Yayımlanmamış sanatta yeterlilik tezi. Sosyal Bilimler Enstitüsü, İstanbul Üniversitesi, İstanbul.</w:t>
      </w:r>
    </w:p>
    <w:p w:rsidR="003E6573" w:rsidRPr="00F21AE2" w:rsidRDefault="003E6573" w:rsidP="00025D4F">
      <w:pPr>
        <w:spacing w:before="120" w:after="120" w:line="360" w:lineRule="auto"/>
        <w:ind w:left="567" w:hanging="567"/>
        <w:jc w:val="both"/>
      </w:pPr>
      <w:r w:rsidRPr="00F21AE2">
        <w:t xml:space="preserve">Akkor, H. Ö. (2009). </w:t>
      </w:r>
      <w:r w:rsidRPr="00F21AE2">
        <w:rPr>
          <w:i/>
        </w:rPr>
        <w:t>Konservatuvarlarda verilmekte olan kontrbas eğitiminde çağdaş Türk kontrbas müziği eserlerinin yeri ve değerlendirilmesi.</w:t>
      </w:r>
      <w:r w:rsidRPr="00F21AE2">
        <w:t xml:space="preserve"> Yayımlanmamış yüksek lisans tezi, Sosyal Bilimler Enstitüsü, Afyon Kocatepe Üniversitesi, Afyonkarahisar.</w:t>
      </w:r>
    </w:p>
    <w:p w:rsidR="003E6573" w:rsidRPr="00F21AE2" w:rsidRDefault="003E6573" w:rsidP="00025D4F">
      <w:pPr>
        <w:spacing w:before="120" w:after="120" w:line="360" w:lineRule="auto"/>
        <w:ind w:left="567" w:hanging="567"/>
        <w:jc w:val="both"/>
      </w:pPr>
      <w:r w:rsidRPr="00F21AE2">
        <w:t xml:space="preserve">Akyel, U. R. (2006). </w:t>
      </w:r>
      <w:r w:rsidRPr="00F21AE2">
        <w:rPr>
          <w:i/>
        </w:rPr>
        <w:t xml:space="preserve">Serge Alexandrovich Koussevitzky Op. 3 kontrabas konçertosunun incelenmesi. </w:t>
      </w:r>
      <w:r w:rsidRPr="00F21AE2">
        <w:t>Yayımlanmamış yüksek lisans tezi. Sosyal Bilimler Enstitüsü, İstanbul Üniversitesi, İstanbul.</w:t>
      </w:r>
    </w:p>
    <w:p w:rsidR="003E6573" w:rsidRPr="00F21AE2" w:rsidRDefault="003E6573" w:rsidP="00025D4F">
      <w:pPr>
        <w:spacing w:before="120" w:after="120" w:line="360" w:lineRule="auto"/>
        <w:ind w:left="567" w:hanging="567"/>
        <w:jc w:val="both"/>
      </w:pPr>
      <w:r w:rsidRPr="00F21AE2">
        <w:t xml:space="preserve">Akyel, U. R. (2012). </w:t>
      </w:r>
      <w:r w:rsidRPr="00F21AE2">
        <w:rPr>
          <w:i/>
        </w:rPr>
        <w:t xml:space="preserve">Kontrbas tutuş ve çalım tekniklerinin ses üzerindeki etkileri. </w:t>
      </w:r>
      <w:r w:rsidRPr="00F21AE2">
        <w:t>Yayımlanmamış doktora tezi. Sosyal Bilimler Enstitüsü, İstanbul Üniversitesi, İstanbul.</w:t>
      </w:r>
    </w:p>
    <w:p w:rsidR="003E6573" w:rsidRPr="00F21AE2" w:rsidRDefault="003E6573" w:rsidP="00025D4F">
      <w:pPr>
        <w:spacing w:before="120" w:after="120" w:line="360" w:lineRule="auto"/>
        <w:ind w:left="567" w:hanging="567"/>
        <w:jc w:val="both"/>
      </w:pPr>
      <w:r w:rsidRPr="00F21AE2">
        <w:t xml:space="preserve">Atalay, E. G. (2002). </w:t>
      </w:r>
      <w:r w:rsidRPr="00F21AE2">
        <w:rPr>
          <w:i/>
        </w:rPr>
        <w:t>Kontrbasın tarihsel gelişiminde Giovanni Bottesini.</w:t>
      </w:r>
      <w:r w:rsidRPr="00F21AE2">
        <w:t xml:space="preserve"> Yayımlanmamış </w:t>
      </w:r>
      <w:r w:rsidR="004412B6" w:rsidRPr="00F21AE2">
        <w:t>sanatta yeterlilik</w:t>
      </w:r>
      <w:r w:rsidRPr="00F21AE2">
        <w:t xml:space="preserve"> tezi. </w:t>
      </w:r>
      <w:proofErr w:type="gramStart"/>
      <w:r w:rsidRPr="00F21AE2">
        <w:t>Anadolu Üniversitesi, Eskişehir.</w:t>
      </w:r>
      <w:proofErr w:type="gramEnd"/>
    </w:p>
    <w:p w:rsidR="003E6573" w:rsidRPr="00F21AE2" w:rsidRDefault="003E6573" w:rsidP="00025D4F">
      <w:pPr>
        <w:spacing w:before="120" w:after="120" w:line="360" w:lineRule="auto"/>
        <w:ind w:left="567" w:hanging="567"/>
        <w:jc w:val="both"/>
      </w:pPr>
      <w:r w:rsidRPr="00F21AE2">
        <w:t xml:space="preserve">Babahan, A. (2011). </w:t>
      </w:r>
      <w:r w:rsidRPr="00F21AE2">
        <w:rPr>
          <w:i/>
        </w:rPr>
        <w:t>Giovanni Bottesini’nin “si minör kontrabas konçertosu”nun teknik ve yorum açısından incelenmesi.</w:t>
      </w:r>
      <w:r w:rsidRPr="00F21AE2">
        <w:t xml:space="preserve"> Yayımlanmamış yüksek lisans tezi</w:t>
      </w:r>
      <w:r w:rsidR="00BF23B2" w:rsidRPr="00F21AE2">
        <w:t>,</w:t>
      </w:r>
      <w:r w:rsidRPr="00F21AE2">
        <w:t xml:space="preserve"> Mimar Sinan Güzel Sanatlar Üniversitesi, İstanbul.</w:t>
      </w:r>
    </w:p>
    <w:p w:rsidR="00F21AE2" w:rsidRPr="00F21AE2" w:rsidRDefault="00F21AE2" w:rsidP="00025D4F">
      <w:pPr>
        <w:spacing w:before="120" w:after="120" w:line="360" w:lineRule="auto"/>
        <w:ind w:left="567" w:hanging="567"/>
        <w:jc w:val="both"/>
      </w:pPr>
      <w:r w:rsidRPr="00F21AE2">
        <w:t>Can, S. (2015). 18. ve 19. yüzyılda kontrbasın İtalya, Almanya ve Avusturya’daki sanatsal gelişiminin tarihsel açıdan incelenmesi. Yayımlanmamış yüksek lisans tezi, Sosyal Bilimler Enstitüsü, Trakya Üniversitesi, Edirne.</w:t>
      </w:r>
    </w:p>
    <w:p w:rsidR="00BF23B2" w:rsidRPr="00F21AE2" w:rsidRDefault="00BF23B2" w:rsidP="00025D4F">
      <w:pPr>
        <w:spacing w:before="120" w:after="120" w:line="360" w:lineRule="auto"/>
        <w:ind w:left="567" w:hanging="567"/>
        <w:jc w:val="both"/>
      </w:pPr>
      <w:r w:rsidRPr="00F21AE2">
        <w:t xml:space="preserve">Çevirme, C. (2014). </w:t>
      </w:r>
      <w:r w:rsidRPr="00F21AE2">
        <w:rPr>
          <w:i/>
        </w:rPr>
        <w:t>Paul Hindemith kontrbas sonatının analizi.</w:t>
      </w:r>
      <w:r w:rsidRPr="00F21AE2">
        <w:t xml:space="preserve"> Yayımlanmamış yüksek lisans tezi, Mimar Sinan Güzel Sanatlar Üniversitesi, İstanbul.</w:t>
      </w:r>
    </w:p>
    <w:p w:rsidR="00BF23B2" w:rsidRPr="00F21AE2" w:rsidRDefault="00BF23B2" w:rsidP="00025D4F">
      <w:pPr>
        <w:spacing w:before="120" w:after="120" w:line="360" w:lineRule="auto"/>
        <w:ind w:left="567" w:hanging="567"/>
        <w:jc w:val="both"/>
      </w:pPr>
      <w:r w:rsidRPr="00F21AE2">
        <w:t xml:space="preserve">Dökmeci, S. C. (2012). </w:t>
      </w:r>
      <w:r w:rsidRPr="00F21AE2">
        <w:rPr>
          <w:i/>
        </w:rPr>
        <w:t>Solo kontrabasın gelişim süreci.</w:t>
      </w:r>
      <w:r w:rsidRPr="00F21AE2">
        <w:t xml:space="preserve"> Yayımlanmamış yüksek lisans tezi, Sosyal Bilimler Enstitüsü, Trakya Üniversitesi, Edirne.</w:t>
      </w:r>
    </w:p>
    <w:p w:rsidR="00BF23B2" w:rsidRPr="00F21AE2" w:rsidRDefault="00BF23B2" w:rsidP="00025D4F">
      <w:pPr>
        <w:spacing w:before="120" w:after="120" w:line="360" w:lineRule="auto"/>
        <w:ind w:left="567" w:hanging="567"/>
        <w:jc w:val="both"/>
      </w:pPr>
      <w:r w:rsidRPr="00F21AE2">
        <w:t xml:space="preserve">Eryılmaz, U. (2012). </w:t>
      </w:r>
      <w:proofErr w:type="gramStart"/>
      <w:r w:rsidRPr="00F21AE2">
        <w:rPr>
          <w:i/>
        </w:rPr>
        <w:t>Viyana klasik döneminde kontrbas çalgısının yeri.</w:t>
      </w:r>
      <w:r w:rsidRPr="00F21AE2">
        <w:t xml:space="preserve"> </w:t>
      </w:r>
      <w:proofErr w:type="gramEnd"/>
      <w:r w:rsidRPr="00F21AE2">
        <w:t>Yayımlanmamış yüksek lisans tezi, Sosyal Bilimler Enstitüsü, Afyon Kocatepe Üniversitesi, Afyonkarahisar.</w:t>
      </w:r>
    </w:p>
    <w:p w:rsidR="00F21AE2" w:rsidRPr="00F21AE2" w:rsidRDefault="00F21AE2" w:rsidP="00025D4F">
      <w:pPr>
        <w:spacing w:before="120" w:after="120" w:line="360" w:lineRule="auto"/>
        <w:ind w:left="567" w:hanging="567"/>
        <w:jc w:val="both"/>
      </w:pPr>
      <w:r w:rsidRPr="00F21AE2">
        <w:lastRenderedPageBreak/>
        <w:t xml:space="preserve">Gezen, G. (2011). </w:t>
      </w:r>
      <w:r w:rsidRPr="00F21AE2">
        <w:rPr>
          <w:i/>
        </w:rPr>
        <w:t>Orkestranın gelişim sürecinde kontrbasın işlevsel gelişimi.</w:t>
      </w:r>
      <w:r w:rsidRPr="00F21AE2">
        <w:t xml:space="preserve"> Yayımlanmamış yüksek lisans tezi, Güzel Sanatlar Enstitüsü, Dokuz Eylül Üniversitesi, İzmir.</w:t>
      </w:r>
    </w:p>
    <w:p w:rsidR="00BF23B2" w:rsidRPr="00F21AE2" w:rsidRDefault="003E6573" w:rsidP="00025D4F">
      <w:pPr>
        <w:spacing w:before="120" w:after="120" w:line="360" w:lineRule="auto"/>
        <w:ind w:left="567" w:hanging="567"/>
        <w:jc w:val="both"/>
      </w:pPr>
      <w:r w:rsidRPr="00F21AE2">
        <w:t xml:space="preserve">Hürsever, V. (2014). </w:t>
      </w:r>
      <w:r w:rsidRPr="00F21AE2">
        <w:rPr>
          <w:i/>
        </w:rPr>
        <w:t>Cumhuriyet dönemi sonrası Türk müziği kontrabas icracıları.</w:t>
      </w:r>
      <w:r w:rsidR="00BF23B2" w:rsidRPr="00F21AE2">
        <w:t xml:space="preserve"> Yayımlanmamış yüksek lisans tezi. Sosyal Bilimler Enstitüsü, Haliç Üniversitesi, İstanbul.</w:t>
      </w:r>
    </w:p>
    <w:p w:rsidR="00BF23B2" w:rsidRPr="00F21AE2" w:rsidRDefault="00BF23B2" w:rsidP="00025D4F">
      <w:pPr>
        <w:spacing w:before="120" w:after="120" w:line="360" w:lineRule="auto"/>
        <w:ind w:left="567" w:hanging="567"/>
        <w:jc w:val="both"/>
      </w:pPr>
      <w:r w:rsidRPr="00F21AE2">
        <w:t xml:space="preserve">Karasar, N. (2009). </w:t>
      </w:r>
      <w:r w:rsidRPr="00F21AE2">
        <w:rPr>
          <w:i/>
        </w:rPr>
        <w:t>Bilimsel Araştırma Yöntemi</w:t>
      </w:r>
      <w:r w:rsidRPr="00F21AE2">
        <w:t xml:space="preserve"> (19. Baskı). Ankara: Nobel Yayın Dağıtım.</w:t>
      </w:r>
    </w:p>
    <w:p w:rsidR="00BF23B2" w:rsidRPr="00F21AE2" w:rsidRDefault="00BF23B2" w:rsidP="00025D4F">
      <w:pPr>
        <w:spacing w:before="120" w:after="120" w:line="360" w:lineRule="auto"/>
        <w:ind w:left="567" w:hanging="567"/>
        <w:jc w:val="both"/>
      </w:pPr>
      <w:r w:rsidRPr="00F21AE2">
        <w:t xml:space="preserve">Kömürcü, İ. (2004). </w:t>
      </w:r>
      <w:r w:rsidRPr="00F21AE2">
        <w:rPr>
          <w:i/>
        </w:rPr>
        <w:t xml:space="preserve">Kontrbas dersi uygulamalarının hedefler düzeyinde incelenmesi: bir taslak önerisi. </w:t>
      </w:r>
      <w:r w:rsidRPr="00F21AE2">
        <w:t>Yayımlanmamış yüksek lisans tezi, Eğitim Bilimleri Enstitüsü, Gazi Üniversitesi, Ankara.</w:t>
      </w:r>
    </w:p>
    <w:p w:rsidR="00077885" w:rsidRPr="00F21AE2" w:rsidRDefault="00077885" w:rsidP="00025D4F">
      <w:pPr>
        <w:spacing w:before="120" w:after="120" w:line="360" w:lineRule="auto"/>
        <w:ind w:left="567" w:hanging="567"/>
        <w:jc w:val="both"/>
      </w:pPr>
      <w:r w:rsidRPr="00F21AE2">
        <w:t xml:space="preserve">Okcebe, T. (2008). </w:t>
      </w:r>
      <w:r w:rsidRPr="00F21AE2">
        <w:rPr>
          <w:i/>
        </w:rPr>
        <w:t>Kontrbas repertuvarında uyarlamaların yeri ve önemi.</w:t>
      </w:r>
      <w:r w:rsidRPr="00F21AE2">
        <w:t xml:space="preserve"> Yayımlanmamış yüksek lisans tezi. Sosyal Bilimler Enstitüsü, İstanbul Üniversitesi, İstanbul.</w:t>
      </w:r>
    </w:p>
    <w:p w:rsidR="00077885" w:rsidRPr="00F21AE2" w:rsidRDefault="00077885" w:rsidP="00025D4F">
      <w:pPr>
        <w:spacing w:before="120" w:after="120" w:line="360" w:lineRule="auto"/>
        <w:ind w:left="567" w:hanging="567"/>
        <w:jc w:val="both"/>
      </w:pPr>
      <w:r w:rsidRPr="00F21AE2">
        <w:t>Orhan Y</w:t>
      </w:r>
      <w:proofErr w:type="gramStart"/>
      <w:r w:rsidRPr="00F21AE2">
        <w:t>.,</w:t>
      </w:r>
      <w:proofErr w:type="gramEnd"/>
      <w:r w:rsidRPr="00F21AE2">
        <w:t xml:space="preserve"> Ş. (2012). Türkiye’de viyolonsel alanında yapılmış yüksek lisans, doktora ve sanatta yeterlilik tezleri. </w:t>
      </w:r>
      <w:r w:rsidRPr="00F21AE2">
        <w:rPr>
          <w:i/>
        </w:rPr>
        <w:t xml:space="preserve">Kastamonu Eğitim Dergisi, </w:t>
      </w:r>
      <w:r w:rsidRPr="00F21AE2">
        <w:t xml:space="preserve">20(2), 701-716. </w:t>
      </w:r>
    </w:p>
    <w:p w:rsidR="00ED6D17" w:rsidRPr="00F21AE2" w:rsidRDefault="00ED6D17" w:rsidP="00025D4F">
      <w:pPr>
        <w:spacing w:before="120" w:after="120" w:line="360" w:lineRule="auto"/>
        <w:ind w:left="567" w:hanging="567"/>
        <w:jc w:val="both"/>
      </w:pPr>
      <w:r w:rsidRPr="00F21AE2">
        <w:t xml:space="preserve">Över, G. (2013). </w:t>
      </w:r>
      <w:r w:rsidRPr="00F21AE2">
        <w:rPr>
          <w:i/>
        </w:rPr>
        <w:t xml:space="preserve">Edouard Nanny kontrbas etüt kitabının tekniksel analizi. </w:t>
      </w:r>
      <w:r w:rsidRPr="00F21AE2">
        <w:t>Yayımlanmamış yüksek lisans tezi, Eğitim Bilimleri Enstitüsü, Gazi Üniversitesi, Ankara.</w:t>
      </w:r>
    </w:p>
    <w:p w:rsidR="00564B7B" w:rsidRPr="00F21AE2" w:rsidRDefault="00564B7B" w:rsidP="00025D4F">
      <w:pPr>
        <w:spacing w:before="120" w:after="120" w:line="360" w:lineRule="auto"/>
        <w:ind w:left="567" w:hanging="567"/>
        <w:jc w:val="both"/>
      </w:pPr>
      <w:r w:rsidRPr="00F21AE2">
        <w:t xml:space="preserve">Özlü, H. (2006). </w:t>
      </w:r>
      <w:r w:rsidRPr="00F21AE2">
        <w:rPr>
          <w:i/>
        </w:rPr>
        <w:t xml:space="preserve">Solo kontrbasın öncüsü Donenico Carlo Maria Dragonetti. </w:t>
      </w:r>
      <w:r w:rsidRPr="00F21AE2">
        <w:t>Yayımlanmamış yüksek lisans tezi, Sosyal Bilimler Enstitüsü, Anadolu Üniversitesi, Eskişehir.</w:t>
      </w:r>
    </w:p>
    <w:p w:rsidR="00BF23B2" w:rsidRPr="00F21AE2" w:rsidRDefault="00BF23B2" w:rsidP="00025D4F">
      <w:pPr>
        <w:spacing w:before="120" w:after="120" w:line="360" w:lineRule="auto"/>
        <w:ind w:left="567" w:hanging="567"/>
        <w:jc w:val="both"/>
      </w:pPr>
      <w:r w:rsidRPr="00F21AE2">
        <w:t xml:space="preserve">Özşen, B. (2017). </w:t>
      </w:r>
      <w:r w:rsidRPr="00F21AE2">
        <w:rPr>
          <w:i/>
        </w:rPr>
        <w:t>Türkiye’de mesleki müzik eğitimi kurumlarında verilen kontrbas eğitimi üzerine bir inceleme</w:t>
      </w:r>
      <w:r w:rsidRPr="00F21AE2">
        <w:t xml:space="preserve">. Yayımlanmamış yüksek lisans tezi. </w:t>
      </w:r>
      <w:proofErr w:type="gramStart"/>
      <w:r w:rsidRPr="00F21AE2">
        <w:t>Atatürk Üniversitesi, Erzurum.</w:t>
      </w:r>
      <w:proofErr w:type="gramEnd"/>
    </w:p>
    <w:p w:rsidR="00BF23B2" w:rsidRPr="00F21AE2" w:rsidRDefault="00BF23B2" w:rsidP="00025D4F">
      <w:pPr>
        <w:spacing w:before="120" w:after="120" w:line="360" w:lineRule="auto"/>
        <w:ind w:left="567" w:hanging="567"/>
        <w:jc w:val="both"/>
      </w:pPr>
      <w:r w:rsidRPr="00F21AE2">
        <w:t xml:space="preserve">Sağer, T. (2005). </w:t>
      </w:r>
      <w:proofErr w:type="gramStart"/>
      <w:r w:rsidRPr="00F21AE2">
        <w:t xml:space="preserve">Müzik Öğretmenliği bilim dallarında çalışılan lisansüstü tezlerin enstitü farklılıkları açısından değerlendirilmesi. </w:t>
      </w:r>
      <w:proofErr w:type="gramEnd"/>
      <w:r w:rsidRPr="00F21AE2">
        <w:rPr>
          <w:i/>
        </w:rPr>
        <w:t xml:space="preserve">Buca Eğitim Fakültesi Dergisi, </w:t>
      </w:r>
      <w:r w:rsidRPr="00F21AE2">
        <w:t>17, 243-245.</w:t>
      </w:r>
    </w:p>
    <w:p w:rsidR="00BF23B2" w:rsidRPr="00F21AE2" w:rsidRDefault="00BF23B2" w:rsidP="00025D4F">
      <w:pPr>
        <w:spacing w:before="120" w:after="120" w:line="360" w:lineRule="auto"/>
        <w:ind w:left="567" w:hanging="567"/>
        <w:jc w:val="both"/>
      </w:pPr>
      <w:r w:rsidRPr="00F21AE2">
        <w:t>Selçuk Köse, D. (2005).</w:t>
      </w:r>
      <w:r w:rsidR="00F7355D">
        <w:t xml:space="preserve"> </w:t>
      </w:r>
      <w:r w:rsidRPr="00F21AE2">
        <w:t xml:space="preserve"> </w:t>
      </w:r>
      <w:r w:rsidRPr="00F21AE2">
        <w:rPr>
          <w:i/>
        </w:rPr>
        <w:t>Anadolu Güzel Sanatlar Liseleri’nde kontrabas eğitiminin incelenmesi</w:t>
      </w:r>
      <w:r w:rsidRPr="00F21AE2">
        <w:t xml:space="preserve"> Y</w:t>
      </w:r>
      <w:r w:rsidR="009F2B7C" w:rsidRPr="00F21AE2">
        <w:t>ayımlanmamış yüksek lisans tezi</w:t>
      </w:r>
      <w:r w:rsidRPr="00F21AE2">
        <w:t xml:space="preserve">. </w:t>
      </w:r>
      <w:proofErr w:type="gramStart"/>
      <w:r w:rsidRPr="00F21AE2">
        <w:t>Gazi Üniversitesi, Ankara.</w:t>
      </w:r>
      <w:proofErr w:type="gramEnd"/>
    </w:p>
    <w:p w:rsidR="00BF23B2" w:rsidRPr="00F21AE2" w:rsidRDefault="00BF23B2" w:rsidP="00025D4F">
      <w:pPr>
        <w:spacing w:before="120" w:after="120" w:line="360" w:lineRule="auto"/>
        <w:ind w:left="567" w:hanging="567"/>
        <w:jc w:val="both"/>
      </w:pPr>
      <w:r w:rsidRPr="00F21AE2">
        <w:t xml:space="preserve">Seyidoğlu, H. (2003). </w:t>
      </w:r>
      <w:r w:rsidRPr="00F21AE2">
        <w:rPr>
          <w:i/>
        </w:rPr>
        <w:t>Bilimsel Araştırma ve Yazma El Kitabı</w:t>
      </w:r>
      <w:r w:rsidRPr="00F21AE2">
        <w:t xml:space="preserve"> (9.Baskı). İstanbul: Kurtiş Matbaası.</w:t>
      </w:r>
    </w:p>
    <w:p w:rsidR="00F21AE2" w:rsidRDefault="00F21AE2" w:rsidP="00025D4F">
      <w:pPr>
        <w:spacing w:before="120" w:after="120" w:line="360" w:lineRule="auto"/>
        <w:ind w:left="567" w:hanging="567"/>
        <w:jc w:val="both"/>
      </w:pPr>
      <w:r w:rsidRPr="00F21AE2">
        <w:t xml:space="preserve">Soydan, S. (2011). </w:t>
      </w:r>
      <w:r w:rsidRPr="00F21AE2">
        <w:rPr>
          <w:i/>
        </w:rPr>
        <w:t>Domenico Carlo Maria Dragonetti’nin la majör kontrbas konçertosunun formal analiz ve icra açısından incelenmesi.</w:t>
      </w:r>
      <w:r w:rsidRPr="00F21AE2">
        <w:t xml:space="preserve"> Yayımlanmamış yüksek lisans tezi, Sosyal Bilimler Enstitüsü, Trakya Üniversitesi, Edirne.</w:t>
      </w:r>
    </w:p>
    <w:p w:rsidR="00F21AE2" w:rsidRDefault="00F21AE2" w:rsidP="00025D4F">
      <w:pPr>
        <w:spacing w:before="120" w:after="120" w:line="360" w:lineRule="auto"/>
        <w:ind w:left="567" w:hanging="567"/>
        <w:jc w:val="both"/>
      </w:pPr>
      <w:r w:rsidRPr="00F21AE2">
        <w:lastRenderedPageBreak/>
        <w:t xml:space="preserve">Şele, İ. G. (2014). </w:t>
      </w:r>
      <w:r w:rsidRPr="00F21AE2">
        <w:rPr>
          <w:i/>
        </w:rPr>
        <w:t>Carl Ditters Von Dittersdorf’un 2. nolu mi majör kontrabas konçertosu.</w:t>
      </w:r>
      <w:r w:rsidRPr="00F21AE2">
        <w:t xml:space="preserve"> Yayımlanmamış yüksek lisans tezi, Sosyal Bilimler Enstitüsü, Mimar Sinan Güzel Sanatlar Üniversitesi, İstanbul.</w:t>
      </w:r>
    </w:p>
    <w:p w:rsidR="00B8097C" w:rsidRDefault="00F7355D" w:rsidP="00025D4F">
      <w:pPr>
        <w:spacing w:before="120" w:after="120" w:line="360" w:lineRule="auto"/>
        <w:ind w:left="567" w:hanging="567"/>
        <w:jc w:val="both"/>
      </w:pPr>
      <w:r>
        <w:t>Toptaş, B. (2013</w:t>
      </w:r>
      <w:r w:rsidR="00B8097C" w:rsidRPr="001F3584">
        <w:t>)</w:t>
      </w:r>
      <w:r>
        <w:t>.</w:t>
      </w:r>
      <w:r w:rsidR="00B8097C" w:rsidRPr="001F3584">
        <w:t xml:space="preserve"> Türkiye’de piyano üzerine yapılmış lisansüstü çalışmalar. </w:t>
      </w:r>
      <w:r w:rsidR="00B8097C" w:rsidRPr="001F3584">
        <w:rPr>
          <w:i/>
        </w:rPr>
        <w:t xml:space="preserve">The Journal of Academic Social Science Studies International Journal of Social Science, </w:t>
      </w:r>
      <w:r w:rsidR="00B8097C" w:rsidRPr="001F3584">
        <w:t>6(3) 715-728.</w:t>
      </w:r>
    </w:p>
    <w:p w:rsidR="00E853A4" w:rsidRPr="00F21AE2" w:rsidRDefault="005C78F8" w:rsidP="00025D4F">
      <w:pPr>
        <w:spacing w:before="120" w:after="120" w:line="360" w:lineRule="auto"/>
        <w:ind w:left="567" w:hanging="567"/>
        <w:jc w:val="both"/>
      </w:pPr>
      <w:r w:rsidRPr="00F21AE2">
        <w:t xml:space="preserve">Yanık, N. (2012). </w:t>
      </w:r>
      <w:r w:rsidRPr="00F21AE2">
        <w:rPr>
          <w:i/>
        </w:rPr>
        <w:t>Domenico Dragonetti la majör kontrabas konçertosunun incelenmesi.</w:t>
      </w:r>
      <w:r w:rsidRPr="00F21AE2">
        <w:t xml:space="preserve"> Yayımlanmamış yüksek lisans tezi, Sosyal Bilimler Enstitüsü, Mimar Sinan Güzel Sanatlar Üniversitesi, İstanbul.</w:t>
      </w:r>
    </w:p>
    <w:p w:rsidR="00BF23B2" w:rsidRPr="00F21AE2" w:rsidRDefault="00BF23B2" w:rsidP="00025D4F">
      <w:pPr>
        <w:spacing w:before="120" w:after="120" w:line="360" w:lineRule="auto"/>
        <w:ind w:left="567" w:hanging="567"/>
        <w:jc w:val="both"/>
      </w:pPr>
      <w:r w:rsidRPr="00F21AE2">
        <w:t xml:space="preserve">Yapalı, Y. (2015). </w:t>
      </w:r>
      <w:r w:rsidRPr="00F21AE2">
        <w:rPr>
          <w:i/>
        </w:rPr>
        <w:t>Ülkemizde</w:t>
      </w:r>
      <w:r w:rsidRPr="00F21AE2">
        <w:t xml:space="preserve"> </w:t>
      </w:r>
      <w:r w:rsidRPr="00F21AE2">
        <w:rPr>
          <w:i/>
        </w:rPr>
        <w:t>flüt ve flüt eğitimi alanlarında yapılan lisansüstü tezlerin incelenmesi.</w:t>
      </w:r>
      <w:r w:rsidRPr="00F21AE2">
        <w:t xml:space="preserve"> (Yayımlanmamış yüksek lisans tezi). </w:t>
      </w:r>
      <w:proofErr w:type="gramStart"/>
      <w:r w:rsidRPr="00F21AE2">
        <w:t>Cumhuriyet Üniversitesi, Sivas.</w:t>
      </w:r>
      <w:proofErr w:type="gramEnd"/>
    </w:p>
    <w:p w:rsidR="003E6573" w:rsidRPr="00F21AE2" w:rsidRDefault="003E6573" w:rsidP="00025D4F">
      <w:pPr>
        <w:spacing w:before="120" w:after="120" w:line="360" w:lineRule="auto"/>
        <w:ind w:left="567" w:hanging="567"/>
        <w:jc w:val="both"/>
      </w:pPr>
      <w:r w:rsidRPr="00F21AE2">
        <w:t xml:space="preserve">Yazıcıoğlu, S. (2006), </w:t>
      </w:r>
      <w:r w:rsidRPr="00F21AE2">
        <w:rPr>
          <w:i/>
        </w:rPr>
        <w:t>Kontrabas’ın yapısı ve tarihsel gelişimi.</w:t>
      </w:r>
      <w:r w:rsidRPr="00F21AE2">
        <w:t xml:space="preserve"> Yayımlanmamış yüksek lisans tezi, Sosyal Bilimler Enstitüsü, Mimar Sinan Güzel Sanatlar Üniversitesi, İstanbul.</w:t>
      </w:r>
    </w:p>
    <w:p w:rsidR="003E6573" w:rsidRPr="00F21AE2" w:rsidRDefault="003E6573" w:rsidP="00025D4F">
      <w:pPr>
        <w:spacing w:before="120" w:after="120" w:line="360" w:lineRule="auto"/>
        <w:ind w:left="567" w:hanging="567"/>
        <w:jc w:val="both"/>
      </w:pPr>
      <w:r w:rsidRPr="00F21AE2">
        <w:t xml:space="preserve">Yıldırım, A. (2008). </w:t>
      </w:r>
      <w:r w:rsidRPr="00F21AE2">
        <w:rPr>
          <w:i/>
        </w:rPr>
        <w:t>Giovanni Bottesinni si minör konçertosunun form analiz ve icra yönünden incelenmesi</w:t>
      </w:r>
      <w:r w:rsidR="00BF23B2" w:rsidRPr="00F21AE2">
        <w:rPr>
          <w:i/>
        </w:rPr>
        <w:t>.</w:t>
      </w:r>
      <w:r w:rsidRPr="00F21AE2">
        <w:rPr>
          <w:i/>
        </w:rPr>
        <w:t xml:space="preserve"> </w:t>
      </w:r>
      <w:r w:rsidRPr="00F21AE2">
        <w:t>Y</w:t>
      </w:r>
      <w:r w:rsidR="00BF23B2" w:rsidRPr="00F21AE2">
        <w:t>ayımlanmamış yüksek lisans tezi,</w:t>
      </w:r>
      <w:r w:rsidRPr="00F21AE2">
        <w:t xml:space="preserve"> Sosyal Bilimler Enstitüsü, Trakya Üniversitesi, Edirne.</w:t>
      </w:r>
    </w:p>
    <w:p w:rsidR="00BF23B2" w:rsidRPr="00F21AE2" w:rsidRDefault="00BF23B2" w:rsidP="00025D4F">
      <w:pPr>
        <w:spacing w:before="120" w:after="120" w:line="360" w:lineRule="auto"/>
        <w:ind w:left="567" w:hanging="567"/>
        <w:jc w:val="both"/>
      </w:pPr>
      <w:r w:rsidRPr="00F21AE2">
        <w:t>Yıldırım, A</w:t>
      </w:r>
      <w:proofErr w:type="gramStart"/>
      <w:r w:rsidRPr="00F21AE2">
        <w:t>.,</w:t>
      </w:r>
      <w:proofErr w:type="gramEnd"/>
      <w:r w:rsidRPr="00F21AE2">
        <w:t xml:space="preserve">Şimşek, H. (2008). </w:t>
      </w:r>
      <w:r w:rsidRPr="00F21AE2">
        <w:rPr>
          <w:i/>
        </w:rPr>
        <w:t>Sosyal Bilimlerde Nitel Araştırma Yöntemleri</w:t>
      </w:r>
      <w:r w:rsidRPr="00F21AE2">
        <w:t xml:space="preserve"> (7.Baskı) Ankara: Seçkin Yayıncılık.</w:t>
      </w:r>
    </w:p>
    <w:p w:rsidR="000B7EAA" w:rsidRPr="001F3584" w:rsidRDefault="0073762E" w:rsidP="00025D4F">
      <w:pPr>
        <w:tabs>
          <w:tab w:val="left" w:pos="5557"/>
        </w:tabs>
        <w:spacing w:before="120" w:after="120" w:line="360" w:lineRule="auto"/>
        <w:ind w:left="567" w:hanging="567"/>
        <w:jc w:val="both"/>
        <w:rPr>
          <w:rStyle w:val="Kpr"/>
          <w:bCs/>
          <w:color w:val="auto"/>
        </w:rPr>
      </w:pPr>
      <w:r w:rsidRPr="001F3584">
        <w:t>YÖK, Lisansüstü Eğitim ve Öğretim Yönetmeliği, mad. 4</w:t>
      </w:r>
      <w:r w:rsidR="00530685">
        <w:t xml:space="preserve"> </w:t>
      </w:r>
      <w:r w:rsidR="00A87D7E">
        <w:t>Konu (2017</w:t>
      </w:r>
      <w:r w:rsidR="00F7355D">
        <w:t>,</w:t>
      </w:r>
      <w:r w:rsidR="00A87D7E">
        <w:t xml:space="preserve"> 8 Eylül) </w:t>
      </w:r>
      <w:hyperlink r:id="rId11" w:history="1">
        <w:r w:rsidR="00A87D7E" w:rsidRPr="00A01A18">
          <w:rPr>
            <w:rStyle w:val="Kpr"/>
          </w:rPr>
          <w:t>http://www.mevzuat.gov.tr/Metin.Aspx?MevzuatKod=7.5.21510&amp;MevzuatIliski=0&amp;sourceXmlSearch</w:t>
        </w:r>
      </w:hyperlink>
      <w:r w:rsidR="00530685" w:rsidRPr="00530685">
        <w:t>=</w:t>
      </w:r>
      <w:r w:rsidR="00A87D7E">
        <w:t xml:space="preserve"> adresinden alınmıştır.</w:t>
      </w:r>
    </w:p>
    <w:p w:rsidR="0073762E" w:rsidRPr="001F3584" w:rsidRDefault="0073762E" w:rsidP="00025D4F">
      <w:pPr>
        <w:autoSpaceDE w:val="0"/>
        <w:autoSpaceDN w:val="0"/>
        <w:adjustRightInd w:val="0"/>
        <w:spacing w:before="120" w:after="120" w:line="360" w:lineRule="auto"/>
        <w:ind w:left="567" w:hanging="567"/>
        <w:jc w:val="both"/>
      </w:pPr>
      <w:r w:rsidRPr="001F3584">
        <w:t xml:space="preserve">YÖK, </w:t>
      </w:r>
      <w:r w:rsidR="00F7355D">
        <w:t xml:space="preserve">Lisansüstü Tezler Konu (2017, </w:t>
      </w:r>
      <w:r w:rsidR="00C45D8B">
        <w:t>5</w:t>
      </w:r>
      <w:r w:rsidR="00F7355D">
        <w:t xml:space="preserve"> Eylül</w:t>
      </w:r>
      <w:r w:rsidR="00C45D8B">
        <w:t xml:space="preserve"> ) </w:t>
      </w:r>
      <w:hyperlink r:id="rId12" w:history="1">
        <w:r w:rsidR="00C45D8B" w:rsidRPr="00A01A18">
          <w:rPr>
            <w:rStyle w:val="Kpr"/>
          </w:rPr>
          <w:t>https://tez.yok.gov.tr/UlusalTezMerkezi/</w:t>
        </w:r>
      </w:hyperlink>
      <w:r w:rsidR="00C45D8B">
        <w:t xml:space="preserve"> adresinden alınmıştır.</w:t>
      </w:r>
    </w:p>
    <w:p w:rsidR="008723F0" w:rsidRPr="001F3584" w:rsidRDefault="007A6A6D" w:rsidP="007A6A6D">
      <w:pPr>
        <w:spacing w:before="120" w:after="120" w:line="360" w:lineRule="auto"/>
        <w:jc w:val="both"/>
      </w:pPr>
      <w:r>
        <w:t xml:space="preserve">TDK, </w:t>
      </w:r>
      <w:r w:rsidR="00F7355D">
        <w:t>Kontrbas</w:t>
      </w:r>
      <w:r>
        <w:t xml:space="preserve"> </w:t>
      </w:r>
      <w:r w:rsidR="00F7355D">
        <w:t xml:space="preserve">(2017, </w:t>
      </w:r>
      <w:proofErr w:type="gramStart"/>
      <w:r w:rsidR="00F7355D">
        <w:t>9  Ekim</w:t>
      </w:r>
      <w:proofErr w:type="gramEnd"/>
      <w:r w:rsidR="00F7355D">
        <w:t>)</w:t>
      </w:r>
      <w:r>
        <w:t xml:space="preserve"> </w:t>
      </w:r>
      <w:hyperlink r:id="rId13" w:history="1">
        <w:r w:rsidRPr="00BC7AE3">
          <w:rPr>
            <w:rStyle w:val="Kpr"/>
          </w:rPr>
          <w:t>http://www.tdk.gov.tr/index.php?option=com_gts&amp;arama=gts&amp;guid=TDK.GTS.59efd0cec6fe85.57694583</w:t>
        </w:r>
      </w:hyperlink>
      <w:r>
        <w:t xml:space="preserve"> adresinden alınmıştır.</w:t>
      </w:r>
    </w:p>
    <w:p w:rsidR="00DF0259" w:rsidRDefault="00DF0259" w:rsidP="00025D4F">
      <w:pPr>
        <w:autoSpaceDE w:val="0"/>
        <w:autoSpaceDN w:val="0"/>
        <w:adjustRightInd w:val="0"/>
        <w:spacing w:before="120" w:after="120"/>
        <w:jc w:val="center"/>
        <w:rPr>
          <w:b/>
          <w:lang w:val="en-GB"/>
        </w:rPr>
      </w:pPr>
    </w:p>
    <w:p w:rsidR="002141E5" w:rsidRDefault="002141E5" w:rsidP="00025D4F">
      <w:pPr>
        <w:autoSpaceDE w:val="0"/>
        <w:autoSpaceDN w:val="0"/>
        <w:adjustRightInd w:val="0"/>
        <w:spacing w:before="120" w:after="120"/>
        <w:jc w:val="center"/>
        <w:rPr>
          <w:b/>
          <w:lang w:val="en-GB"/>
        </w:rPr>
      </w:pPr>
    </w:p>
    <w:p w:rsidR="002141E5" w:rsidRDefault="002141E5" w:rsidP="00025D4F">
      <w:pPr>
        <w:autoSpaceDE w:val="0"/>
        <w:autoSpaceDN w:val="0"/>
        <w:adjustRightInd w:val="0"/>
        <w:spacing w:before="120" w:after="120"/>
        <w:jc w:val="center"/>
        <w:rPr>
          <w:b/>
          <w:lang w:val="en-GB"/>
        </w:rPr>
      </w:pPr>
    </w:p>
    <w:p w:rsidR="002141E5" w:rsidRDefault="002141E5" w:rsidP="00025D4F">
      <w:pPr>
        <w:autoSpaceDE w:val="0"/>
        <w:autoSpaceDN w:val="0"/>
        <w:adjustRightInd w:val="0"/>
        <w:spacing w:before="120" w:after="120"/>
        <w:jc w:val="center"/>
        <w:rPr>
          <w:b/>
          <w:lang w:val="en-GB"/>
        </w:rPr>
      </w:pPr>
    </w:p>
    <w:p w:rsidR="002141E5" w:rsidRDefault="002141E5" w:rsidP="00025D4F">
      <w:pPr>
        <w:autoSpaceDE w:val="0"/>
        <w:autoSpaceDN w:val="0"/>
        <w:adjustRightInd w:val="0"/>
        <w:spacing w:before="120" w:after="120"/>
        <w:jc w:val="center"/>
        <w:rPr>
          <w:b/>
          <w:lang w:val="en-GB"/>
        </w:rPr>
      </w:pPr>
    </w:p>
    <w:p w:rsidR="00C41F12" w:rsidRPr="001F3584" w:rsidRDefault="00C41F12" w:rsidP="00025D4F">
      <w:pPr>
        <w:autoSpaceDE w:val="0"/>
        <w:autoSpaceDN w:val="0"/>
        <w:adjustRightInd w:val="0"/>
        <w:spacing w:before="120" w:after="120"/>
        <w:jc w:val="center"/>
        <w:rPr>
          <w:b/>
          <w:lang w:val="en-GB"/>
        </w:rPr>
      </w:pPr>
      <w:r w:rsidRPr="001F3584">
        <w:rPr>
          <w:b/>
          <w:lang w:val="en-GB"/>
        </w:rPr>
        <w:lastRenderedPageBreak/>
        <w:t>Summary</w:t>
      </w:r>
    </w:p>
    <w:p w:rsidR="00C41F12" w:rsidRPr="001F3584" w:rsidRDefault="00C41F12" w:rsidP="00025D4F">
      <w:pPr>
        <w:autoSpaceDE w:val="0"/>
        <w:autoSpaceDN w:val="0"/>
        <w:adjustRightInd w:val="0"/>
        <w:spacing w:before="120" w:after="120"/>
        <w:jc w:val="center"/>
        <w:rPr>
          <w:b/>
          <w:sz w:val="20"/>
          <w:szCs w:val="20"/>
        </w:rPr>
      </w:pPr>
    </w:p>
    <w:p w:rsidR="00765559" w:rsidRPr="001F3584" w:rsidRDefault="00765559" w:rsidP="00025D4F">
      <w:pPr>
        <w:spacing w:before="120" w:after="120" w:line="480" w:lineRule="auto"/>
        <w:jc w:val="both"/>
        <w:rPr>
          <w:lang w:val="en-US"/>
        </w:rPr>
      </w:pPr>
      <w:r w:rsidRPr="001F3584">
        <w:rPr>
          <w:b/>
          <w:lang w:val="en-US"/>
        </w:rPr>
        <w:t>Problem Statement:</w:t>
      </w:r>
      <w:r w:rsidRPr="001F3584">
        <w:rPr>
          <w:lang w:val="en-US"/>
        </w:rPr>
        <w:t xml:space="preserve"> </w:t>
      </w:r>
      <w:proofErr w:type="gramStart"/>
      <w:r w:rsidRPr="001F3584">
        <w:rPr>
          <w:lang w:val="en-US"/>
        </w:rPr>
        <w:t>Individuals</w:t>
      </w:r>
      <w:proofErr w:type="gramEnd"/>
      <w:r w:rsidRPr="001F3584">
        <w:rPr>
          <w:lang w:val="en-US"/>
        </w:rPr>
        <w:t xml:space="preserve"> who have completed a bachelor's degree, qualify themselves by providing the conditions for post-graduate study of the relevant universities in order to receive postgraduate studies. The conditions for applying to a graduate education are stated in the regulations of the institute in each university. Post-graduate is, as stated in the chairmanship of the Higher Education Council (YÖK), master degree, doctorate and arts proficiency programs.</w:t>
      </w:r>
    </w:p>
    <w:p w:rsidR="00765559" w:rsidRPr="001F3584" w:rsidRDefault="00765559" w:rsidP="00025D4F">
      <w:pPr>
        <w:spacing w:before="120" w:after="120" w:line="480" w:lineRule="auto"/>
        <w:ind w:firstLine="708"/>
        <w:jc w:val="both"/>
        <w:rPr>
          <w:lang w:val="en-US"/>
        </w:rPr>
      </w:pPr>
      <w:r w:rsidRPr="001F3584">
        <w:rPr>
          <w:lang w:val="en-US"/>
        </w:rPr>
        <w:t>Both the HEC regulations on post-graduate education and the identification of post-graduate education at universities; it can be said that the post-graduate education is more scientific and academic than the undergraduate education.</w:t>
      </w:r>
      <w:r w:rsidRPr="001F3584">
        <w:t xml:space="preserve"> </w:t>
      </w:r>
      <w:r w:rsidRPr="001F3584">
        <w:rPr>
          <w:lang w:val="en-US"/>
        </w:rPr>
        <w:t xml:space="preserve">New scientific reports emerging with graduate programs with </w:t>
      </w:r>
      <w:proofErr w:type="gramStart"/>
      <w:r w:rsidRPr="001F3584">
        <w:rPr>
          <w:lang w:val="en-US"/>
        </w:rPr>
        <w:t>thesis,</w:t>
      </w:r>
      <w:proofErr w:type="gramEnd"/>
      <w:r w:rsidRPr="001F3584">
        <w:rPr>
          <w:lang w:val="en-US"/>
        </w:rPr>
        <w:t xml:space="preserve"> provide contributions to the development of education and lead researchers to new fields.</w:t>
      </w:r>
      <w:r w:rsidRPr="001F3584">
        <w:t xml:space="preserve"> </w:t>
      </w:r>
      <w:r w:rsidRPr="001F3584">
        <w:rPr>
          <w:lang w:val="en-US"/>
        </w:rPr>
        <w:t>In this context, it is very important to try to determine the status of all postgraduate theses written in Turkey in the field of instrument education contrabass, which is an important dimension of music education.</w:t>
      </w:r>
      <w:r w:rsidRPr="001F3584">
        <w:t xml:space="preserve"> </w:t>
      </w:r>
      <w:r w:rsidRPr="001F3584">
        <w:rPr>
          <w:lang w:val="en-US"/>
        </w:rPr>
        <w:t xml:space="preserve">For this reason, the question of the problem determined as, </w:t>
      </w:r>
      <w:proofErr w:type="gramStart"/>
      <w:r w:rsidRPr="001F3584">
        <w:rPr>
          <w:i/>
          <w:lang w:val="en-US"/>
        </w:rPr>
        <w:t>What</w:t>
      </w:r>
      <w:proofErr w:type="gramEnd"/>
      <w:r w:rsidRPr="001F3584">
        <w:rPr>
          <w:i/>
          <w:lang w:val="en-US"/>
        </w:rPr>
        <w:t xml:space="preserve"> are the post-graduate theses written on the contrabass in Turkey?</w:t>
      </w:r>
      <w:r w:rsidRPr="001F3584">
        <w:rPr>
          <w:lang w:val="en-US"/>
        </w:rPr>
        <w:t xml:space="preserve"> </w:t>
      </w:r>
      <w:proofErr w:type="gramStart"/>
      <w:r w:rsidRPr="001F3584">
        <w:rPr>
          <w:lang w:val="en-US"/>
        </w:rPr>
        <w:t>respectively</w:t>
      </w:r>
      <w:proofErr w:type="gramEnd"/>
      <w:r w:rsidRPr="001F3584">
        <w:rPr>
          <w:lang w:val="en-US"/>
        </w:rPr>
        <w:t>.</w:t>
      </w:r>
    </w:p>
    <w:p w:rsidR="00765559" w:rsidRPr="001F3584" w:rsidRDefault="00765559" w:rsidP="00025D4F">
      <w:pPr>
        <w:spacing w:before="120" w:after="120" w:line="480" w:lineRule="auto"/>
        <w:jc w:val="both"/>
        <w:rPr>
          <w:lang w:val="en-US"/>
        </w:rPr>
      </w:pPr>
      <w:r w:rsidRPr="001F3584">
        <w:rPr>
          <w:b/>
          <w:lang w:val="en-US"/>
        </w:rPr>
        <w:t>Purpose of the Study:</w:t>
      </w:r>
      <w:r w:rsidRPr="001F3584">
        <w:t xml:space="preserve"> </w:t>
      </w:r>
      <w:r w:rsidRPr="001F3584">
        <w:rPr>
          <w:lang w:val="en-US"/>
        </w:rPr>
        <w:t>In this study, post-graduate theses written on contrabass in Turkey were taken up.</w:t>
      </w:r>
      <w:r w:rsidRPr="001F3584">
        <w:t xml:space="preserve"> </w:t>
      </w:r>
      <w:r w:rsidRPr="001F3584">
        <w:rPr>
          <w:lang w:val="en-US"/>
        </w:rPr>
        <w:t>In this direction, it is aimed that the postgraduate thesis are divided into various groups and presented as a status determination.</w:t>
      </w:r>
    </w:p>
    <w:p w:rsidR="00765559" w:rsidRPr="001F3584" w:rsidRDefault="00765559" w:rsidP="00025D4F">
      <w:pPr>
        <w:spacing w:before="120" w:after="120" w:line="480" w:lineRule="auto"/>
        <w:jc w:val="both"/>
        <w:rPr>
          <w:lang w:val="en-US"/>
        </w:rPr>
      </w:pPr>
      <w:r w:rsidRPr="001F3584">
        <w:rPr>
          <w:b/>
          <w:lang w:val="en-US"/>
        </w:rPr>
        <w:t>Method(s):</w:t>
      </w:r>
      <w:r w:rsidRPr="001F3584">
        <w:t xml:space="preserve"> </w:t>
      </w:r>
      <w:r w:rsidRPr="001F3584">
        <w:rPr>
          <w:lang w:val="en-US"/>
        </w:rPr>
        <w:t>This research is descriptive in terms of examining and evaluating postgraduate thesis on contrabass in Turkey and is included in General Screening Model.</w:t>
      </w:r>
      <w:r w:rsidRPr="001F3584">
        <w:t xml:space="preserve"> </w:t>
      </w:r>
      <w:r w:rsidRPr="001F3584">
        <w:rPr>
          <w:lang w:val="en-US"/>
        </w:rPr>
        <w:t>At the same time, research is included in the Documentary Screening category as the data collection technique used.</w:t>
      </w:r>
    </w:p>
    <w:p w:rsidR="00765559" w:rsidRPr="001F3584" w:rsidRDefault="00765559" w:rsidP="00025D4F">
      <w:pPr>
        <w:spacing w:before="120" w:after="120" w:line="480" w:lineRule="auto"/>
        <w:ind w:firstLine="708"/>
        <w:jc w:val="both"/>
      </w:pPr>
      <w:r w:rsidRPr="001F3584">
        <w:rPr>
          <w:lang w:val="en-US"/>
        </w:rPr>
        <w:lastRenderedPageBreak/>
        <w:t xml:space="preserve">The research space constitutes </w:t>
      </w:r>
      <w:proofErr w:type="gramStart"/>
      <w:r w:rsidRPr="001F3584">
        <w:rPr>
          <w:lang w:val="en-US"/>
        </w:rPr>
        <w:t>all the</w:t>
      </w:r>
      <w:proofErr w:type="gramEnd"/>
      <w:r w:rsidRPr="001F3584">
        <w:rPr>
          <w:lang w:val="en-US"/>
        </w:rPr>
        <w:t xml:space="preserve"> postgraduate thesis on music education in the database of the Council of Higher Education National Thesis Center.</w:t>
      </w:r>
      <w:r w:rsidRPr="001F3584">
        <w:t xml:space="preserve"> </w:t>
      </w:r>
      <w:r w:rsidRPr="001F3584">
        <w:rPr>
          <w:lang w:val="en-US"/>
        </w:rPr>
        <w:t>The space and the sample were held because the whole space was reached in the research.</w:t>
      </w:r>
      <w:r w:rsidRPr="001F3584">
        <w:t xml:space="preserve"> </w:t>
      </w:r>
      <w:r w:rsidRPr="001F3584">
        <w:rPr>
          <w:lang w:val="en-US"/>
        </w:rPr>
        <w:t xml:space="preserve">In the research, from 1987 until June of 2017, the data related to the post-graduate theses written in Turkey were collected by the </w:t>
      </w:r>
      <w:r w:rsidRPr="001F3584">
        <w:rPr>
          <w:i/>
          <w:lang w:val="en-US"/>
        </w:rPr>
        <w:t>National Thesis Center of the Higher Education Council</w:t>
      </w:r>
      <w:r w:rsidRPr="001F3584">
        <w:rPr>
          <w:lang w:val="en-US"/>
        </w:rPr>
        <w:t xml:space="preserve"> via the internet.</w:t>
      </w:r>
      <w:r w:rsidRPr="001F3584">
        <w:t xml:space="preserve"> </w:t>
      </w:r>
      <w:r w:rsidRPr="001F3584">
        <w:rPr>
          <w:lang w:val="en-US"/>
        </w:rPr>
        <w:t>All theses that are open to access are archived by downloading to the computer and the theses are made accessible and recorded in the computer environment by communicating with authors for theses that are not accessible.</w:t>
      </w:r>
      <w:r w:rsidRPr="001F3584">
        <w:t xml:space="preserve"> </w:t>
      </w:r>
    </w:p>
    <w:p w:rsidR="00765559" w:rsidRPr="001F3584" w:rsidRDefault="00765559" w:rsidP="00025D4F">
      <w:pPr>
        <w:spacing w:before="120" w:after="120" w:line="480" w:lineRule="auto"/>
        <w:ind w:firstLine="708"/>
        <w:jc w:val="both"/>
        <w:rPr>
          <w:lang w:val="en-US"/>
        </w:rPr>
      </w:pPr>
      <w:r w:rsidRPr="001F3584">
        <w:rPr>
          <w:lang w:val="en-US"/>
        </w:rPr>
        <w:t>All the data gathered in the study were presented as charts with Excel program of Microsoft Office Professional Plus 2013 package program, evaluated by transforming into general charts, then converted into frequency (f) tables and interpreted as percent (%) tables.</w:t>
      </w:r>
    </w:p>
    <w:p w:rsidR="00765559" w:rsidRPr="001F3584" w:rsidRDefault="00765559" w:rsidP="00025D4F">
      <w:pPr>
        <w:spacing w:before="120" w:after="120" w:line="480" w:lineRule="auto"/>
        <w:jc w:val="both"/>
        <w:rPr>
          <w:lang w:val="en-US"/>
        </w:rPr>
      </w:pPr>
      <w:r w:rsidRPr="001F3584">
        <w:rPr>
          <w:b/>
          <w:lang w:val="en-US"/>
        </w:rPr>
        <w:t>Findings and Discussions:</w:t>
      </w:r>
      <w:r w:rsidR="00D87172">
        <w:rPr>
          <w:lang w:val="en-US"/>
        </w:rPr>
        <w:t xml:space="preserve"> A total of 25 master</w:t>
      </w:r>
      <w:r w:rsidRPr="001F3584">
        <w:rPr>
          <w:lang w:val="en-US"/>
        </w:rPr>
        <w:t>s thesis on the contrabass in the post-graduate programs in Turkey were examined. It was determined that 2</w:t>
      </w:r>
      <w:r w:rsidR="00D87172">
        <w:rPr>
          <w:lang w:val="en-US"/>
        </w:rPr>
        <w:t>2</w:t>
      </w:r>
      <w:r w:rsidRPr="001F3584">
        <w:rPr>
          <w:lang w:val="en-US"/>
        </w:rPr>
        <w:t xml:space="preserve"> of the theses were master thesis, 2 of art competence thesis and 1 of doctoral thesis. When thesis distributions were made according to years, except for 2003, 2007 and 2016, it was determined that every year from 2002 to 2017, a master’s thesis was written on the contrabass. In the distribution of the undergraduate theses examined, it is seen that there are 5 theses in the title of Historical Development, 8 in the title of Work-Study- Method Analysis, 9 in the title of Contrabass Education, and 3 in the title of Biography. According to the distribution of the institute, 3 theses are written in Institute of Educational Sciences, 2 theses are written in Institute of Fine Arts and 20 other theses are written in Institute of Social Sciences.</w:t>
      </w:r>
    </w:p>
    <w:p w:rsidR="00765559" w:rsidRPr="001F3584" w:rsidRDefault="00765559" w:rsidP="00025D4F">
      <w:pPr>
        <w:spacing w:before="120" w:after="120" w:line="480" w:lineRule="auto"/>
        <w:ind w:firstLine="708"/>
        <w:jc w:val="both"/>
        <w:rPr>
          <w:lang w:val="en-US"/>
        </w:rPr>
      </w:pPr>
      <w:r w:rsidRPr="001F3584">
        <w:rPr>
          <w:lang w:val="en-US"/>
        </w:rPr>
        <w:t xml:space="preserve">In the direction of the findings obtained in the research, most of the post-graduate theses written about contrabass in Turkey were written in the Institute of Social Sciences, with </w:t>
      </w:r>
      <w:r w:rsidRPr="001F3584">
        <w:rPr>
          <w:lang w:val="en-US"/>
        </w:rPr>
        <w:lastRenderedPageBreak/>
        <w:t>the title of Study Survey-Method Analysis and Contrabass Education, and most of the postgraduate theses were written as master’s thesis.</w:t>
      </w:r>
    </w:p>
    <w:p w:rsidR="00765559" w:rsidRPr="001F3584" w:rsidRDefault="00765559" w:rsidP="00025D4F">
      <w:pPr>
        <w:spacing w:before="120" w:after="120" w:line="480" w:lineRule="auto"/>
        <w:ind w:firstLine="708"/>
        <w:jc w:val="both"/>
        <w:rPr>
          <w:lang w:val="en-US"/>
        </w:rPr>
      </w:pPr>
      <w:r w:rsidRPr="001F3584">
        <w:rPr>
          <w:lang w:val="en-US"/>
        </w:rPr>
        <w:t>Based on all these results, twenty-five theses written about contrabass topic within fifteen years suggest that the teaching staff and students of the contrabass field are less than those of the other instruments.</w:t>
      </w:r>
      <w:r w:rsidRPr="001F3584">
        <w:t xml:space="preserve"> </w:t>
      </w:r>
      <w:r w:rsidRPr="001F3584">
        <w:rPr>
          <w:lang w:val="en-US"/>
        </w:rPr>
        <w:t>In addition, it can be said that contrabass students with undergraduate degrees do not prefer the graduate programs.</w:t>
      </w:r>
      <w:r w:rsidRPr="001F3584">
        <w:t xml:space="preserve"> </w:t>
      </w:r>
      <w:r w:rsidRPr="001F3584">
        <w:rPr>
          <w:lang w:val="en-US"/>
        </w:rPr>
        <w:t>Considering that contrabass education is generally given in conservatories, this situation can also be explained by the fact that the contrabass students prefer to practice their profession instead of academic career.</w:t>
      </w:r>
    </w:p>
    <w:p w:rsidR="00765559" w:rsidRPr="001F3584" w:rsidRDefault="00765559" w:rsidP="00025D4F">
      <w:pPr>
        <w:spacing w:before="120" w:after="120" w:line="480" w:lineRule="auto"/>
        <w:jc w:val="both"/>
        <w:rPr>
          <w:lang w:val="en-US"/>
        </w:rPr>
      </w:pPr>
      <w:r w:rsidRPr="001F3584">
        <w:rPr>
          <w:b/>
          <w:lang w:val="en-US"/>
        </w:rPr>
        <w:t>Conclusions and Recommendations:</w:t>
      </w:r>
      <w:r w:rsidRPr="001F3584">
        <w:t xml:space="preserve"> </w:t>
      </w:r>
      <w:r w:rsidRPr="001F3584">
        <w:rPr>
          <w:lang w:val="en-US"/>
        </w:rPr>
        <w:t>The studies carried out in the research and the other instruments show that the works have been influenced by each other and repeated with different instruments.</w:t>
      </w:r>
      <w:r w:rsidRPr="001F3584">
        <w:t xml:space="preserve"> </w:t>
      </w:r>
      <w:r w:rsidRPr="001F3584">
        <w:rPr>
          <w:lang w:val="en-US"/>
        </w:rPr>
        <w:t>This is extremely important in terms of field work integrity. Although there have already been studies in different instrument areas, similar results between studies have greatly supported this situation.</w:t>
      </w:r>
      <w:r w:rsidRPr="001F3584">
        <w:t xml:space="preserve"> </w:t>
      </w:r>
      <w:r w:rsidRPr="001F3584">
        <w:rPr>
          <w:lang w:val="en-US"/>
        </w:rPr>
        <w:t>Similar work needs to be repeated in today's conditions in order to stay up-to-date. Collecting and making bibliographies of these post-graduate theses data’s with these studies will contribute to researchers in terms of time and integrity.</w:t>
      </w:r>
      <w:r w:rsidRPr="001F3584">
        <w:t xml:space="preserve"> </w:t>
      </w:r>
      <w:r w:rsidRPr="001F3584">
        <w:rPr>
          <w:lang w:val="en-US"/>
        </w:rPr>
        <w:t>It is also suggested that this study should be used as a reference in the field of contrabass to provide new ideas for research.</w:t>
      </w:r>
    </w:p>
    <w:p w:rsidR="00765559" w:rsidRPr="001F3584" w:rsidRDefault="00765559" w:rsidP="00025D4F">
      <w:pPr>
        <w:spacing w:before="120" w:after="120" w:line="480" w:lineRule="auto"/>
        <w:jc w:val="both"/>
        <w:rPr>
          <w:lang w:val="en-US"/>
        </w:rPr>
      </w:pPr>
      <w:r w:rsidRPr="001F3584">
        <w:rPr>
          <w:b/>
          <w:i/>
          <w:lang w:val="en-US"/>
        </w:rPr>
        <w:t>Keywords:</w:t>
      </w:r>
      <w:r w:rsidRPr="001F3584">
        <w:rPr>
          <w:lang w:val="en-US"/>
        </w:rPr>
        <w:t xml:space="preserve"> Contrabass, contrabass education, postgraduate theses</w:t>
      </w:r>
    </w:p>
    <w:p w:rsidR="005D074A" w:rsidRPr="001F3584" w:rsidRDefault="005D074A" w:rsidP="00025D4F">
      <w:pPr>
        <w:spacing w:before="120" w:after="120" w:line="480" w:lineRule="auto"/>
        <w:jc w:val="both"/>
      </w:pPr>
    </w:p>
    <w:sectPr w:rsidR="005D074A" w:rsidRPr="001F3584" w:rsidSect="0022506B">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6" w:h="16838"/>
      <w:pgMar w:top="1417" w:right="1417" w:bottom="1417" w:left="1417" w:header="709" w:footer="709" w:gutter="0"/>
      <w:pgNumType w:start="14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251" w:rsidRDefault="00794251" w:rsidP="009B61F0">
      <w:r>
        <w:separator/>
      </w:r>
    </w:p>
  </w:endnote>
  <w:endnote w:type="continuationSeparator" w:id="0">
    <w:p w:rsidR="00794251" w:rsidRDefault="00794251" w:rsidP="009B61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59" w:rsidRDefault="00DF025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622476"/>
      <w:docPartObj>
        <w:docPartGallery w:val="Page Numbers (Bottom of Page)"/>
        <w:docPartUnique/>
      </w:docPartObj>
    </w:sdtPr>
    <w:sdtContent>
      <w:p w:rsidR="00DF0259" w:rsidRDefault="00AE1C09">
        <w:pPr>
          <w:pStyle w:val="Altbilgi"/>
          <w:jc w:val="center"/>
        </w:pPr>
        <w:r>
          <w:fldChar w:fldCharType="begin"/>
        </w:r>
        <w:r w:rsidR="00DF0259">
          <w:instrText>PAGE   \* MERGEFORMAT</w:instrText>
        </w:r>
        <w:r>
          <w:fldChar w:fldCharType="separate"/>
        </w:r>
        <w:r w:rsidR="00FD7C69">
          <w:rPr>
            <w:noProof/>
          </w:rPr>
          <w:t>1416</w:t>
        </w:r>
        <w:r>
          <w:fldChar w:fldCharType="end"/>
        </w:r>
      </w:p>
    </w:sdtContent>
  </w:sdt>
  <w:p w:rsidR="00DF0259" w:rsidRDefault="00DF025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59" w:rsidRDefault="00DF025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251" w:rsidRDefault="00794251" w:rsidP="009B61F0">
      <w:r>
        <w:separator/>
      </w:r>
    </w:p>
  </w:footnote>
  <w:footnote w:type="continuationSeparator" w:id="0">
    <w:p w:rsidR="00794251" w:rsidRDefault="00794251" w:rsidP="009B61F0">
      <w:r>
        <w:continuationSeparator/>
      </w:r>
    </w:p>
  </w:footnote>
  <w:footnote w:id="1">
    <w:p w:rsidR="00DF0259" w:rsidRPr="007E26CC" w:rsidRDefault="00DF0259" w:rsidP="007E26CC">
      <w:pPr>
        <w:tabs>
          <w:tab w:val="left" w:pos="1230"/>
        </w:tabs>
        <w:rPr>
          <w:sz w:val="20"/>
        </w:rPr>
      </w:pPr>
      <w:r w:rsidRPr="007E26CC">
        <w:rPr>
          <w:sz w:val="20"/>
        </w:rPr>
        <w:t>* Bu çalışma Türkiye’de Kontrbas Konusunda Yazılmış Lisansüstü Tezler Üzerine Bir Çalışma adlı yüksek lisans tezinin bir bölümünden alınmıştır.</w:t>
      </w:r>
    </w:p>
    <w:p w:rsidR="00DF0259" w:rsidRPr="007E26CC" w:rsidRDefault="00DF0259" w:rsidP="007E26CC">
      <w:pPr>
        <w:tabs>
          <w:tab w:val="left" w:pos="1230"/>
        </w:tabs>
        <w:rPr>
          <w:sz w:val="20"/>
        </w:rPr>
      </w:pPr>
      <w:r w:rsidRPr="007E26CC">
        <w:rPr>
          <w:sz w:val="20"/>
        </w:rPr>
        <w:t>** Yrd. Doç. Dr. Yüzüncü Yıl Üniversitesi, Eğitim Fakültesi, Güzel Sanatlar Eğitimi Bölümü/E-mail: a.semihbirel@gmail.</w:t>
      </w:r>
      <w:proofErr w:type="gramStart"/>
      <w:r w:rsidRPr="007E26CC">
        <w:rPr>
          <w:sz w:val="20"/>
        </w:rPr>
        <w:t>com  Orcid</w:t>
      </w:r>
      <w:proofErr w:type="gramEnd"/>
      <w:r w:rsidRPr="007E26CC">
        <w:rPr>
          <w:sz w:val="20"/>
        </w:rPr>
        <w:t xml:space="preserve"> No:0000-0002-4411-7214</w:t>
      </w:r>
    </w:p>
    <w:p w:rsidR="00DF0259" w:rsidRPr="00A91779" w:rsidRDefault="00DF0259" w:rsidP="00DF0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7E26CC">
        <w:rPr>
          <w:sz w:val="20"/>
        </w:rPr>
        <w:t>***Yüksek Lisans Öğrencisi, Yüzüncü Yıl Üniversitesi, Eğitim Bilimleri Enstitüsü/E-mail: hawkar.qadir@hotmail.com Orcid No:</w:t>
      </w:r>
      <w:r w:rsidRPr="00DF0259">
        <w:rPr>
          <w:color w:val="000000"/>
          <w:sz w:val="20"/>
          <w:szCs w:val="20"/>
        </w:rPr>
        <w:t xml:space="preserve"> </w:t>
      </w:r>
      <w:r w:rsidRPr="00A91779">
        <w:rPr>
          <w:color w:val="000000"/>
          <w:sz w:val="20"/>
          <w:szCs w:val="20"/>
        </w:rPr>
        <w:t>0000-0003-3424-4508</w:t>
      </w:r>
    </w:p>
    <w:p w:rsidR="00DF0259" w:rsidRDefault="00DF0259" w:rsidP="00553897">
      <w:pPr>
        <w:pStyle w:val="DipnotMetni"/>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715"/>
      </w:tblGrid>
      <w:tr w:rsidR="00DF0259" w:rsidRPr="00CC7CD6" w:rsidTr="00DF0259">
        <w:trPr>
          <w:trHeight w:val="268"/>
        </w:trPr>
        <w:tc>
          <w:tcPr>
            <w:tcW w:w="8715" w:type="dxa"/>
            <w:tcBorders>
              <w:top w:val="single" w:sz="4" w:space="0" w:color="auto"/>
              <w:left w:val="nil"/>
              <w:bottom w:val="single" w:sz="4" w:space="0" w:color="auto"/>
              <w:right w:val="nil"/>
            </w:tcBorders>
            <w:hideMark/>
          </w:tcPr>
          <w:p w:rsidR="00DF0259" w:rsidRPr="0041732F" w:rsidRDefault="00DF0259" w:rsidP="00553897">
            <w:pPr>
              <w:pStyle w:val="DipnotMetni"/>
              <w:tabs>
                <w:tab w:val="left" w:pos="483"/>
              </w:tabs>
              <w:ind w:left="45"/>
              <w:jc w:val="center"/>
              <w:rPr>
                <w:b/>
                <w:i/>
              </w:rPr>
            </w:pPr>
            <w:r>
              <w:tab/>
            </w:r>
            <w:r w:rsidRPr="0041732F">
              <w:rPr>
                <w:b/>
                <w:i/>
              </w:rPr>
              <w:t>Gönderim:</w:t>
            </w:r>
            <w:r w:rsidRPr="0041732F">
              <w:rPr>
                <w:i/>
              </w:rPr>
              <w:t>1</w:t>
            </w:r>
            <w:r>
              <w:rPr>
                <w:i/>
                <w:lang w:val="tr-TR"/>
              </w:rPr>
              <w:t>7</w:t>
            </w:r>
            <w:r w:rsidRPr="0041732F">
              <w:rPr>
                <w:i/>
              </w:rPr>
              <w:t>.</w:t>
            </w:r>
            <w:r>
              <w:rPr>
                <w:i/>
                <w:lang w:val="tr-TR"/>
              </w:rPr>
              <w:t>09</w:t>
            </w:r>
            <w:r w:rsidRPr="0041732F">
              <w:rPr>
                <w:i/>
              </w:rPr>
              <w:t xml:space="preserve">.2017                  </w:t>
            </w:r>
            <w:r w:rsidRPr="0041732F">
              <w:rPr>
                <w:b/>
                <w:i/>
              </w:rPr>
              <w:t>Kabul:</w:t>
            </w:r>
            <w:r>
              <w:rPr>
                <w:i/>
                <w:lang w:val="tr-TR"/>
              </w:rPr>
              <w:t>20</w:t>
            </w:r>
            <w:r w:rsidRPr="0041732F">
              <w:rPr>
                <w:i/>
              </w:rPr>
              <w:t xml:space="preserve">.10.2017                          </w:t>
            </w:r>
            <w:r w:rsidRPr="0041732F">
              <w:rPr>
                <w:b/>
                <w:i/>
              </w:rPr>
              <w:t>    Yayın:</w:t>
            </w:r>
            <w:r w:rsidRPr="0041732F">
              <w:rPr>
                <w:i/>
              </w:rPr>
              <w:t>15.</w:t>
            </w:r>
            <w:r>
              <w:rPr>
                <w:i/>
                <w:lang w:val="tr-TR"/>
              </w:rPr>
              <w:t>11</w:t>
            </w:r>
            <w:r w:rsidRPr="0041732F">
              <w:rPr>
                <w:i/>
              </w:rPr>
              <w:t>.2017</w:t>
            </w:r>
          </w:p>
        </w:tc>
      </w:tr>
    </w:tbl>
    <w:p w:rsidR="00DF0259" w:rsidRPr="00083713" w:rsidRDefault="00DF0259" w:rsidP="00553897">
      <w:pPr>
        <w:pStyle w:val="DipnotMetni"/>
      </w:pPr>
    </w:p>
    <w:p w:rsidR="00DF0259" w:rsidRDefault="00DF0259" w:rsidP="00553897">
      <w:pPr>
        <w:tabs>
          <w:tab w:val="left" w:pos="1230"/>
        </w:tabs>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59" w:rsidRDefault="00DF025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59" w:rsidRDefault="00DF0259" w:rsidP="00B23E4F">
    <w:pPr>
      <w:tabs>
        <w:tab w:val="center" w:pos="4536"/>
        <w:tab w:val="right" w:pos="9072"/>
      </w:tabs>
      <w:rPr>
        <w:rStyle w:val="Kpr"/>
        <w:sz w:val="18"/>
        <w:szCs w:val="18"/>
      </w:rPr>
    </w:pPr>
    <w:r>
      <w:tab/>
    </w:r>
    <w:r>
      <w:rPr>
        <w:noProof/>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90600"/>
                  </a:xfrm>
                  <a:prstGeom prst="rect">
                    <a:avLst/>
                  </a:prstGeom>
                  <a:noFill/>
                </pic:spPr>
              </pic:pic>
            </a:graphicData>
          </a:graphic>
        </wp:anchor>
      </w:drawing>
    </w:r>
    <w:r>
      <w:rPr>
        <w:b/>
        <w:i/>
        <w:sz w:val="18"/>
        <w:szCs w:val="18"/>
      </w:rPr>
      <w:t>         YYÜ Eğitim Fakültesi Dergisi (YYU Journal Of EducationFaculty),2017; 14(1):1416-143</w:t>
    </w:r>
    <w:r w:rsidR="00FD7C69">
      <w:rPr>
        <w:b/>
        <w:i/>
        <w:sz w:val="18"/>
        <w:szCs w:val="18"/>
      </w:rPr>
      <w:t>9</w:t>
    </w:r>
    <w:r>
      <w:rPr>
        <w:b/>
        <w:i/>
        <w:sz w:val="18"/>
        <w:szCs w:val="18"/>
      </w:rPr>
      <w:t>,</w:t>
    </w:r>
    <w:hyperlink r:id="rId2" w:history="1">
      <w:r>
        <w:rPr>
          <w:rStyle w:val="Kpr"/>
          <w:sz w:val="18"/>
          <w:szCs w:val="18"/>
        </w:rPr>
        <w:t>http://efdergi.yyu.edu.tr</w:t>
      </w:r>
    </w:hyperlink>
  </w:p>
  <w:p w:rsidR="00DF0259" w:rsidRDefault="00DF0259" w:rsidP="00B23E4F">
    <w:pPr>
      <w:tabs>
        <w:tab w:val="center" w:pos="4536"/>
        <w:tab w:val="right" w:pos="9072"/>
      </w:tabs>
      <w:rPr>
        <w:i/>
        <w:color w:val="0000FF"/>
        <w:sz w:val="18"/>
        <w:szCs w:val="18"/>
        <w:u w:val="single"/>
      </w:rPr>
    </w:pPr>
  </w:p>
  <w:p w:rsidR="00DF0259" w:rsidRDefault="00DF0259" w:rsidP="00B23E4F">
    <w:pPr>
      <w:tabs>
        <w:tab w:val="left" w:pos="2430"/>
      </w:tabs>
      <w:jc w:val="center"/>
      <w:rPr>
        <w:sz w:val="20"/>
      </w:rPr>
    </w:pPr>
    <w:r>
      <w:t>    </w:t>
    </w:r>
    <w:hyperlink r:id="rId3" w:history="1">
      <w:r>
        <w:rPr>
          <w:rStyle w:val="Kpr"/>
          <w:sz w:val="20"/>
        </w:rPr>
        <w:t>http://dx.doi.org/10.23891/efdyyu.2017.50</w:t>
      </w:r>
    </w:hyperlink>
    <w:r>
      <w:rPr>
        <w:b/>
        <w:sz w:val="20"/>
      </w:rPr>
      <w:t>                                                                        ISSN:1305-020</w:t>
    </w:r>
  </w:p>
  <w:p w:rsidR="00DF0259" w:rsidRDefault="00DF025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59" w:rsidRDefault="00DF025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1D6"/>
    <w:multiLevelType w:val="hybridMultilevel"/>
    <w:tmpl w:val="616CCB5C"/>
    <w:lvl w:ilvl="0" w:tplc="A82ACDA2">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FE61DB"/>
    <w:multiLevelType w:val="multilevel"/>
    <w:tmpl w:val="9E6626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28EE7B18"/>
    <w:multiLevelType w:val="hybridMultilevel"/>
    <w:tmpl w:val="3910733E"/>
    <w:lvl w:ilvl="0" w:tplc="60B209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FD66DF3"/>
    <w:multiLevelType w:val="multilevel"/>
    <w:tmpl w:val="B7AA93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13D595E"/>
    <w:multiLevelType w:val="multilevel"/>
    <w:tmpl w:val="034E0720"/>
    <w:lvl w:ilvl="0">
      <w:start w:val="4"/>
      <w:numFmt w:val="decimal"/>
      <w:lvlText w:val="%1"/>
      <w:lvlJc w:val="left"/>
      <w:pPr>
        <w:ind w:left="1002" w:hanging="454"/>
      </w:pPr>
      <w:rPr>
        <w:rFonts w:hint="default"/>
      </w:rPr>
    </w:lvl>
    <w:lvl w:ilvl="1">
      <w:start w:val="1"/>
      <w:numFmt w:val="decimal"/>
      <w:lvlText w:val="%1.%2."/>
      <w:lvlJc w:val="left"/>
      <w:pPr>
        <w:ind w:left="1002" w:hanging="454"/>
      </w:pPr>
      <w:rPr>
        <w:rFonts w:ascii="Times New Roman" w:eastAsia="Times New Roman" w:hAnsi="Times New Roman" w:cs="Times New Roman" w:hint="default"/>
        <w:b/>
        <w:bCs/>
        <w:w w:val="99"/>
        <w:sz w:val="26"/>
        <w:szCs w:val="26"/>
      </w:rPr>
    </w:lvl>
    <w:lvl w:ilvl="2">
      <w:start w:val="1"/>
      <w:numFmt w:val="decimal"/>
      <w:lvlText w:val="%1.%2.%3."/>
      <w:lvlJc w:val="left"/>
      <w:pPr>
        <w:ind w:left="1196" w:hanging="648"/>
      </w:pPr>
      <w:rPr>
        <w:rFonts w:ascii="Times New Roman" w:eastAsia="Times New Roman" w:hAnsi="Times New Roman" w:cs="Times New Roman" w:hint="default"/>
        <w:b/>
        <w:bCs/>
        <w:w w:val="99"/>
        <w:sz w:val="26"/>
        <w:szCs w:val="26"/>
      </w:rPr>
    </w:lvl>
    <w:lvl w:ilvl="3">
      <w:numFmt w:val="bullet"/>
      <w:lvlText w:val=""/>
      <w:lvlJc w:val="left"/>
      <w:pPr>
        <w:ind w:left="1542" w:hanging="711"/>
      </w:pPr>
      <w:rPr>
        <w:rFonts w:ascii="Symbol" w:eastAsia="Symbol" w:hAnsi="Symbol" w:cs="Symbol" w:hint="default"/>
        <w:w w:val="100"/>
        <w:sz w:val="24"/>
        <w:szCs w:val="24"/>
      </w:rPr>
    </w:lvl>
    <w:lvl w:ilvl="4">
      <w:numFmt w:val="bullet"/>
      <w:lvlText w:val="•"/>
      <w:lvlJc w:val="left"/>
      <w:pPr>
        <w:ind w:left="3530" w:hanging="711"/>
      </w:pPr>
      <w:rPr>
        <w:rFonts w:hint="default"/>
      </w:rPr>
    </w:lvl>
    <w:lvl w:ilvl="5">
      <w:numFmt w:val="bullet"/>
      <w:lvlText w:val="•"/>
      <w:lvlJc w:val="left"/>
      <w:pPr>
        <w:ind w:left="4525" w:hanging="711"/>
      </w:pPr>
      <w:rPr>
        <w:rFonts w:hint="default"/>
      </w:rPr>
    </w:lvl>
    <w:lvl w:ilvl="6">
      <w:numFmt w:val="bullet"/>
      <w:lvlText w:val="•"/>
      <w:lvlJc w:val="left"/>
      <w:pPr>
        <w:ind w:left="5520" w:hanging="711"/>
      </w:pPr>
      <w:rPr>
        <w:rFonts w:hint="default"/>
      </w:rPr>
    </w:lvl>
    <w:lvl w:ilvl="7">
      <w:numFmt w:val="bullet"/>
      <w:lvlText w:val="•"/>
      <w:lvlJc w:val="left"/>
      <w:pPr>
        <w:ind w:left="6515" w:hanging="711"/>
      </w:pPr>
      <w:rPr>
        <w:rFonts w:hint="default"/>
      </w:rPr>
    </w:lvl>
    <w:lvl w:ilvl="8">
      <w:numFmt w:val="bullet"/>
      <w:lvlText w:val="•"/>
      <w:lvlJc w:val="left"/>
      <w:pPr>
        <w:ind w:left="7510" w:hanging="711"/>
      </w:pPr>
      <w:rPr>
        <w:rFonts w:hint="default"/>
      </w:rPr>
    </w:lvl>
  </w:abstractNum>
  <w:abstractNum w:abstractNumId="5">
    <w:nsid w:val="5AF23E7B"/>
    <w:multiLevelType w:val="hybridMultilevel"/>
    <w:tmpl w:val="74BE0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F55A42"/>
    <w:multiLevelType w:val="hybridMultilevel"/>
    <w:tmpl w:val="8E0E37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158256E"/>
    <w:multiLevelType w:val="multilevel"/>
    <w:tmpl w:val="57769F52"/>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43057C8"/>
    <w:multiLevelType w:val="hybridMultilevel"/>
    <w:tmpl w:val="17D6B31E"/>
    <w:lvl w:ilvl="0" w:tplc="63DED3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97C049A"/>
    <w:multiLevelType w:val="hybridMultilevel"/>
    <w:tmpl w:val="84EE0D90"/>
    <w:lvl w:ilvl="0" w:tplc="041F000D">
      <w:start w:val="1"/>
      <w:numFmt w:val="bullet"/>
      <w:lvlText w:val=""/>
      <w:lvlJc w:val="left"/>
      <w:pPr>
        <w:ind w:left="1080"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7C62810"/>
    <w:multiLevelType w:val="multilevel"/>
    <w:tmpl w:val="034E0720"/>
    <w:lvl w:ilvl="0">
      <w:start w:val="4"/>
      <w:numFmt w:val="decimal"/>
      <w:lvlText w:val="%1"/>
      <w:lvlJc w:val="left"/>
      <w:pPr>
        <w:ind w:left="1002" w:hanging="454"/>
      </w:pPr>
      <w:rPr>
        <w:rFonts w:hint="default"/>
      </w:rPr>
    </w:lvl>
    <w:lvl w:ilvl="1">
      <w:start w:val="1"/>
      <w:numFmt w:val="decimal"/>
      <w:lvlText w:val="%1.%2."/>
      <w:lvlJc w:val="left"/>
      <w:pPr>
        <w:ind w:left="1002" w:hanging="454"/>
      </w:pPr>
      <w:rPr>
        <w:rFonts w:ascii="Times New Roman" w:eastAsia="Times New Roman" w:hAnsi="Times New Roman" w:cs="Times New Roman" w:hint="default"/>
        <w:b/>
        <w:bCs/>
        <w:w w:val="99"/>
        <w:sz w:val="26"/>
        <w:szCs w:val="26"/>
      </w:rPr>
    </w:lvl>
    <w:lvl w:ilvl="2">
      <w:start w:val="1"/>
      <w:numFmt w:val="decimal"/>
      <w:lvlText w:val="%1.%2.%3."/>
      <w:lvlJc w:val="left"/>
      <w:pPr>
        <w:ind w:left="1196" w:hanging="648"/>
      </w:pPr>
      <w:rPr>
        <w:rFonts w:ascii="Times New Roman" w:eastAsia="Times New Roman" w:hAnsi="Times New Roman" w:cs="Times New Roman" w:hint="default"/>
        <w:b/>
        <w:bCs/>
        <w:w w:val="99"/>
        <w:sz w:val="26"/>
        <w:szCs w:val="26"/>
      </w:rPr>
    </w:lvl>
    <w:lvl w:ilvl="3">
      <w:numFmt w:val="bullet"/>
      <w:lvlText w:val=""/>
      <w:lvlJc w:val="left"/>
      <w:pPr>
        <w:ind w:left="1542" w:hanging="711"/>
      </w:pPr>
      <w:rPr>
        <w:rFonts w:ascii="Symbol" w:eastAsia="Symbol" w:hAnsi="Symbol" w:cs="Symbol" w:hint="default"/>
        <w:w w:val="100"/>
        <w:sz w:val="24"/>
        <w:szCs w:val="24"/>
      </w:rPr>
    </w:lvl>
    <w:lvl w:ilvl="4">
      <w:numFmt w:val="bullet"/>
      <w:lvlText w:val="•"/>
      <w:lvlJc w:val="left"/>
      <w:pPr>
        <w:ind w:left="3530" w:hanging="711"/>
      </w:pPr>
      <w:rPr>
        <w:rFonts w:hint="default"/>
      </w:rPr>
    </w:lvl>
    <w:lvl w:ilvl="5">
      <w:numFmt w:val="bullet"/>
      <w:lvlText w:val="•"/>
      <w:lvlJc w:val="left"/>
      <w:pPr>
        <w:ind w:left="4525" w:hanging="711"/>
      </w:pPr>
      <w:rPr>
        <w:rFonts w:hint="default"/>
      </w:rPr>
    </w:lvl>
    <w:lvl w:ilvl="6">
      <w:numFmt w:val="bullet"/>
      <w:lvlText w:val="•"/>
      <w:lvlJc w:val="left"/>
      <w:pPr>
        <w:ind w:left="5520" w:hanging="711"/>
      </w:pPr>
      <w:rPr>
        <w:rFonts w:hint="default"/>
      </w:rPr>
    </w:lvl>
    <w:lvl w:ilvl="7">
      <w:numFmt w:val="bullet"/>
      <w:lvlText w:val="•"/>
      <w:lvlJc w:val="left"/>
      <w:pPr>
        <w:ind w:left="6515" w:hanging="711"/>
      </w:pPr>
      <w:rPr>
        <w:rFonts w:hint="default"/>
      </w:rPr>
    </w:lvl>
    <w:lvl w:ilvl="8">
      <w:numFmt w:val="bullet"/>
      <w:lvlText w:val="•"/>
      <w:lvlJc w:val="left"/>
      <w:pPr>
        <w:ind w:left="7510" w:hanging="711"/>
      </w:pPr>
      <w:rPr>
        <w:rFonts w:hint="default"/>
      </w:rPr>
    </w:lvl>
  </w:abstractNum>
  <w:num w:numId="1">
    <w:abstractNumId w:val="6"/>
  </w:num>
  <w:num w:numId="2">
    <w:abstractNumId w:val="3"/>
  </w:num>
  <w:num w:numId="3">
    <w:abstractNumId w:val="2"/>
  </w:num>
  <w:num w:numId="4">
    <w:abstractNumId w:val="1"/>
  </w:num>
  <w:num w:numId="5">
    <w:abstractNumId w:val="0"/>
  </w:num>
  <w:num w:numId="6">
    <w:abstractNumId w:val="8"/>
  </w:num>
  <w:num w:numId="7">
    <w:abstractNumId w:val="9"/>
  </w:num>
  <w:num w:numId="8">
    <w:abstractNumId w:val="7"/>
  </w:num>
  <w:num w:numId="9">
    <w:abstractNumId w:val="5"/>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hdrShapeDefaults>
    <o:shapedefaults v:ext="edit" spidmax="5122"/>
  </w:hdrShapeDefaults>
  <w:footnotePr>
    <w:numRestart w:val="eachPage"/>
    <w:footnote w:id="-1"/>
    <w:footnote w:id="0"/>
  </w:footnotePr>
  <w:endnotePr>
    <w:endnote w:id="-1"/>
    <w:endnote w:id="0"/>
  </w:endnotePr>
  <w:compat/>
  <w:rsids>
    <w:rsidRoot w:val="00E975E6"/>
    <w:rsid w:val="00001AE4"/>
    <w:rsid w:val="00014377"/>
    <w:rsid w:val="00016738"/>
    <w:rsid w:val="0001675F"/>
    <w:rsid w:val="000230AD"/>
    <w:rsid w:val="00025D4F"/>
    <w:rsid w:val="00030616"/>
    <w:rsid w:val="0003150A"/>
    <w:rsid w:val="0003249A"/>
    <w:rsid w:val="00063F32"/>
    <w:rsid w:val="0007186E"/>
    <w:rsid w:val="000731DE"/>
    <w:rsid w:val="00077885"/>
    <w:rsid w:val="00084161"/>
    <w:rsid w:val="000A091D"/>
    <w:rsid w:val="000B1D2A"/>
    <w:rsid w:val="000B5554"/>
    <w:rsid w:val="000B7EAA"/>
    <w:rsid w:val="000D1B38"/>
    <w:rsid w:val="00106CC1"/>
    <w:rsid w:val="001102F7"/>
    <w:rsid w:val="0011386D"/>
    <w:rsid w:val="0011700D"/>
    <w:rsid w:val="00147F11"/>
    <w:rsid w:val="00152F01"/>
    <w:rsid w:val="00156CE8"/>
    <w:rsid w:val="00173226"/>
    <w:rsid w:val="00176F37"/>
    <w:rsid w:val="00177DBD"/>
    <w:rsid w:val="001A66AE"/>
    <w:rsid w:val="001C0208"/>
    <w:rsid w:val="001D450A"/>
    <w:rsid w:val="001D4937"/>
    <w:rsid w:val="001D4DE9"/>
    <w:rsid w:val="001E01BC"/>
    <w:rsid w:val="001E0813"/>
    <w:rsid w:val="001E108D"/>
    <w:rsid w:val="001F3584"/>
    <w:rsid w:val="001F4233"/>
    <w:rsid w:val="002021D7"/>
    <w:rsid w:val="002141E5"/>
    <w:rsid w:val="0022506B"/>
    <w:rsid w:val="00233294"/>
    <w:rsid w:val="00260708"/>
    <w:rsid w:val="00262D65"/>
    <w:rsid w:val="00266DBE"/>
    <w:rsid w:val="00284809"/>
    <w:rsid w:val="002B01E7"/>
    <w:rsid w:val="002E28D9"/>
    <w:rsid w:val="00304BE5"/>
    <w:rsid w:val="00313C5E"/>
    <w:rsid w:val="00332174"/>
    <w:rsid w:val="003579C4"/>
    <w:rsid w:val="003655FA"/>
    <w:rsid w:val="0037044E"/>
    <w:rsid w:val="00374380"/>
    <w:rsid w:val="0038475F"/>
    <w:rsid w:val="00384988"/>
    <w:rsid w:val="003937B8"/>
    <w:rsid w:val="003A20EC"/>
    <w:rsid w:val="003C03C5"/>
    <w:rsid w:val="003C2A6D"/>
    <w:rsid w:val="003C48D4"/>
    <w:rsid w:val="003E6573"/>
    <w:rsid w:val="003F09BA"/>
    <w:rsid w:val="00424220"/>
    <w:rsid w:val="0042645F"/>
    <w:rsid w:val="004412B6"/>
    <w:rsid w:val="0045149F"/>
    <w:rsid w:val="004811B9"/>
    <w:rsid w:val="0048279A"/>
    <w:rsid w:val="004A4214"/>
    <w:rsid w:val="004B4BCB"/>
    <w:rsid w:val="004C277A"/>
    <w:rsid w:val="004C4B9A"/>
    <w:rsid w:val="004C6DDF"/>
    <w:rsid w:val="004D775F"/>
    <w:rsid w:val="004E240C"/>
    <w:rsid w:val="004F2CFD"/>
    <w:rsid w:val="00521674"/>
    <w:rsid w:val="00523D92"/>
    <w:rsid w:val="00525CFC"/>
    <w:rsid w:val="00530685"/>
    <w:rsid w:val="00553897"/>
    <w:rsid w:val="0055469E"/>
    <w:rsid w:val="00556998"/>
    <w:rsid w:val="00564B7B"/>
    <w:rsid w:val="00572AF6"/>
    <w:rsid w:val="00590C08"/>
    <w:rsid w:val="00591E95"/>
    <w:rsid w:val="005B1229"/>
    <w:rsid w:val="005C0D41"/>
    <w:rsid w:val="005C3EBF"/>
    <w:rsid w:val="005C536D"/>
    <w:rsid w:val="005C78F8"/>
    <w:rsid w:val="005D074A"/>
    <w:rsid w:val="005E2208"/>
    <w:rsid w:val="005E4912"/>
    <w:rsid w:val="005F1C0D"/>
    <w:rsid w:val="006002E3"/>
    <w:rsid w:val="00603BB4"/>
    <w:rsid w:val="00634E70"/>
    <w:rsid w:val="00635DBF"/>
    <w:rsid w:val="00645B8C"/>
    <w:rsid w:val="006C3838"/>
    <w:rsid w:val="006D39F1"/>
    <w:rsid w:val="006F6375"/>
    <w:rsid w:val="006F6898"/>
    <w:rsid w:val="00703074"/>
    <w:rsid w:val="00717449"/>
    <w:rsid w:val="007260FB"/>
    <w:rsid w:val="00732CB2"/>
    <w:rsid w:val="00733A05"/>
    <w:rsid w:val="0073762E"/>
    <w:rsid w:val="00741CCA"/>
    <w:rsid w:val="007427AC"/>
    <w:rsid w:val="007556CB"/>
    <w:rsid w:val="00765559"/>
    <w:rsid w:val="0077344C"/>
    <w:rsid w:val="00774919"/>
    <w:rsid w:val="0078231C"/>
    <w:rsid w:val="00794251"/>
    <w:rsid w:val="007A1180"/>
    <w:rsid w:val="007A1200"/>
    <w:rsid w:val="007A6A6D"/>
    <w:rsid w:val="007B054E"/>
    <w:rsid w:val="007E26CC"/>
    <w:rsid w:val="007F0EEB"/>
    <w:rsid w:val="00835241"/>
    <w:rsid w:val="008665B4"/>
    <w:rsid w:val="008723F0"/>
    <w:rsid w:val="00891026"/>
    <w:rsid w:val="00893180"/>
    <w:rsid w:val="00894980"/>
    <w:rsid w:val="008B2D4F"/>
    <w:rsid w:val="008D6717"/>
    <w:rsid w:val="008E4505"/>
    <w:rsid w:val="008F4488"/>
    <w:rsid w:val="00900DA4"/>
    <w:rsid w:val="00904DCD"/>
    <w:rsid w:val="00910E71"/>
    <w:rsid w:val="00933D06"/>
    <w:rsid w:val="00943D5F"/>
    <w:rsid w:val="009445E4"/>
    <w:rsid w:val="0095697A"/>
    <w:rsid w:val="00975C3D"/>
    <w:rsid w:val="009863BF"/>
    <w:rsid w:val="009B5D59"/>
    <w:rsid w:val="009B61F0"/>
    <w:rsid w:val="009D50D6"/>
    <w:rsid w:val="009D7E02"/>
    <w:rsid w:val="009F2B7C"/>
    <w:rsid w:val="009F3BF1"/>
    <w:rsid w:val="00A003C4"/>
    <w:rsid w:val="00A020E7"/>
    <w:rsid w:val="00A032A9"/>
    <w:rsid w:val="00A06471"/>
    <w:rsid w:val="00A2039E"/>
    <w:rsid w:val="00A22FBA"/>
    <w:rsid w:val="00A62071"/>
    <w:rsid w:val="00A73F1E"/>
    <w:rsid w:val="00A87D7E"/>
    <w:rsid w:val="00A94A73"/>
    <w:rsid w:val="00AA34CF"/>
    <w:rsid w:val="00AC31F8"/>
    <w:rsid w:val="00AD742E"/>
    <w:rsid w:val="00AE1C09"/>
    <w:rsid w:val="00AE33CB"/>
    <w:rsid w:val="00AE3A57"/>
    <w:rsid w:val="00B0619E"/>
    <w:rsid w:val="00B23E4F"/>
    <w:rsid w:val="00B240AD"/>
    <w:rsid w:val="00B325E2"/>
    <w:rsid w:val="00B338C8"/>
    <w:rsid w:val="00B371D8"/>
    <w:rsid w:val="00B445D2"/>
    <w:rsid w:val="00B8097C"/>
    <w:rsid w:val="00B822B3"/>
    <w:rsid w:val="00BA10F5"/>
    <w:rsid w:val="00BA1D33"/>
    <w:rsid w:val="00BB1EFB"/>
    <w:rsid w:val="00BB29B0"/>
    <w:rsid w:val="00BB5383"/>
    <w:rsid w:val="00BD54D5"/>
    <w:rsid w:val="00BE37CE"/>
    <w:rsid w:val="00BE538E"/>
    <w:rsid w:val="00BF23B2"/>
    <w:rsid w:val="00C03479"/>
    <w:rsid w:val="00C13D83"/>
    <w:rsid w:val="00C163F6"/>
    <w:rsid w:val="00C16D55"/>
    <w:rsid w:val="00C30B2E"/>
    <w:rsid w:val="00C41F12"/>
    <w:rsid w:val="00C45D8B"/>
    <w:rsid w:val="00C73318"/>
    <w:rsid w:val="00CC185A"/>
    <w:rsid w:val="00CD752E"/>
    <w:rsid w:val="00CE0859"/>
    <w:rsid w:val="00CE5536"/>
    <w:rsid w:val="00CE773E"/>
    <w:rsid w:val="00CF701E"/>
    <w:rsid w:val="00D04D9D"/>
    <w:rsid w:val="00D220A6"/>
    <w:rsid w:val="00D46608"/>
    <w:rsid w:val="00D50E59"/>
    <w:rsid w:val="00D579E7"/>
    <w:rsid w:val="00D6799B"/>
    <w:rsid w:val="00D81B9B"/>
    <w:rsid w:val="00D867E9"/>
    <w:rsid w:val="00D87172"/>
    <w:rsid w:val="00D94753"/>
    <w:rsid w:val="00DC5AAD"/>
    <w:rsid w:val="00DC680D"/>
    <w:rsid w:val="00DE1FA2"/>
    <w:rsid w:val="00DE50B1"/>
    <w:rsid w:val="00DE5820"/>
    <w:rsid w:val="00DF0259"/>
    <w:rsid w:val="00DF4AB3"/>
    <w:rsid w:val="00E01908"/>
    <w:rsid w:val="00E03A88"/>
    <w:rsid w:val="00E04B33"/>
    <w:rsid w:val="00E06902"/>
    <w:rsid w:val="00E123B0"/>
    <w:rsid w:val="00E17CD3"/>
    <w:rsid w:val="00E37434"/>
    <w:rsid w:val="00E42F7C"/>
    <w:rsid w:val="00E4333F"/>
    <w:rsid w:val="00E43C62"/>
    <w:rsid w:val="00E73676"/>
    <w:rsid w:val="00E82DCD"/>
    <w:rsid w:val="00E853A4"/>
    <w:rsid w:val="00E93446"/>
    <w:rsid w:val="00E975E6"/>
    <w:rsid w:val="00EA79E6"/>
    <w:rsid w:val="00EB4254"/>
    <w:rsid w:val="00EB5B55"/>
    <w:rsid w:val="00ED6D17"/>
    <w:rsid w:val="00ED77C3"/>
    <w:rsid w:val="00EE2EE6"/>
    <w:rsid w:val="00EE576F"/>
    <w:rsid w:val="00F20F9C"/>
    <w:rsid w:val="00F21AE2"/>
    <w:rsid w:val="00F37522"/>
    <w:rsid w:val="00F404F4"/>
    <w:rsid w:val="00F52D33"/>
    <w:rsid w:val="00F63E4D"/>
    <w:rsid w:val="00F7355D"/>
    <w:rsid w:val="00F86836"/>
    <w:rsid w:val="00FA3810"/>
    <w:rsid w:val="00FA6F77"/>
    <w:rsid w:val="00FB2AF4"/>
    <w:rsid w:val="00FD7C69"/>
    <w:rsid w:val="00FE04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C5"/>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
    <w:basedOn w:val="Normal"/>
    <w:link w:val="DipnotMetniChar"/>
    <w:uiPriority w:val="99"/>
    <w:rsid w:val="003C03C5"/>
    <w:rPr>
      <w:sz w:val="20"/>
      <w:szCs w:val="20"/>
      <w:lang/>
    </w:rPr>
  </w:style>
  <w:style w:type="character" w:customStyle="1" w:styleId="DipnotMetniChar">
    <w:name w:val="Dipnot Metni Char"/>
    <w:aliases w:val="Dipnot Metni Char Char Char Char"/>
    <w:link w:val="DipnotMetni"/>
    <w:uiPriority w:val="99"/>
    <w:rsid w:val="003C03C5"/>
    <w:rPr>
      <w:rFonts w:ascii="Times New Roman" w:eastAsia="Times New Roman" w:hAnsi="Times New Roman" w:cs="Times New Roman"/>
      <w:sz w:val="20"/>
      <w:szCs w:val="20"/>
      <w:lang/>
    </w:rPr>
  </w:style>
  <w:style w:type="character" w:styleId="DipnotBavurusu">
    <w:name w:val="footnote reference"/>
    <w:uiPriority w:val="99"/>
    <w:rsid w:val="003C03C5"/>
    <w:rPr>
      <w:rFonts w:cs="Times New Roman"/>
      <w:vertAlign w:val="superscript"/>
    </w:rPr>
  </w:style>
  <w:style w:type="character" w:styleId="Kpr">
    <w:name w:val="Hyperlink"/>
    <w:rsid w:val="003C03C5"/>
    <w:rPr>
      <w:rFonts w:cs="Times New Roman"/>
      <w:color w:val="0000FF"/>
      <w:u w:val="none"/>
      <w:effect w:val="none"/>
    </w:rPr>
  </w:style>
  <w:style w:type="paragraph" w:styleId="ListeParagraf">
    <w:name w:val="List Paragraph"/>
    <w:basedOn w:val="Normal"/>
    <w:uiPriority w:val="1"/>
    <w:qFormat/>
    <w:rsid w:val="003C03C5"/>
    <w:pPr>
      <w:ind w:left="720"/>
      <w:contextualSpacing/>
    </w:pPr>
    <w:rPr>
      <w:rFonts w:ascii="Calibri" w:hAnsi="Calibri"/>
      <w:sz w:val="22"/>
      <w:szCs w:val="22"/>
      <w:lang w:eastAsia="en-US"/>
    </w:rPr>
  </w:style>
  <w:style w:type="paragraph" w:styleId="stbilgi">
    <w:name w:val="header"/>
    <w:basedOn w:val="Normal"/>
    <w:link w:val="stbilgiChar"/>
    <w:uiPriority w:val="99"/>
    <w:unhideWhenUsed/>
    <w:rsid w:val="00AC31F8"/>
    <w:pPr>
      <w:tabs>
        <w:tab w:val="center" w:pos="4536"/>
        <w:tab w:val="right" w:pos="9072"/>
      </w:tabs>
    </w:pPr>
  </w:style>
  <w:style w:type="character" w:customStyle="1" w:styleId="stbilgiChar">
    <w:name w:val="Üstbilgi Char"/>
    <w:link w:val="stbilgi"/>
    <w:uiPriority w:val="99"/>
    <w:rsid w:val="00AC31F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C31F8"/>
    <w:pPr>
      <w:tabs>
        <w:tab w:val="center" w:pos="4536"/>
        <w:tab w:val="right" w:pos="9072"/>
      </w:tabs>
    </w:pPr>
  </w:style>
  <w:style w:type="character" w:customStyle="1" w:styleId="AltbilgiChar">
    <w:name w:val="Altbilgi Char"/>
    <w:link w:val="Altbilgi"/>
    <w:uiPriority w:val="99"/>
    <w:rsid w:val="00AC31F8"/>
    <w:rPr>
      <w:rFonts w:ascii="Times New Roman" w:eastAsia="Times New Roman" w:hAnsi="Times New Roman" w:cs="Times New Roman"/>
      <w:sz w:val="24"/>
      <w:szCs w:val="24"/>
      <w:lang w:eastAsia="tr-TR"/>
    </w:rPr>
  </w:style>
  <w:style w:type="paragraph" w:styleId="ResimYazs">
    <w:name w:val="caption"/>
    <w:basedOn w:val="Normal"/>
    <w:next w:val="Normal"/>
    <w:uiPriority w:val="35"/>
    <w:unhideWhenUsed/>
    <w:qFormat/>
    <w:rsid w:val="001E01BC"/>
    <w:pPr>
      <w:spacing w:after="200"/>
    </w:pPr>
    <w:rPr>
      <w:rFonts w:asciiTheme="minorHAnsi" w:eastAsiaTheme="minorHAnsi" w:hAnsiTheme="minorHAnsi" w:cstheme="minorBidi"/>
      <w:i/>
      <w:iCs/>
      <w:color w:val="44546A" w:themeColor="text2"/>
      <w:sz w:val="18"/>
      <w:szCs w:val="18"/>
      <w:lang w:val="en-US" w:eastAsia="en-US"/>
    </w:rPr>
  </w:style>
  <w:style w:type="table" w:customStyle="1" w:styleId="KlavuzTablo2-Vurgu51">
    <w:name w:val="Kılavuz Tablo 2 - Vurgu 51"/>
    <w:basedOn w:val="NormalTablo"/>
    <w:uiPriority w:val="47"/>
    <w:rsid w:val="001E01BC"/>
    <w:rPr>
      <w:rFonts w:asciiTheme="minorHAnsi" w:eastAsiaTheme="minorHAnsi" w:hAnsiTheme="minorHAnsi" w:cstheme="minorBidi"/>
      <w:sz w:val="22"/>
      <w:szCs w:val="22"/>
      <w:lang w:val="en-US" w:eastAsia="en-US"/>
    </w:r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DzTablo41">
    <w:name w:val="Düz Tablo 41"/>
    <w:basedOn w:val="NormalTablo"/>
    <w:uiPriority w:val="44"/>
    <w:rsid w:val="001E01BC"/>
    <w:rPr>
      <w:rFonts w:asciiTheme="minorHAnsi" w:eastAsiaTheme="minorHAnsi" w:hAnsiTheme="minorHAnsi" w:cstheme="minorBid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GvdeMetni">
    <w:name w:val="Body Text"/>
    <w:basedOn w:val="Normal"/>
    <w:link w:val="GvdeMetniChar"/>
    <w:uiPriority w:val="1"/>
    <w:qFormat/>
    <w:rsid w:val="001E01BC"/>
    <w:pPr>
      <w:widowControl w:val="0"/>
    </w:pPr>
    <w:rPr>
      <w:lang w:val="en-US" w:eastAsia="en-US"/>
    </w:rPr>
  </w:style>
  <w:style w:type="character" w:customStyle="1" w:styleId="GvdeMetniChar">
    <w:name w:val="Gövde Metni Char"/>
    <w:basedOn w:val="VarsaylanParagrafYazTipi"/>
    <w:link w:val="GvdeMetni"/>
    <w:uiPriority w:val="1"/>
    <w:rsid w:val="001E01BC"/>
    <w:rPr>
      <w:rFonts w:ascii="Times New Roman" w:eastAsia="Times New Roman" w:hAnsi="Times New Roman"/>
      <w:sz w:val="24"/>
      <w:szCs w:val="24"/>
      <w:lang w:val="en-US" w:eastAsia="en-US"/>
    </w:rPr>
  </w:style>
  <w:style w:type="table" w:customStyle="1" w:styleId="ListeTablo1Ak-Vurgu51">
    <w:name w:val="Liste Tablo 1 Açık - Vurgu 51"/>
    <w:basedOn w:val="NormalTablo"/>
    <w:uiPriority w:val="46"/>
    <w:rsid w:val="001E01BC"/>
    <w:rPr>
      <w:rFonts w:asciiTheme="minorHAnsi" w:eastAsiaTheme="minorHAnsi" w:hAnsiTheme="minorHAnsi" w:cstheme="minorBidi"/>
      <w:sz w:val="22"/>
      <w:szCs w:val="22"/>
      <w:lang w:val="en-US"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DzTablo21">
    <w:name w:val="Düz Tablo 21"/>
    <w:basedOn w:val="NormalTablo"/>
    <w:uiPriority w:val="42"/>
    <w:rsid w:val="001E01BC"/>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
    <w:name w:val="Table Normal"/>
    <w:uiPriority w:val="2"/>
    <w:semiHidden/>
    <w:unhideWhenUsed/>
    <w:qFormat/>
    <w:rsid w:val="001E01B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01BC"/>
    <w:pPr>
      <w:widowControl w:val="0"/>
      <w:spacing w:before="115"/>
    </w:pPr>
    <w:rPr>
      <w:sz w:val="22"/>
      <w:szCs w:val="22"/>
      <w:lang w:val="en-US" w:eastAsia="en-US"/>
    </w:rPr>
  </w:style>
  <w:style w:type="character" w:styleId="AklamaBavurusu">
    <w:name w:val="annotation reference"/>
    <w:basedOn w:val="VarsaylanParagrafYazTipi"/>
    <w:uiPriority w:val="99"/>
    <w:semiHidden/>
    <w:unhideWhenUsed/>
    <w:rsid w:val="00C03479"/>
    <w:rPr>
      <w:sz w:val="16"/>
      <w:szCs w:val="16"/>
    </w:rPr>
  </w:style>
  <w:style w:type="paragraph" w:styleId="AklamaMetni">
    <w:name w:val="annotation text"/>
    <w:basedOn w:val="Normal"/>
    <w:link w:val="AklamaMetniChar"/>
    <w:uiPriority w:val="99"/>
    <w:semiHidden/>
    <w:unhideWhenUsed/>
    <w:rsid w:val="00C03479"/>
    <w:rPr>
      <w:sz w:val="20"/>
      <w:szCs w:val="20"/>
    </w:rPr>
  </w:style>
  <w:style w:type="character" w:customStyle="1" w:styleId="AklamaMetniChar">
    <w:name w:val="Açıklama Metni Char"/>
    <w:basedOn w:val="VarsaylanParagrafYazTipi"/>
    <w:link w:val="AklamaMetni"/>
    <w:uiPriority w:val="99"/>
    <w:semiHidden/>
    <w:rsid w:val="00C03479"/>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C03479"/>
    <w:rPr>
      <w:b/>
      <w:bCs/>
    </w:rPr>
  </w:style>
  <w:style w:type="character" w:customStyle="1" w:styleId="AklamaKonusuChar">
    <w:name w:val="Açıklama Konusu Char"/>
    <w:basedOn w:val="AklamaMetniChar"/>
    <w:link w:val="AklamaKonusu"/>
    <w:uiPriority w:val="99"/>
    <w:semiHidden/>
    <w:rsid w:val="00C03479"/>
    <w:rPr>
      <w:rFonts w:ascii="Times New Roman" w:eastAsia="Times New Roman" w:hAnsi="Times New Roman"/>
      <w:b/>
      <w:bCs/>
    </w:rPr>
  </w:style>
  <w:style w:type="paragraph" w:styleId="BalonMetni">
    <w:name w:val="Balloon Text"/>
    <w:basedOn w:val="Normal"/>
    <w:link w:val="BalonMetniChar"/>
    <w:uiPriority w:val="99"/>
    <w:semiHidden/>
    <w:unhideWhenUsed/>
    <w:rsid w:val="00C0347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03479"/>
    <w:rPr>
      <w:rFonts w:ascii="Segoe UI" w:eastAsia="Times New Roman" w:hAnsi="Segoe UI" w:cs="Segoe UI"/>
      <w:sz w:val="18"/>
      <w:szCs w:val="18"/>
    </w:rPr>
  </w:style>
  <w:style w:type="paragraph" w:styleId="NormalWeb">
    <w:name w:val="Normal (Web)"/>
    <w:basedOn w:val="Normal"/>
    <w:uiPriority w:val="99"/>
    <w:semiHidden/>
    <w:unhideWhenUsed/>
    <w:rsid w:val="005D07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4175524">
      <w:bodyDiv w:val="1"/>
      <w:marLeft w:val="0"/>
      <w:marRight w:val="0"/>
      <w:marTop w:val="0"/>
      <w:marBottom w:val="0"/>
      <w:divBdr>
        <w:top w:val="none" w:sz="0" w:space="0" w:color="auto"/>
        <w:left w:val="none" w:sz="0" w:space="0" w:color="auto"/>
        <w:bottom w:val="none" w:sz="0" w:space="0" w:color="auto"/>
        <w:right w:val="none" w:sz="0" w:space="0" w:color="auto"/>
      </w:divBdr>
    </w:div>
    <w:div w:id="1301227536">
      <w:bodyDiv w:val="1"/>
      <w:marLeft w:val="0"/>
      <w:marRight w:val="0"/>
      <w:marTop w:val="0"/>
      <w:marBottom w:val="0"/>
      <w:divBdr>
        <w:top w:val="none" w:sz="0" w:space="0" w:color="auto"/>
        <w:left w:val="none" w:sz="0" w:space="0" w:color="auto"/>
        <w:bottom w:val="none" w:sz="0" w:space="0" w:color="auto"/>
        <w:right w:val="none" w:sz="0" w:space="0" w:color="auto"/>
      </w:divBdr>
    </w:div>
    <w:div w:id="19660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tdk.gov.tr/index.php?option=com_gts&amp;arama=gts&amp;guid=TDK.GTS.59efd0cec6fe85.5769458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z.yok.gov.tr/UlusalTezMerkez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zuat.gov.tr/Metin.Aspx?MevzuatKod=7.5.21510&amp;MevzuatIliski=0&amp;sourceXmlSear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50"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_sem\Desktop\Hawkar%20veril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_sem\Desktop\Hawkar%20veril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_sem\Desktop\Hawkar%20veril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col"/>
        <c:grouping val="stacked"/>
        <c:ser>
          <c:idx val="0"/>
          <c:order val="0"/>
          <c:tx>
            <c:strRef>
              <c:f>Sayfa11!$B$1</c:f>
              <c:strCache>
                <c:ptCount val="1"/>
                <c:pt idx="0">
                  <c:v>Yüksek Lisans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Sayfa11!$A$2:$A$17</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Sayfa11!$B$2:$B$17</c:f>
              <c:numCache>
                <c:formatCode>General</c:formatCode>
                <c:ptCount val="16"/>
                <c:pt idx="2">
                  <c:v>1</c:v>
                </c:pt>
                <c:pt idx="3">
                  <c:v>2</c:v>
                </c:pt>
                <c:pt idx="4">
                  <c:v>4</c:v>
                </c:pt>
                <c:pt idx="6">
                  <c:v>2</c:v>
                </c:pt>
                <c:pt idx="7">
                  <c:v>1</c:v>
                </c:pt>
                <c:pt idx="9">
                  <c:v>3</c:v>
                </c:pt>
                <c:pt idx="10">
                  <c:v>3</c:v>
                </c:pt>
                <c:pt idx="11">
                  <c:v>1</c:v>
                </c:pt>
                <c:pt idx="12">
                  <c:v>3</c:v>
                </c:pt>
                <c:pt idx="13">
                  <c:v>1</c:v>
                </c:pt>
                <c:pt idx="15">
                  <c:v>1</c:v>
                </c:pt>
              </c:numCache>
            </c:numRef>
          </c:val>
        </c:ser>
        <c:ser>
          <c:idx val="1"/>
          <c:order val="1"/>
          <c:tx>
            <c:strRef>
              <c:f>Sayfa11!$C$1</c:f>
              <c:strCache>
                <c:ptCount val="1"/>
                <c:pt idx="0">
                  <c:v>Doktora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Sayfa11!$A$2:$A$17</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Sayfa11!$C$2:$C$17</c:f>
              <c:numCache>
                <c:formatCode>General</c:formatCode>
                <c:ptCount val="16"/>
                <c:pt idx="10">
                  <c:v>1</c:v>
                </c:pt>
              </c:numCache>
            </c:numRef>
          </c:val>
        </c:ser>
        <c:ser>
          <c:idx val="2"/>
          <c:order val="2"/>
          <c:tx>
            <c:strRef>
              <c:f>Sayfa11!$D$1</c:f>
              <c:strCache>
                <c:ptCount val="1"/>
                <c:pt idx="0">
                  <c:v>Sanatta Yeterlilik</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dLblPos val="ctr"/>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Sayfa11!$A$2:$A$17</c:f>
              <c:numCache>
                <c:formatCode>General</c:formatCode>
                <c:ptCount val="16"/>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numCache>
            </c:numRef>
          </c:cat>
          <c:val>
            <c:numRef>
              <c:f>Sayfa11!$D$2:$D$17</c:f>
              <c:numCache>
                <c:formatCode>General</c:formatCode>
                <c:ptCount val="16"/>
                <c:pt idx="0">
                  <c:v>1</c:v>
                </c:pt>
                <c:pt idx="8">
                  <c:v>1</c:v>
                </c:pt>
              </c:numCache>
            </c:numRef>
          </c:val>
        </c:ser>
        <c:dLbls>
          <c:showVal val="1"/>
        </c:dLbls>
        <c:overlap val="100"/>
        <c:axId val="123345152"/>
        <c:axId val="123355136"/>
      </c:barChart>
      <c:catAx>
        <c:axId val="123345152"/>
        <c:scaling>
          <c:orientation val="minMax"/>
        </c:scaling>
        <c:axPos val="b"/>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23355136"/>
        <c:crosses val="autoZero"/>
        <c:auto val="1"/>
        <c:lblAlgn val="ctr"/>
        <c:lblOffset val="100"/>
      </c:catAx>
      <c:valAx>
        <c:axId val="123355136"/>
        <c:scaling>
          <c:orientation val="minMax"/>
        </c:scaling>
        <c:axPos val="l"/>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crossAx val="1233451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autoTitleDeleted val="1"/>
    <c:plotArea>
      <c:layout/>
      <c:barChart>
        <c:barDir val="bar"/>
        <c:grouping val="stacked"/>
        <c:ser>
          <c:idx val="0"/>
          <c:order val="0"/>
          <c:tx>
            <c:strRef>
              <c:f>Sayfa12!$B$1</c:f>
              <c:strCache>
                <c:ptCount val="1"/>
                <c:pt idx="0">
                  <c:v>EĞİTİM BİLİMLERİ ENSTİTÜSÜ</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tr-TR"/>
              </a:p>
            </c:txPr>
            <c:dLblPos val="ctr"/>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Sayfa12!$A$2:$A$11</c:f>
              <c:strCache>
                <c:ptCount val="10"/>
                <c:pt idx="0">
                  <c:v>Haliç Üniversitesi</c:v>
                </c:pt>
                <c:pt idx="1">
                  <c:v>Dokuz Eylül Üniversitesi</c:v>
                </c:pt>
                <c:pt idx="2">
                  <c:v>Yıldız Teknik Üniversitesi</c:v>
                </c:pt>
                <c:pt idx="3">
                  <c:v>Atatürk Üniversitesi</c:v>
                </c:pt>
                <c:pt idx="4">
                  <c:v>Afyon Kocatepe Üniversitesi</c:v>
                </c:pt>
                <c:pt idx="5">
                  <c:v>Anadolu Üniversitesi</c:v>
                </c:pt>
                <c:pt idx="6">
                  <c:v>Gazi Üniversitesi</c:v>
                </c:pt>
                <c:pt idx="7">
                  <c:v>Trakya Üniversitesi</c:v>
                </c:pt>
                <c:pt idx="8">
                  <c:v>İstanbul Üniversitesi</c:v>
                </c:pt>
                <c:pt idx="9">
                  <c:v>Mimar Sinan Güzel Sanatlar Üniversitesi</c:v>
                </c:pt>
              </c:strCache>
            </c:strRef>
          </c:cat>
          <c:val>
            <c:numRef>
              <c:f>Sayfa12!$B$2:$B$11</c:f>
              <c:numCache>
                <c:formatCode>General</c:formatCode>
                <c:ptCount val="10"/>
                <c:pt idx="6">
                  <c:v>3</c:v>
                </c:pt>
              </c:numCache>
            </c:numRef>
          </c:val>
        </c:ser>
        <c:ser>
          <c:idx val="1"/>
          <c:order val="1"/>
          <c:tx>
            <c:strRef>
              <c:f>Sayfa12!$C$1</c:f>
              <c:strCache>
                <c:ptCount val="1"/>
                <c:pt idx="0">
                  <c:v>SOSYAL BİLİMLER ENSTİTÜSÜ</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tr-TR"/>
              </a:p>
            </c:txPr>
            <c:dLblPos val="ctr"/>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Sayfa12!$A$2:$A$11</c:f>
              <c:strCache>
                <c:ptCount val="10"/>
                <c:pt idx="0">
                  <c:v>Haliç Üniversitesi</c:v>
                </c:pt>
                <c:pt idx="1">
                  <c:v>Dokuz Eylül Üniversitesi</c:v>
                </c:pt>
                <c:pt idx="2">
                  <c:v>Yıldız Teknik Üniversitesi</c:v>
                </c:pt>
                <c:pt idx="3">
                  <c:v>Atatürk Üniversitesi</c:v>
                </c:pt>
                <c:pt idx="4">
                  <c:v>Afyon Kocatepe Üniversitesi</c:v>
                </c:pt>
                <c:pt idx="5">
                  <c:v>Anadolu Üniversitesi</c:v>
                </c:pt>
                <c:pt idx="6">
                  <c:v>Gazi Üniversitesi</c:v>
                </c:pt>
                <c:pt idx="7">
                  <c:v>Trakya Üniversitesi</c:v>
                </c:pt>
                <c:pt idx="8">
                  <c:v>İstanbul Üniversitesi</c:v>
                </c:pt>
                <c:pt idx="9">
                  <c:v>Mimar Sinan Güzel Sanatlar Üniversitesi</c:v>
                </c:pt>
              </c:strCache>
            </c:strRef>
          </c:cat>
          <c:val>
            <c:numRef>
              <c:f>Sayfa12!$C$2:$C$11</c:f>
              <c:numCache>
                <c:formatCode>General</c:formatCode>
                <c:ptCount val="10"/>
                <c:pt idx="0">
                  <c:v>1</c:v>
                </c:pt>
                <c:pt idx="2">
                  <c:v>1</c:v>
                </c:pt>
                <c:pt idx="4">
                  <c:v>2</c:v>
                </c:pt>
                <c:pt idx="5">
                  <c:v>2</c:v>
                </c:pt>
                <c:pt idx="7">
                  <c:v>4</c:v>
                </c:pt>
                <c:pt idx="8">
                  <c:v>5</c:v>
                </c:pt>
                <c:pt idx="9">
                  <c:v>5</c:v>
                </c:pt>
              </c:numCache>
            </c:numRef>
          </c:val>
        </c:ser>
        <c:ser>
          <c:idx val="2"/>
          <c:order val="2"/>
          <c:tx>
            <c:strRef>
              <c:f>Sayfa12!$D$1</c:f>
              <c:strCache>
                <c:ptCount val="1"/>
                <c:pt idx="0">
                  <c:v>GÜZEL SANATLAR ENSTİTÜSÜ</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tr-TR"/>
              </a:p>
            </c:txPr>
            <c:dLblPos val="ctr"/>
            <c:showVal val="1"/>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Sayfa12!$A$2:$A$11</c:f>
              <c:strCache>
                <c:ptCount val="10"/>
                <c:pt idx="0">
                  <c:v>Haliç Üniversitesi</c:v>
                </c:pt>
                <c:pt idx="1">
                  <c:v>Dokuz Eylül Üniversitesi</c:v>
                </c:pt>
                <c:pt idx="2">
                  <c:v>Yıldız Teknik Üniversitesi</c:v>
                </c:pt>
                <c:pt idx="3">
                  <c:v>Atatürk Üniversitesi</c:v>
                </c:pt>
                <c:pt idx="4">
                  <c:v>Afyon Kocatepe Üniversitesi</c:v>
                </c:pt>
                <c:pt idx="5">
                  <c:v>Anadolu Üniversitesi</c:v>
                </c:pt>
                <c:pt idx="6">
                  <c:v>Gazi Üniversitesi</c:v>
                </c:pt>
                <c:pt idx="7">
                  <c:v>Trakya Üniversitesi</c:v>
                </c:pt>
                <c:pt idx="8">
                  <c:v>İstanbul Üniversitesi</c:v>
                </c:pt>
                <c:pt idx="9">
                  <c:v>Mimar Sinan Güzel Sanatlar Üniversitesi</c:v>
                </c:pt>
              </c:strCache>
            </c:strRef>
          </c:cat>
          <c:val>
            <c:numRef>
              <c:f>Sayfa12!$D$2:$D$11</c:f>
              <c:numCache>
                <c:formatCode>General</c:formatCode>
                <c:ptCount val="10"/>
                <c:pt idx="1">
                  <c:v>1</c:v>
                </c:pt>
                <c:pt idx="3">
                  <c:v>1</c:v>
                </c:pt>
              </c:numCache>
            </c:numRef>
          </c:val>
        </c:ser>
        <c:dLbls>
          <c:showVal val="1"/>
        </c:dLbls>
        <c:overlap val="100"/>
        <c:axId val="136812416"/>
        <c:axId val="136818688"/>
      </c:barChart>
      <c:catAx>
        <c:axId val="136812416"/>
        <c:scaling>
          <c:orientation val="minMax"/>
        </c:scaling>
        <c:axPos val="l"/>
        <c:title>
          <c:tx>
            <c:rich>
              <a:bodyPr rot="-5400000" spcFirstLastPara="1" vertOverflow="ellipsis" vert="horz" wrap="square" anchor="ctr" anchorCtr="1"/>
              <a:lstStyle/>
              <a:p>
                <a:pPr>
                  <a:defRPr sz="800" b="1" i="0" u="none" strike="noStrike" kern="1200" cap="all" baseline="0">
                    <a:solidFill>
                      <a:schemeClr val="lt1">
                        <a:lumMod val="85000"/>
                      </a:schemeClr>
                    </a:solidFill>
                    <a:latin typeface="Times New Roman" panose="02020603050405020304" pitchFamily="18" charset="0"/>
                    <a:ea typeface="+mn-ea"/>
                    <a:cs typeface="Times New Roman" panose="02020603050405020304" pitchFamily="18" charset="0"/>
                  </a:defRPr>
                </a:pPr>
                <a:r>
                  <a:rPr lang="tr-TR"/>
                  <a:t>ÜNİVERSİTELER</a:t>
                </a:r>
              </a:p>
            </c:rich>
          </c:tx>
          <c:spPr>
            <a:noFill/>
            <a:ln>
              <a:noFill/>
            </a:ln>
            <a:effectLst/>
          </c:spPr>
        </c:title>
        <c:numFmt formatCode="General" sourceLinked="1"/>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8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tr-TR"/>
          </a:p>
        </c:txPr>
        <c:crossAx val="136818688"/>
        <c:crosses val="autoZero"/>
        <c:auto val="1"/>
        <c:lblAlgn val="ctr"/>
        <c:lblOffset val="100"/>
      </c:catAx>
      <c:valAx>
        <c:axId val="136818688"/>
        <c:scaling>
          <c:orientation val="minMax"/>
        </c:scaling>
        <c:axPos val="b"/>
        <c:majorGridlines>
          <c:spPr>
            <a:ln w="9525" cap="flat" cmpd="sng" algn="ctr">
              <a:solidFill>
                <a:schemeClr val="lt1">
                  <a:lumMod val="95000"/>
                  <a:alpha val="10000"/>
                </a:schemeClr>
              </a:solidFill>
              <a:round/>
            </a:ln>
            <a:effectLst/>
          </c:spPr>
        </c:majorGridlines>
        <c:title>
          <c:tx>
            <c:rich>
              <a:bodyPr rot="0" spcFirstLastPara="1" vertOverflow="ellipsis" vert="horz" wrap="square" anchor="ctr" anchorCtr="1"/>
              <a:lstStyle/>
              <a:p>
                <a:pPr>
                  <a:defRPr sz="800" b="1" i="0" u="none" strike="noStrike" kern="1200" cap="all" baseline="0">
                    <a:solidFill>
                      <a:schemeClr val="lt1">
                        <a:lumMod val="85000"/>
                      </a:schemeClr>
                    </a:solidFill>
                    <a:latin typeface="Times New Roman" panose="02020603050405020304" pitchFamily="18" charset="0"/>
                    <a:ea typeface="+mn-ea"/>
                    <a:cs typeface="Times New Roman" panose="02020603050405020304" pitchFamily="18" charset="0"/>
                  </a:defRPr>
                </a:pPr>
                <a:r>
                  <a:rPr lang="tr-TR"/>
                  <a:t>ENSTİTÜLER</a:t>
                </a:r>
              </a:p>
            </c:rich>
          </c:tx>
          <c:layout>
            <c:manualLayout>
              <c:xMode val="edge"/>
              <c:yMode val="edge"/>
              <c:x val="0.43831933508311466"/>
              <c:y val="0.8005548264800235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tr-TR"/>
          </a:p>
        </c:txPr>
        <c:crossAx val="136812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tr-TR"/>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sz="800">
          <a:latin typeface="Times New Roman" panose="02020603050405020304" pitchFamily="18" charset="0"/>
          <a:cs typeface="Times New Roman" panose="02020603050405020304" pitchFamily="18" charset="0"/>
        </a:defRPr>
      </a:pPr>
      <a:endParaRPr lang="tr-T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tr-TR"/>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dLbl>
              <c:idx val="0"/>
              <c:layout>
                <c:manualLayout>
                  <c:x val="5.0168194956643E-2"/>
                  <c:y val="4.0406253566130333E-2"/>
                </c:manualLayout>
              </c:layout>
              <c:showCatName val="1"/>
              <c:showPercent val="1"/>
              <c:extLst>
                <c:ext xmlns:c15="http://schemas.microsoft.com/office/drawing/2012/chart" uri="{CE6537A1-D6FC-4f65-9D91-7224C49458BB}"/>
              </c:extLst>
            </c:dLbl>
            <c:dLbl>
              <c:idx val="1"/>
              <c:layout>
                <c:manualLayout>
                  <c:x val="6.4480339878401322E-2"/>
                  <c:y val="-3.9548860740233574E-2"/>
                </c:manualLayout>
              </c:layout>
              <c:showCatName val="1"/>
              <c:showPercent val="1"/>
              <c:extLst>
                <c:ext xmlns:c15="http://schemas.microsoft.com/office/drawing/2012/chart" uri="{CE6537A1-D6FC-4f65-9D91-7224C49458BB}"/>
              </c:extLst>
            </c:dLbl>
            <c:dLbl>
              <c:idx val="2"/>
              <c:layout>
                <c:manualLayout>
                  <c:x val="1.6815135054320741E-2"/>
                  <c:y val="8.4885313248887304E-2"/>
                </c:manualLayout>
              </c:layout>
              <c:showCatName val="1"/>
              <c:showPercent val="1"/>
              <c:extLst>
                <c:ext xmlns:c15="http://schemas.microsoft.com/office/drawing/2012/chart" uri="{CE6537A1-D6FC-4f65-9D91-7224C49458BB}"/>
              </c:extLst>
            </c:dLbl>
            <c:dLbl>
              <c:idx val="3"/>
              <c:layout>
                <c:manualLayout>
                  <c:x val="-0.113066671650221"/>
                  <c:y val="4.1660770664536495E-2"/>
                </c:manualLayout>
              </c:layout>
              <c:showCatName val="1"/>
              <c:showPercent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CatName val="1"/>
            <c:showPercent val="1"/>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Sayfa6!$A$1:$A$5</c:f>
              <c:strCache>
                <c:ptCount val="4"/>
                <c:pt idx="0">
                  <c:v>Tarihsel Gelişim</c:v>
                </c:pt>
                <c:pt idx="1">
                  <c:v>Eser-Etüt-Metod Analizi</c:v>
                </c:pt>
                <c:pt idx="2">
                  <c:v>Kontrbas Eğitimi</c:v>
                </c:pt>
                <c:pt idx="3">
                  <c:v>Biyografi</c:v>
                </c:pt>
              </c:strCache>
            </c:strRef>
          </c:cat>
          <c:val>
            <c:numRef>
              <c:f>Sayfa6!$B$1:$B$5</c:f>
              <c:numCache>
                <c:formatCode>General</c:formatCode>
                <c:ptCount val="4"/>
                <c:pt idx="0">
                  <c:v>5</c:v>
                </c:pt>
                <c:pt idx="1">
                  <c:v>8</c:v>
                </c:pt>
                <c:pt idx="2">
                  <c:v>9</c:v>
                </c:pt>
                <c:pt idx="3">
                  <c:v>3</c:v>
                </c:pt>
              </c:numCache>
            </c:numRef>
          </c:val>
          <c:extLst/>
        </c:ser>
        <c:dLbls>
          <c:showCatName val="1"/>
          <c:showPercent val="1"/>
        </c:dLbls>
        <c:extLst>
          <c:ext xmlns:c15="http://schemas.microsoft.com/office/drawing/2012/chart" uri="{02D57815-91ED-43cb-92C2-25804820EDAC}">
            <c15:filteredPieSeries>
              <c15:ser>
                <c:idx val="1"/>
                <c:order val="1"/>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tr-TR"/>
                    </a:p>
                  </c:txP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uri="{CE6537A1-D6FC-4f65-9D91-7224C49458BB}"/>
                  </c:extLst>
                </c:dLbls>
                <c:cat>
                  <c:strRef>
                    <c:extLst>
                      <c:ext uri="{02D57815-91ED-43cb-92C2-25804820EDAC}">
                        <c15:formulaRef>
                          <c15:sqref>Sayfa6!$A$1:$A$5</c15:sqref>
                        </c15:formulaRef>
                      </c:ext>
                    </c:extLst>
                    <c:strCache>
                      <c:ptCount val="4"/>
                      <c:pt idx="0">
                        <c:v>Tarihsel Gelişim</c:v>
                      </c:pt>
                      <c:pt idx="1">
                        <c:v>Eser-Etüt-Metod Analizi</c:v>
                      </c:pt>
                      <c:pt idx="2">
                        <c:v>Kontrbas Eğitimi</c:v>
                      </c:pt>
                      <c:pt idx="3">
                        <c:v>Biyografi</c:v>
                      </c:pt>
                    </c:strCache>
                  </c:strRef>
                </c:cat>
                <c:val>
                  <c:numRef>
                    <c:extLst>
                      <c:ext uri="{02D57815-91ED-43cb-92C2-25804820EDAC}">
                        <c15:formulaRef>
                          <c15:sqref>Sayfa6!$C$1:$C$5</c15:sqref>
                        </c15:formulaRef>
                      </c:ext>
                    </c:extLst>
                    <c:numCache>
                      <c:formatCode>0%</c:formatCode>
                      <c:ptCount val="4"/>
                      <c:pt idx="0">
                        <c:v>0.2</c:v>
                      </c:pt>
                      <c:pt idx="1">
                        <c:v>0.32</c:v>
                      </c:pt>
                      <c:pt idx="2">
                        <c:v>0.36</c:v>
                      </c:pt>
                      <c:pt idx="3">
                        <c:v>0.12</c:v>
                      </c:pt>
                    </c:numCache>
                  </c:numRef>
                </c:val>
                <c:extLst/>
              </c15:ser>
            </c15:filteredPieSeries>
          </c:ext>
        </c:extLst>
      </c:pie3D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tr-TR"/>
        </a:p>
      </c:txPr>
    </c:legend>
    <c:plotVisOnly val="1"/>
    <c:dispBlanksAs val="zero"/>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tr-TR"/>
    </a:p>
  </c:txPr>
  <c:externalData r:id="rId1"/>
</c:chartSpac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AAA0B-FE8F-4D38-998B-C8C413B47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6125</Words>
  <Characters>34918</Characters>
  <Application>Microsoft Office Word</Application>
  <DocSecurity>0</DocSecurity>
  <Lines>290</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40962</CharactersWithSpaces>
  <SharedDoc>false</SharedDoc>
  <HLinks>
    <vt:vector size="84" baseType="variant">
      <vt:variant>
        <vt:i4>589854</vt:i4>
      </vt:variant>
      <vt:variant>
        <vt:i4>45</vt:i4>
      </vt:variant>
      <vt:variant>
        <vt:i4>0</vt:i4>
      </vt:variant>
      <vt:variant>
        <vt:i4>5</vt:i4>
      </vt:variant>
      <vt:variant>
        <vt:lpwstr>http://www.acarindex.com/dosyalar/makale/acarindex-1423873737.pdf</vt:lpwstr>
      </vt:variant>
      <vt:variant>
        <vt:lpwstr/>
      </vt:variant>
      <vt:variant>
        <vt:i4>6750329</vt:i4>
      </vt:variant>
      <vt:variant>
        <vt:i4>42</vt:i4>
      </vt:variant>
      <vt:variant>
        <vt:i4>0</vt:i4>
      </vt:variant>
      <vt:variant>
        <vt:i4>5</vt:i4>
      </vt:variant>
      <vt:variant>
        <vt:lpwstr>http://scitation.aip.org/content/aapt/journal/ajp/66/3/10.1119/1.18847</vt:lpwstr>
      </vt:variant>
      <vt:variant>
        <vt:lpwstr/>
      </vt:variant>
      <vt:variant>
        <vt:i4>5636122</vt:i4>
      </vt:variant>
      <vt:variant>
        <vt:i4>39</vt:i4>
      </vt:variant>
      <vt:variant>
        <vt:i4>0</vt:i4>
      </vt:variant>
      <vt:variant>
        <vt:i4>5</vt:i4>
      </vt:variant>
      <vt:variant>
        <vt:lpwstr>http://gefad.gazi.edu.tr/article/view/5000078813</vt:lpwstr>
      </vt:variant>
      <vt:variant>
        <vt:lpwstr/>
      </vt:variant>
      <vt:variant>
        <vt:i4>5767276</vt:i4>
      </vt:variant>
      <vt:variant>
        <vt:i4>36</vt:i4>
      </vt:variant>
      <vt:variant>
        <vt:i4>0</vt:i4>
      </vt:variant>
      <vt:variant>
        <vt:i4>5</vt:i4>
      </vt:variant>
      <vt:variant>
        <vt:lpwstr>http://www.yok.gov.tr/documents/10279/49665/muzik_ogretmenligi.pdf/831bd1ffe3cb-4d2e-bbf8-cf80f6d0e209</vt:lpwstr>
      </vt:variant>
      <vt:variant>
        <vt:lpwstr/>
      </vt:variant>
      <vt:variant>
        <vt:i4>3997745</vt:i4>
      </vt:variant>
      <vt:variant>
        <vt:i4>33</vt:i4>
      </vt:variant>
      <vt:variant>
        <vt:i4>0</vt:i4>
      </vt:variant>
      <vt:variant>
        <vt:i4>5</vt:i4>
      </vt:variant>
      <vt:variant>
        <vt:lpwstr>http://llp.marmara.edu.tr/course.aspx?zs=1&amp;mod=1&amp;kultur=trTR&amp;program=13&amp;did=745&amp;mid=2492&amp;pmid=13&amp;mufredatTurId=932001&amp;organizasyonId=15</vt:lpwstr>
      </vt:variant>
      <vt:variant>
        <vt:lpwstr/>
      </vt:variant>
      <vt:variant>
        <vt:i4>4522017</vt:i4>
      </vt:variant>
      <vt:variant>
        <vt:i4>30</vt:i4>
      </vt:variant>
      <vt:variant>
        <vt:i4>0</vt:i4>
      </vt:variant>
      <vt:variant>
        <vt:i4>5</vt:i4>
      </vt:variant>
      <vt:variant>
        <vt:lpwstr>http://www.muzikegitimcileri.net/bilimsel/bildiri/Y-Kivrak_2.html</vt:lpwstr>
      </vt:variant>
      <vt:variant>
        <vt:lpwstr/>
      </vt:variant>
      <vt:variant>
        <vt:i4>524333</vt:i4>
      </vt:variant>
      <vt:variant>
        <vt:i4>27</vt:i4>
      </vt:variant>
      <vt:variant>
        <vt:i4>0</vt:i4>
      </vt:variant>
      <vt:variant>
        <vt:i4>5</vt:i4>
      </vt:variant>
      <vt:variant>
        <vt:lpwstr>http://debis.deu.edu.tr/ders-katalog//2016-2017/tr/tr_1109_1109_1839.html</vt:lpwstr>
      </vt:variant>
      <vt:variant>
        <vt:lpwstr/>
      </vt:variant>
      <vt:variant>
        <vt:i4>4849666</vt:i4>
      </vt:variant>
      <vt:variant>
        <vt:i4>24</vt:i4>
      </vt:variant>
      <vt:variant>
        <vt:i4>0</vt:i4>
      </vt:variant>
      <vt:variant>
        <vt:i4>5</vt:i4>
      </vt:variant>
      <vt:variant>
        <vt:lpwstr>http://www.limnofish.org/issej/issue/26445/278902</vt:lpwstr>
      </vt:variant>
      <vt:variant>
        <vt:lpwstr/>
      </vt:variant>
      <vt:variant>
        <vt:i4>7602217</vt:i4>
      </vt:variant>
      <vt:variant>
        <vt:i4>21</vt:i4>
      </vt:variant>
      <vt:variant>
        <vt:i4>0</vt:i4>
      </vt:variant>
      <vt:variant>
        <vt:i4>5</vt:i4>
      </vt:variant>
      <vt:variant>
        <vt:lpwstr>http://eric.ed.gov/?id=EJ867293</vt:lpwstr>
      </vt:variant>
      <vt:variant>
        <vt:lpwstr/>
      </vt:variant>
      <vt:variant>
        <vt:i4>3473442</vt:i4>
      </vt:variant>
      <vt:variant>
        <vt:i4>18</vt:i4>
      </vt:variant>
      <vt:variant>
        <vt:i4>0</vt:i4>
      </vt:variant>
      <vt:variant>
        <vt:i4>5</vt:i4>
      </vt:variant>
      <vt:variant>
        <vt:lpwstr>http://files.eric.ed.gov/fulltext/EJ1061980.pdf</vt:lpwstr>
      </vt:variant>
      <vt:variant>
        <vt:lpwstr/>
      </vt:variant>
      <vt:variant>
        <vt:i4>1179994</vt:i4>
      </vt:variant>
      <vt:variant>
        <vt:i4>15</vt:i4>
      </vt:variant>
      <vt:variant>
        <vt:i4>0</vt:i4>
      </vt:variant>
      <vt:variant>
        <vt:i4>5</vt:i4>
      </vt:variant>
      <vt:variant>
        <vt:lpwstr>https://search.informit.com.au/documentSummary;dn=817030877258181;res=IELHSS</vt:lpwstr>
      </vt:variant>
      <vt:variant>
        <vt:lpwstr/>
      </vt:variant>
      <vt:variant>
        <vt:i4>7602239</vt:i4>
      </vt:variant>
      <vt:variant>
        <vt:i4>12</vt:i4>
      </vt:variant>
      <vt:variant>
        <vt:i4>0</vt:i4>
      </vt:variant>
      <vt:variant>
        <vt:i4>5</vt:i4>
      </vt:variant>
      <vt:variant>
        <vt:lpwstr>http://link.springer.com/article/10.1007/s10734-008-9188-3</vt:lpwstr>
      </vt:variant>
      <vt:variant>
        <vt:lpwstr/>
      </vt:variant>
      <vt:variant>
        <vt:i4>131102</vt:i4>
      </vt:variant>
      <vt:variant>
        <vt:i4>9</vt:i4>
      </vt:variant>
      <vt:variant>
        <vt:i4>0</vt:i4>
      </vt:variant>
      <vt:variant>
        <vt:i4>5</vt:i4>
      </vt:variant>
      <vt:variant>
        <vt:lpwstr>http://jmd.sagepub.com/content/28/3/254.short</vt:lpwstr>
      </vt:variant>
      <vt:variant>
        <vt:lpwstr/>
      </vt:variant>
      <vt:variant>
        <vt:i4>21364751</vt:i4>
      </vt:variant>
      <vt:variant>
        <vt:i4>6</vt:i4>
      </vt:variant>
      <vt:variant>
        <vt:i4>0</vt:i4>
      </vt:variant>
      <vt:variant>
        <vt:i4>5</vt:i4>
      </vt:variant>
      <vt:variant>
        <vt:lpwstr>http://bologna.ibu.edu.tr/CourseDetail.aspx?lang=trTR&amp;opID=340&amp;pmID=3871&amp;mid=179170&amp;DersID=1942&amp;dersKodu=112001292006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Nasip</cp:lastModifiedBy>
  <cp:revision>2</cp:revision>
  <cp:lastPrinted>2017-10-27T22:12:00Z</cp:lastPrinted>
  <dcterms:created xsi:type="dcterms:W3CDTF">2017-11-06T17:43:00Z</dcterms:created>
  <dcterms:modified xsi:type="dcterms:W3CDTF">2017-11-06T17:43:00Z</dcterms:modified>
</cp:coreProperties>
</file>