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7E2C" w14:textId="7989B48B" w:rsidR="00F531D3" w:rsidRDefault="005E7EB5" w:rsidP="00F531D3">
      <w:pPr>
        <w:spacing w:after="0" w:line="360" w:lineRule="auto"/>
        <w:jc w:val="center"/>
        <w:rPr>
          <w:rFonts w:ascii="Times New Roman" w:hAnsi="Times New Roman" w:cs="Times New Roman"/>
          <w:b/>
          <w:sz w:val="24"/>
          <w:szCs w:val="24"/>
        </w:rPr>
      </w:pPr>
      <w:r w:rsidRPr="005E7EB5">
        <w:rPr>
          <w:rFonts w:ascii="Times New Roman" w:hAnsi="Times New Roman" w:cs="Times New Roman"/>
          <w:b/>
          <w:bCs/>
          <w:sz w:val="24"/>
          <w:szCs w:val="24"/>
        </w:rPr>
        <w:t>A</w:t>
      </w:r>
      <w:r>
        <w:rPr>
          <w:rFonts w:ascii="Times New Roman" w:hAnsi="Times New Roman" w:cs="Times New Roman"/>
          <w:b/>
          <w:bCs/>
          <w:sz w:val="24"/>
          <w:szCs w:val="24"/>
        </w:rPr>
        <w:t>rgümantasyon Tabanlı Bilim Öğrenme Yaklaşımının Öğrencilerin Matematik Başarılarına E</w:t>
      </w:r>
      <w:r w:rsidRPr="005E7EB5">
        <w:rPr>
          <w:rFonts w:ascii="Times New Roman" w:hAnsi="Times New Roman" w:cs="Times New Roman"/>
          <w:b/>
          <w:bCs/>
          <w:sz w:val="24"/>
          <w:szCs w:val="24"/>
        </w:rPr>
        <w:t>tkisi</w:t>
      </w:r>
      <w:r w:rsidR="002641EB">
        <w:rPr>
          <w:rFonts w:ascii="Times New Roman" w:hAnsi="Times New Roman" w:cs="Times New Roman"/>
          <w:b/>
          <w:bCs/>
          <w:sz w:val="24"/>
          <w:szCs w:val="24"/>
        </w:rPr>
        <w:t>*</w:t>
      </w:r>
      <w:r w:rsidR="0010013A">
        <w:rPr>
          <w:rFonts w:ascii="Times New Roman" w:hAnsi="Times New Roman" w:cs="Times New Roman"/>
          <w:b/>
          <w:sz w:val="24"/>
          <w:szCs w:val="24"/>
        </w:rPr>
        <w:br/>
      </w:r>
    </w:p>
    <w:p w14:paraId="1B18B79B" w14:textId="77777777" w:rsidR="003E7E33" w:rsidRPr="00CD33C0" w:rsidRDefault="003E7E33" w:rsidP="003E7E33">
      <w:pPr>
        <w:spacing w:after="0" w:line="360" w:lineRule="auto"/>
        <w:jc w:val="center"/>
        <w:rPr>
          <w:rFonts w:ascii="Times New Roman" w:hAnsi="Times New Roman" w:cs="Times New Roman"/>
          <w:b/>
          <w:bCs/>
          <w:sz w:val="24"/>
          <w:szCs w:val="24"/>
        </w:rPr>
      </w:pPr>
    </w:p>
    <w:p w14:paraId="692F0144" w14:textId="42DD4C1C" w:rsidR="0040186A" w:rsidRPr="00CD33C0" w:rsidRDefault="003E7E33" w:rsidP="00CD33C0">
      <w:pPr>
        <w:spacing w:after="0" w:line="360" w:lineRule="auto"/>
        <w:jc w:val="both"/>
        <w:rPr>
          <w:rFonts w:ascii="Times New Roman" w:hAnsi="Times New Roman" w:cs="Times New Roman"/>
          <w:sz w:val="24"/>
          <w:szCs w:val="24"/>
        </w:rPr>
      </w:pPr>
      <w:r w:rsidRPr="00CD33C0">
        <w:rPr>
          <w:rFonts w:ascii="Times New Roman" w:hAnsi="Times New Roman" w:cs="Times New Roman"/>
          <w:b/>
          <w:sz w:val="24"/>
          <w:szCs w:val="24"/>
        </w:rPr>
        <w:t xml:space="preserve">Öz: </w:t>
      </w:r>
      <w:r w:rsidR="005E7EB5" w:rsidRPr="005E7EB5">
        <w:rPr>
          <w:rFonts w:ascii="Times New Roman" w:hAnsi="Times New Roman" w:cs="Times New Roman"/>
          <w:sz w:val="24"/>
          <w:szCs w:val="24"/>
        </w:rPr>
        <w:t>Bu araştırmanın amacı, Argümantasyon Tabanlı Bilim Öğrenme (ATBÖ) yaklaşımının ortaöğretim 9. sınıf öğrencilerinin fonksiyonlar konusundaki matematik başarısına olan etkisini araştırmaktır. Çalışma örneklemini 2012-2013 eğitim-öğretim yılında Bayburt’ta bir lisede 9. sınıfta öğrenim gören toplam 22 öğrenci oluşturmaktadır. Çalışmada nicel yöntem kullanılmıştır ve çalışma tek grup ön test-son test zayıf deneysel araştırma deseninden oluşmaktadır. Veri Toplama aracı olarak; araştırmacı tarafından geliştirilen “Fonksiyon Başarı Testi(FBT)”  kullanılmıştır. Fonksiyon Başarı Testi için ön test-son testten elde edilen verilerin çözümlenmesinde SPSS 18.0 paket programı kullanılmıştır. Parametriğin şartları olan normallik şartı için çarpıklık (skewness) ve basıklık (kurtosis) değerlerine bakılmıştır ve bu değerler -1 ve +1 arasında olup Eşleştirilmiş örneklem t-testi yapılmıştır. Kategorilere ayrıştırılan Fonksiyon Başarı Testi’nin çarpıklık (skewness) ve basıklık (kurtosis) değerleri -1 ve +1 arasında olup Eşleştirilmiş örneklem t-testi kullanılmıştır. Araştırma sonucunda elde edilen bulgulara göre Argümantasyon Tabanlı Bilim Öğrenme yaklaşımı temel alınarak işlenilen fonksiyonlar konusu öncesinde ve sonrasında öğrencilere uygulanan başarı testi sonuçları değerlendirildiğinde son test lehine anlamlı bir farklılığın olduğu tespit edilmiştir.</w:t>
      </w:r>
    </w:p>
    <w:p w14:paraId="1ED82F7F" w14:textId="6EB3A25E" w:rsidR="009539A8" w:rsidRPr="00CD33C0" w:rsidRDefault="00DF1727" w:rsidP="00CD33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5B07" w:rsidRPr="00CD33C0">
        <w:rPr>
          <w:rFonts w:ascii="Times New Roman" w:hAnsi="Times New Roman" w:cs="Times New Roman"/>
          <w:b/>
          <w:sz w:val="24"/>
          <w:szCs w:val="24"/>
        </w:rPr>
        <w:t xml:space="preserve">Anahtar Kelimeler: </w:t>
      </w:r>
      <w:r w:rsidR="005E7EB5">
        <w:rPr>
          <w:rFonts w:ascii="Times New Roman" w:hAnsi="Times New Roman" w:cs="Times New Roman"/>
          <w:sz w:val="24"/>
          <w:szCs w:val="24"/>
        </w:rPr>
        <w:t>Argümantasyon, matematik</w:t>
      </w:r>
      <w:r w:rsidR="004E7B72">
        <w:rPr>
          <w:rFonts w:ascii="Times New Roman" w:hAnsi="Times New Roman" w:cs="Times New Roman"/>
          <w:sz w:val="24"/>
          <w:szCs w:val="24"/>
        </w:rPr>
        <w:t xml:space="preserve">, </w:t>
      </w:r>
      <w:r w:rsidR="005E7EB5">
        <w:rPr>
          <w:rFonts w:ascii="Times New Roman" w:hAnsi="Times New Roman" w:cs="Times New Roman"/>
          <w:sz w:val="24"/>
          <w:szCs w:val="24"/>
        </w:rPr>
        <w:t>başarı</w:t>
      </w:r>
      <w:r w:rsidR="004E7B72">
        <w:rPr>
          <w:rFonts w:ascii="Times New Roman" w:hAnsi="Times New Roman" w:cs="Times New Roman"/>
          <w:sz w:val="24"/>
          <w:szCs w:val="24"/>
        </w:rPr>
        <w:t>,</w:t>
      </w:r>
      <w:r w:rsidR="005E7EB5">
        <w:rPr>
          <w:rFonts w:ascii="Times New Roman" w:hAnsi="Times New Roman" w:cs="Times New Roman"/>
          <w:sz w:val="24"/>
          <w:szCs w:val="24"/>
        </w:rPr>
        <w:t xml:space="preserve"> fonksiyon</w:t>
      </w:r>
      <w:r w:rsidR="004E7B72">
        <w:rPr>
          <w:rFonts w:ascii="Times New Roman" w:hAnsi="Times New Roman" w:cs="Times New Roman"/>
          <w:sz w:val="24"/>
          <w:szCs w:val="24"/>
        </w:rPr>
        <w:t>, öğrenci</w:t>
      </w:r>
    </w:p>
    <w:p w14:paraId="045F2B63" w14:textId="391B2607" w:rsidR="006F4D8E" w:rsidRDefault="006F4D8E" w:rsidP="006F4D8E">
      <w:pPr>
        <w:spacing w:after="0" w:line="360" w:lineRule="auto"/>
        <w:jc w:val="center"/>
        <w:rPr>
          <w:rFonts w:ascii="Times New Roman" w:hAnsi="Times New Roman" w:cs="Times New Roman"/>
          <w:b/>
          <w:sz w:val="24"/>
          <w:szCs w:val="24"/>
          <w:lang w:val="en-GB"/>
        </w:rPr>
      </w:pPr>
      <w:r w:rsidRPr="006F4D8E">
        <w:rPr>
          <w:rFonts w:ascii="Times New Roman" w:hAnsi="Times New Roman" w:cs="Times New Roman"/>
          <w:b/>
          <w:sz w:val="24"/>
          <w:szCs w:val="24"/>
          <w:lang w:val="en-GB"/>
        </w:rPr>
        <w:t xml:space="preserve">The effect of the argumentation based science learning approach on the </w:t>
      </w:r>
      <w:r w:rsidR="00B93995" w:rsidRPr="006F4D8E">
        <w:rPr>
          <w:rFonts w:ascii="Times New Roman" w:hAnsi="Times New Roman" w:cs="Times New Roman"/>
          <w:b/>
          <w:sz w:val="24"/>
          <w:szCs w:val="24"/>
          <w:lang w:val="en-GB"/>
        </w:rPr>
        <w:t>mathematic</w:t>
      </w:r>
      <w:r w:rsidR="00B93995">
        <w:rPr>
          <w:rFonts w:ascii="Times New Roman" w:hAnsi="Times New Roman" w:cs="Times New Roman"/>
          <w:b/>
          <w:sz w:val="24"/>
          <w:szCs w:val="24"/>
          <w:lang w:val="en-GB"/>
        </w:rPr>
        <w:t>s achievement</w:t>
      </w:r>
      <w:r w:rsidR="00B93995" w:rsidRPr="006F4D8E">
        <w:rPr>
          <w:rFonts w:ascii="Times New Roman" w:hAnsi="Times New Roman" w:cs="Times New Roman"/>
          <w:b/>
          <w:sz w:val="24"/>
          <w:szCs w:val="24"/>
          <w:lang w:val="en-GB"/>
        </w:rPr>
        <w:t xml:space="preserve"> </w:t>
      </w:r>
      <w:r w:rsidRPr="006F4D8E">
        <w:rPr>
          <w:rFonts w:ascii="Times New Roman" w:hAnsi="Times New Roman" w:cs="Times New Roman"/>
          <w:b/>
          <w:sz w:val="24"/>
          <w:szCs w:val="24"/>
          <w:lang w:val="en-GB"/>
        </w:rPr>
        <w:t>of students</w:t>
      </w:r>
    </w:p>
    <w:p w14:paraId="4C8BFBE7" w14:textId="77777777" w:rsidR="00346DF1" w:rsidRDefault="00D752A2" w:rsidP="00346DF1">
      <w:pPr>
        <w:pBdr>
          <w:bottom w:val="single" w:sz="4" w:space="1" w:color="auto"/>
        </w:pBdr>
        <w:spacing w:after="0" w:line="360" w:lineRule="auto"/>
        <w:jc w:val="both"/>
        <w:rPr>
          <w:rFonts w:ascii="Times New Roman" w:hAnsi="Times New Roman" w:cs="Times New Roman"/>
          <w:sz w:val="24"/>
          <w:szCs w:val="24"/>
          <w:lang w:val="en-GB"/>
        </w:rPr>
      </w:pPr>
      <w:r w:rsidRPr="00D752A2">
        <w:rPr>
          <w:rFonts w:ascii="Times New Roman" w:hAnsi="Times New Roman" w:cs="Times New Roman"/>
          <w:b/>
          <w:sz w:val="24"/>
          <w:szCs w:val="24"/>
          <w:lang w:val="en-GB"/>
        </w:rPr>
        <w:t>Abstract:</w:t>
      </w:r>
      <w:r w:rsidR="009A2624">
        <w:rPr>
          <w:rFonts w:ascii="Times New Roman" w:hAnsi="Times New Roman" w:cs="Times New Roman"/>
          <w:b/>
          <w:sz w:val="24"/>
          <w:szCs w:val="24"/>
          <w:lang w:val="en-GB"/>
        </w:rPr>
        <w:t xml:space="preserve"> </w:t>
      </w:r>
      <w:r w:rsidR="004E7B72" w:rsidRPr="004E7B72">
        <w:rPr>
          <w:rFonts w:ascii="Times New Roman" w:hAnsi="Times New Roman" w:cs="Times New Roman"/>
          <w:sz w:val="24"/>
          <w:szCs w:val="24"/>
          <w:lang w:val="en-GB"/>
        </w:rPr>
        <w:t>The aim of this research is to investigate the effect of the Argument Based Science Learning (ABSL) approach to the influence of the 9th grade students of secondary school on mathematics achievement in terms of functions. The study sample consists of 22 students in Bayburt who are studying in the 9th grade in a high school during the 2012-2013 academic year. A quantitative method was used in the study and the study consisted of a single experimental group with pre-test and post-test weak experimental design. As a data collection tool; "Functional Achievement Test (FAT)"</w:t>
      </w:r>
      <w:bookmarkStart w:id="0" w:name="_GoBack"/>
      <w:bookmarkEnd w:id="0"/>
      <w:r w:rsidR="004E7B72" w:rsidRPr="004E7B72">
        <w:rPr>
          <w:rFonts w:ascii="Times New Roman" w:hAnsi="Times New Roman" w:cs="Times New Roman"/>
          <w:sz w:val="24"/>
          <w:szCs w:val="24"/>
          <w:lang w:val="en-GB"/>
        </w:rPr>
        <w:t xml:space="preserve"> developed by the researcher was used. The SPSS 18.0 package program was used in the analysis of the data obtained from the pre-test post-test for the Functional Achievement Test. </w:t>
      </w:r>
    </w:p>
    <w:p w14:paraId="6859DD50" w14:textId="77777777" w:rsidR="00346DF1" w:rsidRPr="00346DF1" w:rsidRDefault="00346DF1" w:rsidP="00346DF1">
      <w:pPr>
        <w:pStyle w:val="Altbilgi"/>
        <w:rPr>
          <w:rFonts w:ascii="Times New Roman" w:hAnsi="Times New Roman" w:cs="Times New Roman"/>
          <w:sz w:val="20"/>
          <w:szCs w:val="20"/>
        </w:rPr>
      </w:pPr>
      <w:r w:rsidRPr="00346DF1">
        <w:rPr>
          <w:rFonts w:ascii="Times New Roman" w:hAnsi="Times New Roman" w:cs="Times New Roman"/>
          <w:sz w:val="20"/>
          <w:szCs w:val="20"/>
        </w:rPr>
        <w:t>*Bu çalışma ilk yazarın doktora tezinin bir bölümünden oluşmaktadır.</w:t>
      </w:r>
    </w:p>
    <w:p w14:paraId="3D99DA0A" w14:textId="77777777" w:rsidR="00346DF1" w:rsidRDefault="00346DF1" w:rsidP="004E7B72">
      <w:pPr>
        <w:spacing w:after="0" w:line="360" w:lineRule="auto"/>
        <w:jc w:val="both"/>
        <w:rPr>
          <w:rFonts w:ascii="Times New Roman" w:hAnsi="Times New Roman" w:cs="Times New Roman"/>
          <w:sz w:val="24"/>
          <w:szCs w:val="24"/>
          <w:lang w:val="en-GB"/>
        </w:rPr>
      </w:pPr>
    </w:p>
    <w:p w14:paraId="524E79DD" w14:textId="77777777" w:rsidR="00346DF1" w:rsidRDefault="00346DF1" w:rsidP="004E7B72">
      <w:pPr>
        <w:spacing w:after="0" w:line="360" w:lineRule="auto"/>
        <w:jc w:val="both"/>
        <w:rPr>
          <w:rFonts w:ascii="Times New Roman" w:hAnsi="Times New Roman" w:cs="Times New Roman"/>
          <w:sz w:val="24"/>
          <w:szCs w:val="24"/>
          <w:lang w:val="en-GB"/>
        </w:rPr>
      </w:pPr>
    </w:p>
    <w:p w14:paraId="2264286F" w14:textId="314BA230" w:rsidR="00346DF1" w:rsidRDefault="004E7B72" w:rsidP="004E7B72">
      <w:pPr>
        <w:spacing w:after="0" w:line="360" w:lineRule="auto"/>
        <w:jc w:val="both"/>
        <w:rPr>
          <w:rFonts w:ascii="Times New Roman" w:hAnsi="Times New Roman" w:cs="Times New Roman"/>
          <w:sz w:val="24"/>
          <w:szCs w:val="24"/>
          <w:lang w:val="en-GB"/>
        </w:rPr>
      </w:pPr>
      <w:r w:rsidRPr="004E7B72">
        <w:rPr>
          <w:rFonts w:ascii="Times New Roman" w:hAnsi="Times New Roman" w:cs="Times New Roman"/>
          <w:sz w:val="24"/>
          <w:szCs w:val="24"/>
          <w:lang w:val="en-GB"/>
        </w:rPr>
        <w:lastRenderedPageBreak/>
        <w:t xml:space="preserve">The skewness and kurtosis values for the normality condition, which is the condition of the parametric, were examined between -1 and +1 and the paired sample t-test was performed. </w:t>
      </w:r>
    </w:p>
    <w:p w14:paraId="5D62D690" w14:textId="776FF519" w:rsidR="004E7B72" w:rsidRDefault="004E7B72" w:rsidP="004E7B72">
      <w:pPr>
        <w:spacing w:after="0" w:line="360" w:lineRule="auto"/>
        <w:jc w:val="both"/>
        <w:rPr>
          <w:rFonts w:ascii="Times New Roman" w:hAnsi="Times New Roman" w:cs="Times New Roman"/>
          <w:sz w:val="24"/>
          <w:szCs w:val="24"/>
          <w:lang w:val="en-GB"/>
        </w:rPr>
      </w:pPr>
      <w:r w:rsidRPr="004E7B72">
        <w:rPr>
          <w:rFonts w:ascii="Times New Roman" w:hAnsi="Times New Roman" w:cs="Times New Roman"/>
          <w:sz w:val="24"/>
          <w:szCs w:val="24"/>
          <w:lang w:val="en-GB"/>
        </w:rPr>
        <w:t xml:space="preserve">The skewness and kurtosis values of the Functional Achievement Test, which are separated into categories, are between -1 and +1 and the paired sample t-test is used. According to the results obtained from the research, it was determined that there is a significant difference in favor of the end test when evaluating the achievement test results applied to the students before and after the functions based on the Argument Based Science Learning approach. </w:t>
      </w:r>
    </w:p>
    <w:p w14:paraId="694CB3CC" w14:textId="257D8CEB" w:rsidR="00885387" w:rsidRPr="00CD33C0" w:rsidRDefault="003078F4" w:rsidP="004E7B72">
      <w:pPr>
        <w:spacing w:after="0" w:line="360" w:lineRule="auto"/>
        <w:jc w:val="both"/>
        <w:rPr>
          <w:rFonts w:ascii="Times New Roman" w:hAnsi="Times New Roman" w:cs="Times New Roman"/>
          <w:sz w:val="24"/>
          <w:szCs w:val="24"/>
        </w:rPr>
      </w:pPr>
      <w:r w:rsidRPr="00885387">
        <w:rPr>
          <w:rFonts w:ascii="Times New Roman" w:hAnsi="Times New Roman" w:cs="Times New Roman"/>
          <w:b/>
          <w:sz w:val="24"/>
          <w:szCs w:val="24"/>
          <w:lang w:val="en-GB"/>
        </w:rPr>
        <w:t>Keywords:</w:t>
      </w:r>
      <w:r w:rsidRPr="003078F4">
        <w:t xml:space="preserve"> </w:t>
      </w:r>
      <w:r w:rsidR="004E7B72" w:rsidRPr="004E7B72">
        <w:rPr>
          <w:rFonts w:ascii="Times New Roman" w:hAnsi="Times New Roman" w:cs="Times New Roman"/>
          <w:sz w:val="24"/>
          <w:szCs w:val="24"/>
          <w:lang w:val="en-GB"/>
        </w:rPr>
        <w:t>Argumentation, mathematics, achievement, function, student</w:t>
      </w:r>
      <w:r w:rsidR="004E7B72" w:rsidRPr="004E7B72" w:rsidDel="004E7B72">
        <w:rPr>
          <w:rFonts w:ascii="Times New Roman" w:hAnsi="Times New Roman" w:cs="Times New Roman"/>
          <w:sz w:val="24"/>
          <w:szCs w:val="24"/>
          <w:lang w:val="en-GB"/>
        </w:rPr>
        <w:t xml:space="preserve"> </w:t>
      </w:r>
    </w:p>
    <w:p w14:paraId="3190EE3E" w14:textId="77777777" w:rsidR="00657FD4" w:rsidRPr="00CD33C0" w:rsidRDefault="009F31B1" w:rsidP="00BD56B3">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Giriş</w:t>
      </w:r>
    </w:p>
    <w:p w14:paraId="6EBFBBF5"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Okullarda iyi bir matematik öğretiminin gerekliliği eğitimin her kademesinde önemli bir amaç olarak görülmektedir. Toplumun her kesiminde öğrencilerin matematikteki başarısının, diğer derslerde gösterdikleri başarıdan daha önemli ve belirleyici rol oynadığı kanısı yaygındır. Bu sebeple, matematik öğretiminin neden gerekli olduğunun herkes tarafından iyice bilindiği varsayılabilir (Karaçay, 2000). Toplumun ihtiyaçlarına cevap verecek nitelikte yaratıcı bireylerin yetiştirilmesi; bireylerde yaratıcı düşünme becerisinin ortaya çıkarılması ve geliştirilmesiyle mümkündür. </w:t>
      </w:r>
    </w:p>
    <w:p w14:paraId="4C9A8935"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Günümüzde bireylerden öğrendikleri yeni bilgiyi var olan bilgi ve beceri ile yapılandırmaları beklenmektedir. Bu nedenle öğrencilerin bilgiyi yapılandırmadan önce ön bilgilerinin ortaya çıkarılması önem teşkil etmektedir (Yahşi, 2006). Çünkü öğrencilerin ön bilgileri yoklanmadan, bu bilgiler üzerinde durulmadan öğretmen tarafından bilginin direkt aktarıldığı ve ayrıca kalıplaşmış sınavlarla öğrencilerin değerlendirildiği bir öğrenme ortamında yetişen bireylerin bilgiyi anlamlandırma ve yapılandırma konusunda güçlük çekmeleri muhtemeldir (Dalkıran, Kesercioğlu ve Boyacı, 2005). Bu açıdan düşünüldüğünde farklı öğrenme ve öğretme yöntemleri öğrencilerin kendi öğrenmelerine yardımcı olmalıdır (Günel, Uzoğlu ve Büyükkasap, 2009a).</w:t>
      </w:r>
    </w:p>
    <w:p w14:paraId="5F8EA2F9"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Bilimsel tartışmada öğrenciler argümanlarını yapılandırırken bir bilim insanı gibi çalıştıkları için (veri toplar, gerekçe sunar, alternatif yorumları dikkate alır, tümevarımla sonuca ulaşır) öğrencilerin araştırma ve sorgulama yeteneği artmaktadır (Driver, Newton ve Osborne, 2000). Bilimsel tartışmanın öğrencilerde araştırma yeteneğini arttırdığına yönelik çok sayıda çalışma yapılmıştır (Druker, Chen ve Kelly, 1996; Yerrick, 2000). Bu çalışmalar; bilimsel tartışmanın öğrencilerin nedensel ilişkileri anlamaya yardımcı olma, test edilebilir hipotezler oluşturma, deneyler tasarlama, gerçek yaşam problemlerine çözümler getirme ve bilimsel araştırmayla ilgili yeteneklerinde olumlu değişiklikler oluşturduğunu göstermektedir. </w:t>
      </w:r>
      <w:r w:rsidRPr="002D53F8">
        <w:rPr>
          <w:rFonts w:ascii="Times New Roman" w:hAnsi="Times New Roman" w:cs="Times New Roman"/>
          <w:sz w:val="24"/>
          <w:szCs w:val="24"/>
        </w:rPr>
        <w:lastRenderedPageBreak/>
        <w:t>Ayrıca bilimsel tartışmada öğrenciler grup halinde çalışmadıkları için bu grup çalışmaları sayesinde öğrencilerin sosyal etkileşimde bulunmaları ve işbirliği içinde olmaları amaçlanır.</w:t>
      </w:r>
    </w:p>
    <w:p w14:paraId="7E0F19CC"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Bilimsel tartışma ortamlarında zıt fikirlerin çürütülmesi, hipotezlerin yarıştırılması, gerekçelendirmelerin sunulması gibi uygulamalar kavramsal değişim üzerinde etkili olmaktadır. Kavramsal değişim bakımından bilimsel tartışmalar öğrenci fikirlerinin ortaya çıkarılması ve yanlış kavramaların çürütülmesiyle de yakından ilgilidir (Uluçınar, 2008). Ayrıca bilimsel tartışmalar sırasında öğrencilerin sahip oldukları alternatif fikirlerin sorgulanması ve bu süreçte zıt gerekçelerin ve bilimsel fikirlerin farkına varılması kavramsal değişim sürecini hızlandırmaktadır (Niaz, Alguilera, Maza and Liendo, 2002). Osborne (2005) öğrencilerin sebepler kullanarak inandıklarını ispat etme, tahmin etme, delilleri değerlendirme, karşıt (zıt) argüman üzerinde düşünmenin konuları kavramsal olarak öğrenmeye katkı sağlayacağını vurgulamıştır. Geleneksel yöntemler kullanmak yerine öğrencilerin yaratıcılığını artıracak yöntemler denenmeli ve geliştirilmelidir. </w:t>
      </w:r>
    </w:p>
    <w:p w14:paraId="245DA42B"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Tartışmaya dayalı öğretim yaklaşımı; öğrencilerin zihinsel şemalarını ortaya koydukları, hem kendi hem de diğer öğrencilerin fikirlerini sorguladıkları ve ortaya attıkları iddialarını savunmak için gerekçe ve kanıt kullandıkları, gerektiğinde yaptıkları çürütmelerle karşıt iddiaları geçersiz kıldıkları, üst düzey düşünme içeren, muhakeme etme ve bunları sözel olarak ifade etme becerisi gerektiren bir aktivitedir. Bu açıdan bakıldığında geleneksel yaklaşımdan üstün birçok yönü öne çıkmaktadır (Uluçınar, 2008). Yapılandırmacılıkta, kendi teknolojisini kendi üretebilen, bilinçli, yaratıcı, araştıran, sorgulayan, neyi, nereden ve niçin öğrendiğini bilen, bireylere gereksinim vardır (Jonassen, Peck ve Wilson, 1999). Bu yaklaşımda öğrenci aktif pozisyondadır ve öğretmen çoğunlukla öğrenci merkezli aktiviteler planlar. ATBÖ yaklaşımı; yapılandırmacı yaklaşıma dayanan ve yapılandırmacı öğrenme modelleri, önbilgilerin rolü, okuyucunun katılımı, nedensellik ilişkileri, bilişsel öğrenme ve problem çözme ile birleştirilmiş bir çeşit yaklaşımdır (Keys, Hand, Prain ve Collins, 1999). Daha çok fen alanında yaygın olarak kullanılan bu yaklaşımın matematik alanında da kullanılarak yaratıcılıktaki etkisini inceleme açısından öneme sahiptir. Ayrıca ATBÖ yaklaşımı tartışmaya dayalı bir yaklaşım olduğundan toplumun ihtiyaç duyduğu sürekli araştıran sorgulayan ve ezbere değil tartışarak fikirlerini ileri süren yaratıcı bireylerin yetiştirilmesi ve geliştirilmesi açısından bu ihtiyaca cevap verecek nitelikte bir yaklaşım olması açısından da öneme sahiptir.</w:t>
      </w:r>
    </w:p>
    <w:p w14:paraId="2E143E78" w14:textId="5CB66901" w:rsidR="006D5C8A" w:rsidRPr="00CD33C0" w:rsidRDefault="002D53F8" w:rsidP="002D53F8">
      <w:pPr>
        <w:pStyle w:val="ListeParagraf"/>
        <w:spacing w:after="0" w:line="360" w:lineRule="auto"/>
        <w:ind w:left="0"/>
        <w:jc w:val="both"/>
        <w:rPr>
          <w:rFonts w:ascii="Times New Roman" w:hAnsi="Times New Roman" w:cs="Times New Roman"/>
          <w:sz w:val="24"/>
          <w:szCs w:val="24"/>
        </w:rPr>
      </w:pPr>
      <w:r w:rsidRPr="002D53F8">
        <w:rPr>
          <w:rFonts w:ascii="Times New Roman" w:hAnsi="Times New Roman" w:cs="Times New Roman"/>
          <w:sz w:val="24"/>
          <w:szCs w:val="24"/>
        </w:rPr>
        <w:t xml:space="preserve">Bu çalışmada ATBÖ yaklaşımının matematik dersinde uygulanmasının öğrencilerin matematik kavramlarını ezber yapmadan, kavrayarak öğrenmelerinin yanında kendi yaratıcılıklarının farkına varabilecekleri örnek bir öğrenme ortamını tecrübe etmeleri düşünülmektedir. Bu yaklaşıma paralel olarak araştırmamızın genel amacı argümantasyon tabanlı bilim öğrenme </w:t>
      </w:r>
      <w:r w:rsidRPr="002D53F8">
        <w:rPr>
          <w:rFonts w:ascii="Times New Roman" w:hAnsi="Times New Roman" w:cs="Times New Roman"/>
          <w:sz w:val="24"/>
          <w:szCs w:val="24"/>
        </w:rPr>
        <w:lastRenderedPageBreak/>
        <w:t xml:space="preserve">yaklaşımının 9. sınıf öğrencilerinin fonksiyonlar konusundaki başarılarına ve yaratıcı düşünme becerilerine olan etkisini incelemektir. </w:t>
      </w:r>
    </w:p>
    <w:p w14:paraId="670A4BFE" w14:textId="24AB1653" w:rsidR="006D5C8A" w:rsidRPr="00CD33C0" w:rsidRDefault="005F655A" w:rsidP="0078124A">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Yöntem</w:t>
      </w:r>
    </w:p>
    <w:p w14:paraId="11122AB0" w14:textId="77777777" w:rsidR="00250FF0" w:rsidRPr="00CD33C0" w:rsidRDefault="005F655A" w:rsidP="00AB5A29">
      <w:pPr>
        <w:spacing w:after="0" w:line="360" w:lineRule="auto"/>
        <w:ind w:firstLine="567"/>
        <w:rPr>
          <w:rFonts w:ascii="Times New Roman" w:hAnsi="Times New Roman" w:cs="Times New Roman"/>
          <w:b/>
          <w:sz w:val="24"/>
          <w:szCs w:val="24"/>
        </w:rPr>
      </w:pPr>
      <w:r w:rsidRPr="00CD33C0">
        <w:rPr>
          <w:rFonts w:ascii="Times New Roman" w:hAnsi="Times New Roman" w:cs="Times New Roman"/>
          <w:b/>
          <w:sz w:val="24"/>
          <w:szCs w:val="24"/>
        </w:rPr>
        <w:t>Araştırma Deseni</w:t>
      </w:r>
    </w:p>
    <w:p w14:paraId="13D13A5E" w14:textId="77777777"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Çalışmada nicel yöntem kullanılmıştır. Çalışma, tek grup ön test-son test zayıf deneysel araştırma deseninden oluşmaktadır. Karasar (2007) tek grup ön test son test modelinde gelişi güzel seçilmiş bir gruba bağımsız değişken uygulandığını belirtmiş, hem deney öncesi (ön test), hem de deney sonrası (son test) ölçmelerin olduğunu belirtmiştir.</w:t>
      </w:r>
      <w:r>
        <w:rPr>
          <w:rFonts w:ascii="Times New Roman" w:hAnsi="Times New Roman" w:cs="Times New Roman"/>
          <w:sz w:val="24"/>
          <w:szCs w:val="24"/>
        </w:rPr>
        <w:t xml:space="preserve"> </w:t>
      </w:r>
    </w:p>
    <w:p w14:paraId="5FD0456D" w14:textId="5CB8F3FA" w:rsidR="00250FF0" w:rsidRPr="00BD56B3" w:rsidRDefault="0045501C"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Çalışma Grubu</w:t>
      </w:r>
    </w:p>
    <w:p w14:paraId="30A48635" w14:textId="087211DA" w:rsidR="00AB5A29"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Araştırma Bayburt Fen Lisesi 2012–2013 öğretim yılı güz döneminde 9. sınıfta öğrenim gören 11 kız ve 11 erkek öğrenci olmak üzere toplam 22 öğrenci ile yürütülmüştür. Öğrencilerin hepsi ilköğretimde benzer eğitim almış oldukları ve SBS’den belli bir taban puanla fen lisesine yerleştikleri dikkate alınırsa oldukça homojen bir grup olduğu söylenebilir. Öğrencilerin seçiminde seçkisiz olmayan örnekleme yaklaşımlardan biri olan amaçsal örnekleme yöntemi kullanılmıştır. Fen Lisesi öğrencilerinin verimli ve kaliteli tartışmalar yapabileceği düşünüldüğü için bu lise seçilmiştir. Fen Liseleri; matematik ve fen bilimleri alanlarında gereksinim duyulan üstün nitelikli bilim adamlarının yetiştirilmesine kaynaklık etmeyi, öğrencileri araştırmaya yöneltmeyi, bilimsel ve teknolojik gelişmeler ile yeni buluşlara ilgi duyanların çalışacakları ortamı ve koşulları hazırlamayı, yeni teknolojileri kullanabilen, yeni bilgiler üretebilen ve projeler hazırlayabilen bireyler yetiştirmeyi amaçlayan okullardır (MEB, 2009).</w:t>
      </w:r>
    </w:p>
    <w:p w14:paraId="77A1BB4B" w14:textId="77777777" w:rsidR="002D3855" w:rsidRDefault="002D3855" w:rsidP="00AB5A29">
      <w:pPr>
        <w:spacing w:after="0" w:line="240" w:lineRule="auto"/>
        <w:ind w:firstLine="567"/>
        <w:jc w:val="both"/>
        <w:rPr>
          <w:rFonts w:ascii="Times New Roman" w:hAnsi="Times New Roman" w:cs="Times New Roman"/>
          <w:b/>
          <w:sz w:val="24"/>
          <w:szCs w:val="24"/>
        </w:rPr>
      </w:pPr>
    </w:p>
    <w:p w14:paraId="2BAB8963" w14:textId="77777777" w:rsidR="002D53F8" w:rsidRDefault="002D53F8" w:rsidP="00AB5A29">
      <w:pPr>
        <w:spacing w:after="0" w:line="240" w:lineRule="auto"/>
        <w:ind w:firstLine="567"/>
        <w:jc w:val="both"/>
        <w:rPr>
          <w:rFonts w:ascii="Times New Roman" w:hAnsi="Times New Roman" w:cs="Times New Roman"/>
          <w:b/>
          <w:sz w:val="24"/>
          <w:szCs w:val="24"/>
        </w:rPr>
      </w:pPr>
    </w:p>
    <w:p w14:paraId="6EC2618B" w14:textId="77777777" w:rsidR="002D53F8" w:rsidRDefault="002D53F8" w:rsidP="00AB5A29">
      <w:pPr>
        <w:spacing w:after="0" w:line="240" w:lineRule="auto"/>
        <w:ind w:firstLine="567"/>
        <w:jc w:val="both"/>
        <w:rPr>
          <w:rFonts w:ascii="Times New Roman" w:hAnsi="Times New Roman" w:cs="Times New Roman"/>
          <w:b/>
          <w:sz w:val="24"/>
          <w:szCs w:val="24"/>
        </w:rPr>
      </w:pPr>
    </w:p>
    <w:p w14:paraId="322515BF" w14:textId="77777777" w:rsidR="002D53F8" w:rsidRPr="00CD33C0" w:rsidRDefault="002D53F8" w:rsidP="00AB5A29">
      <w:pPr>
        <w:spacing w:after="0" w:line="240" w:lineRule="auto"/>
        <w:ind w:firstLine="567"/>
        <w:jc w:val="both"/>
        <w:rPr>
          <w:rFonts w:ascii="Times New Roman" w:hAnsi="Times New Roman" w:cs="Times New Roman"/>
          <w:b/>
          <w:sz w:val="24"/>
          <w:szCs w:val="24"/>
        </w:rPr>
      </w:pPr>
    </w:p>
    <w:p w14:paraId="129B20C3" w14:textId="77777777" w:rsidR="00250FF0" w:rsidRPr="00CD33C0" w:rsidRDefault="00B16431" w:rsidP="00AB5A29">
      <w:pPr>
        <w:spacing w:after="0" w:line="360" w:lineRule="auto"/>
        <w:ind w:firstLine="567"/>
        <w:jc w:val="both"/>
        <w:rPr>
          <w:rFonts w:ascii="Times New Roman" w:hAnsi="Times New Roman" w:cs="Times New Roman"/>
          <w:b/>
          <w:sz w:val="24"/>
          <w:szCs w:val="24"/>
        </w:rPr>
      </w:pPr>
      <w:r w:rsidRPr="00CD33C0">
        <w:rPr>
          <w:rFonts w:ascii="Times New Roman" w:hAnsi="Times New Roman" w:cs="Times New Roman"/>
          <w:b/>
          <w:sz w:val="24"/>
          <w:szCs w:val="24"/>
        </w:rPr>
        <w:t>Verilerin Toplanması</w:t>
      </w:r>
    </w:p>
    <w:p w14:paraId="281172F8" w14:textId="77777777"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Çalışma için geliştirilen testin ilk hali 20 açık uçlu sorudan oluşmaktadır. Fonksiyonlar konusuyla ilgili geçmiş yıllarda ÖSS-LYS-YGS sınavında çıkmış sorular bir araya getirilerek bir soru havuzu oluşturulmuştur. Soruların hangilerinin kullanılacağı belirlenirken konu ile ilgili kazanımlar ve çalışmanın amacı kriter olarak alınmıştır ve belirtke tablosu hazırlanmıştır. Bu kriterlere bağlı olarak belirlenen sorular aynen kullanılmamış, çoktan seçmeli olarak sorulmuş sorular açık uçlu soru haline dönüştürülerek kullanılmıştır. Oluşturulan belirtke tablosuna göre 20 adet soru belirlenmiştir. Testin pilot çalışması 10. sınıfta öğrenim gören 50 kişilik öğrenci grubuna uygulanmış ve her öğrencinin testten elde ettiği toplam puan hesaplanmıştır. Hesaplanan bu puanlar büyükten küçüğe doğru sıralanmış daha sonra </w:t>
      </w:r>
      <w:r w:rsidRPr="002D53F8">
        <w:rPr>
          <w:rFonts w:ascii="Times New Roman" w:hAnsi="Times New Roman" w:cs="Times New Roman"/>
          <w:sz w:val="24"/>
          <w:szCs w:val="24"/>
        </w:rPr>
        <w:lastRenderedPageBreak/>
        <w:t>öğrenciler 3 gruba ayrılmış, üst grup 15, orta grup 20 ve alt grup 15 öğrenciden oluşmuştur. Oluşan bu gruplara göre testin maddeler için ayırt edicilik ve güçlük indeksleri hesaplanmıştır. Özçelik (1989)’a göre madde güçlük indeksi 0,20 den düşük olanlar kullanılamaz, 0,20-0,30 olanlar kullanılabilir, 0,30-0,40 olanlar iyi, 0,40 dan büyük olanlar iyi soru olarak tasnif edildiğinden madde güçlük indeksi 0,20 nin altında olan sorular çıkarılmıştır. Testte yer alan 2,6,13,15 ve 19. sorular madde analizinde ayırt edicilikleri düşük olduğu için çıkarılmıştır. Testin geçerliliğini sağlamak için uzman görüşüne başvurulmuştur. 3 matematik eğitimi uzmanı ve uygulama yapılan lisede görev yapan 2 matematik öğretmeni tarafından sorular incelenmiş ve görüşleri alınarak kapsam geçerliliği sağlanmaya çalışılmıştır.</w:t>
      </w:r>
    </w:p>
    <w:p w14:paraId="40D593B6" w14:textId="77777777"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Madde analizi yapıldıktan sonra bazı soruların ( 2,6,13,15,19) çıkarılmasıyla 15 açık uçlu soru içerecek şekilde fonksiyon başarı testinin son hali oluşturulmuştur. Pilot uygulamadan elde edilen veriler için güvenirlik analizi yapılmış ve cronbach alfa değeri .709 olarak bulunmuştur. Pilot çalışması sonucunda testin bir saatlik süre içinde uygulanmasına karar verilmiştir. </w:t>
      </w:r>
    </w:p>
    <w:p w14:paraId="607D7C1B" w14:textId="5C907D10" w:rsidR="00250FF0" w:rsidRPr="00BD56B3" w:rsidRDefault="00B16431"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Verilerin Analizi</w:t>
      </w:r>
    </w:p>
    <w:p w14:paraId="464C4CBE" w14:textId="6BB8EC2B" w:rsidR="00AB5A29" w:rsidRDefault="002D53F8" w:rsidP="00AB5A29">
      <w:pPr>
        <w:spacing w:after="0" w:line="24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Fonksiyon Başarı Testi için cevap anahtarı oluşturulduktan sonra her bir sorunun doğru cevabına 4, yanlış cevabına 0 değeri verilmiştir. Açık uçlu soruların değerlendirilmesinde Milli Eğitim Bakanlığı tarafından hazırlanan matematik öğretim programında verilen problem çözme için bütüncül değerlendirme anahtarı kullanılmıştır. Fonksiyon Başarı Testi için ön test-son testten elde edilen verilerin çözümlenmesinde SPSS 18.0 paket programı kullanılmıştır. Parametriğin şartları olan normallik şartı için çarpıklık (skewness) ve basıklık (kurtosis) değerlerine bakılmıştır ve bu değerler -1 ve +1 arasında olup Eşleştirilmiş örneklem t-testi yapılmıştır. Kategorilere ayrıştırılan Fonksiyon Başarı Testi’nin çarpıklık (skewness) ve basıklık (kurtosis) değerleri -1 ve +1 arasında olup Eşleştirilmiş örneklem t-testi kullanılmıştır.</w:t>
      </w:r>
    </w:p>
    <w:p w14:paraId="0F9A7F34" w14:textId="77777777" w:rsidR="002D53F8" w:rsidRDefault="002D53F8" w:rsidP="00AB5A29">
      <w:pPr>
        <w:spacing w:after="0" w:line="240" w:lineRule="auto"/>
        <w:ind w:firstLine="567"/>
        <w:jc w:val="both"/>
        <w:rPr>
          <w:rFonts w:ascii="Times New Roman" w:hAnsi="Times New Roman" w:cs="Times New Roman"/>
          <w:sz w:val="24"/>
          <w:szCs w:val="24"/>
        </w:rPr>
      </w:pPr>
    </w:p>
    <w:p w14:paraId="5DA294AC" w14:textId="77777777" w:rsidR="00B84CC7" w:rsidRDefault="00B84CC7" w:rsidP="00AB5A29">
      <w:pPr>
        <w:spacing w:after="0" w:line="240" w:lineRule="auto"/>
        <w:ind w:firstLine="567"/>
        <w:jc w:val="both"/>
        <w:rPr>
          <w:rFonts w:ascii="Times New Roman" w:hAnsi="Times New Roman" w:cs="Times New Roman"/>
          <w:sz w:val="24"/>
          <w:szCs w:val="24"/>
        </w:rPr>
      </w:pPr>
    </w:p>
    <w:p w14:paraId="73533F6E" w14:textId="77777777" w:rsidR="00B84CC7" w:rsidRDefault="00B84CC7" w:rsidP="00AB5A29">
      <w:pPr>
        <w:spacing w:after="0" w:line="240" w:lineRule="auto"/>
        <w:ind w:firstLine="567"/>
        <w:jc w:val="both"/>
        <w:rPr>
          <w:rFonts w:ascii="Times New Roman" w:hAnsi="Times New Roman" w:cs="Times New Roman"/>
          <w:sz w:val="24"/>
          <w:szCs w:val="24"/>
        </w:rPr>
      </w:pPr>
    </w:p>
    <w:p w14:paraId="350EA3B1" w14:textId="77777777" w:rsidR="002D53F8" w:rsidRPr="00AB5A29" w:rsidRDefault="002D53F8" w:rsidP="00AB5A29">
      <w:pPr>
        <w:spacing w:after="0" w:line="240" w:lineRule="auto"/>
        <w:ind w:firstLine="567"/>
        <w:jc w:val="both"/>
        <w:rPr>
          <w:rFonts w:ascii="Times New Roman" w:hAnsi="Times New Roman" w:cs="Times New Roman"/>
          <w:b/>
          <w:sz w:val="24"/>
          <w:szCs w:val="24"/>
        </w:rPr>
      </w:pPr>
    </w:p>
    <w:p w14:paraId="52843A5B" w14:textId="77777777" w:rsidR="0078124A" w:rsidRPr="00BD56B3" w:rsidRDefault="0078124A" w:rsidP="007862E5">
      <w:pPr>
        <w:spacing w:after="0" w:line="360" w:lineRule="auto"/>
        <w:ind w:firstLine="567"/>
        <w:jc w:val="both"/>
        <w:rPr>
          <w:rFonts w:ascii="Times New Roman" w:hAnsi="Times New Roman" w:cs="Times New Roman"/>
          <w:sz w:val="24"/>
          <w:szCs w:val="24"/>
        </w:rPr>
      </w:pPr>
    </w:p>
    <w:p w14:paraId="620C7C33" w14:textId="77777777" w:rsidR="001531DE" w:rsidRPr="00BD56B3" w:rsidRDefault="001531DE"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Bulgular</w:t>
      </w:r>
    </w:p>
    <w:p w14:paraId="77FC678D" w14:textId="77777777" w:rsidR="00B84CC7" w:rsidRDefault="00B84CC7" w:rsidP="00B35999">
      <w:pPr>
        <w:spacing w:after="0" w:line="360" w:lineRule="auto"/>
        <w:jc w:val="both"/>
        <w:rPr>
          <w:rFonts w:ascii="Times New Roman" w:hAnsi="Times New Roman" w:cs="Times New Roman"/>
          <w:sz w:val="24"/>
          <w:szCs w:val="24"/>
        </w:rPr>
      </w:pPr>
      <w:r w:rsidRPr="00B84CC7">
        <w:rPr>
          <w:rFonts w:ascii="Times New Roman" w:hAnsi="Times New Roman" w:cs="Times New Roman"/>
          <w:sz w:val="24"/>
          <w:szCs w:val="24"/>
        </w:rPr>
        <w:t>Tablo 1’de ATBÖ yaklaşımının kullanıldığı çalışma grubuna uygulanan Fonksiyon Başarı Testi’nden, elde edilen verilere dayalı bulgular ve yorumlanması yer almaktadır.</w:t>
      </w:r>
      <w:r>
        <w:rPr>
          <w:rFonts w:ascii="Times New Roman" w:hAnsi="Times New Roman" w:cs="Times New Roman"/>
          <w:sz w:val="24"/>
          <w:szCs w:val="24"/>
        </w:rPr>
        <w:t xml:space="preserve"> </w:t>
      </w:r>
    </w:p>
    <w:p w14:paraId="63AFE4EE" w14:textId="77777777" w:rsidR="00B84CC7" w:rsidRPr="006E0B7C" w:rsidRDefault="00B84CC7" w:rsidP="00B84CC7">
      <w:pPr>
        <w:keepNext/>
        <w:keepLines/>
        <w:spacing w:after="0" w:line="360" w:lineRule="auto"/>
        <w:jc w:val="both"/>
        <w:outlineLvl w:val="1"/>
        <w:rPr>
          <w:rFonts w:ascii="Times New Roman" w:eastAsia="Times New Roman" w:hAnsi="Times New Roman"/>
          <w:bCs/>
          <w:iCs/>
          <w:sz w:val="24"/>
          <w:szCs w:val="26"/>
        </w:rPr>
      </w:pPr>
      <w:bookmarkStart w:id="1" w:name="_Toc384194006"/>
      <w:bookmarkStart w:id="2" w:name="_Toc400882122"/>
      <w:r w:rsidRPr="006E0B7C">
        <w:rPr>
          <w:rFonts w:ascii="Times New Roman" w:eastAsia="Times New Roman" w:hAnsi="Times New Roman"/>
          <w:b/>
          <w:bCs/>
          <w:iCs/>
          <w:sz w:val="24"/>
          <w:szCs w:val="26"/>
        </w:rPr>
        <w:t xml:space="preserve">Tablo </w:t>
      </w:r>
      <w:bookmarkEnd w:id="1"/>
      <w:r w:rsidRPr="006E0B7C">
        <w:rPr>
          <w:rFonts w:ascii="Times New Roman" w:eastAsia="Times New Roman" w:hAnsi="Times New Roman"/>
          <w:b/>
          <w:bCs/>
          <w:iCs/>
          <w:sz w:val="24"/>
          <w:szCs w:val="26"/>
        </w:rPr>
        <w:t>1.</w:t>
      </w:r>
      <w:bookmarkEnd w:id="2"/>
      <w:r w:rsidRPr="00C73427">
        <w:rPr>
          <w:rFonts w:ascii="Times New Roman" w:eastAsia="Times New Roman" w:hAnsi="Times New Roman"/>
          <w:bCs/>
          <w:iCs/>
          <w:sz w:val="24"/>
          <w:szCs w:val="26"/>
        </w:rPr>
        <w:t xml:space="preserve"> </w:t>
      </w:r>
      <w:bookmarkStart w:id="3" w:name="_Toc400882123"/>
      <w:r w:rsidRPr="006E0B7C">
        <w:rPr>
          <w:rFonts w:ascii="Times New Roman" w:eastAsia="Times New Roman" w:hAnsi="Times New Roman"/>
          <w:bCs/>
          <w:sz w:val="24"/>
          <w:szCs w:val="26"/>
        </w:rPr>
        <w:t>Fonksiyon Başarı Testi Öntest-Sontest Puanlarına Ait Eşleştirilmiş Örneklem t testi Sonuçları</w:t>
      </w:r>
      <w:bookmarkEnd w:id="3"/>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68"/>
        <w:gridCol w:w="1108"/>
        <w:gridCol w:w="1253"/>
        <w:gridCol w:w="1242"/>
        <w:gridCol w:w="1226"/>
        <w:gridCol w:w="1207"/>
        <w:gridCol w:w="1242"/>
      </w:tblGrid>
      <w:tr w:rsidR="00B84CC7" w:rsidRPr="00C73427" w14:paraId="65CCB86E" w14:textId="77777777" w:rsidTr="002E048D">
        <w:trPr>
          <w:trHeight w:val="343"/>
          <w:jc w:val="center"/>
        </w:trPr>
        <w:tc>
          <w:tcPr>
            <w:tcW w:w="1268" w:type="dxa"/>
            <w:tcBorders>
              <w:top w:val="single" w:sz="4" w:space="0" w:color="auto"/>
              <w:left w:val="nil"/>
              <w:bottom w:val="single" w:sz="4" w:space="0" w:color="auto"/>
              <w:right w:val="nil"/>
            </w:tcBorders>
            <w:vAlign w:val="center"/>
            <w:hideMark/>
          </w:tcPr>
          <w:p w14:paraId="6DEE731F" w14:textId="77777777" w:rsidR="00B84CC7" w:rsidRPr="00C73427" w:rsidRDefault="00B84CC7" w:rsidP="002E048D">
            <w:pPr>
              <w:spacing w:after="60"/>
              <w:rPr>
                <w:rFonts w:ascii="Times New Roman" w:hAnsi="Times New Roman"/>
                <w:b/>
              </w:rPr>
            </w:pPr>
            <w:r w:rsidRPr="00C73427">
              <w:rPr>
                <w:rFonts w:ascii="Times New Roman" w:hAnsi="Times New Roman"/>
                <w:b/>
              </w:rPr>
              <w:t>Ölçüm</w:t>
            </w:r>
          </w:p>
        </w:tc>
        <w:tc>
          <w:tcPr>
            <w:tcW w:w="1108" w:type="dxa"/>
            <w:tcBorders>
              <w:top w:val="single" w:sz="4" w:space="0" w:color="auto"/>
              <w:left w:val="nil"/>
              <w:bottom w:val="single" w:sz="4" w:space="0" w:color="auto"/>
              <w:right w:val="nil"/>
            </w:tcBorders>
            <w:vAlign w:val="center"/>
            <w:hideMark/>
          </w:tcPr>
          <w:p w14:paraId="6FC36558"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N</w:t>
            </w:r>
          </w:p>
        </w:tc>
        <w:tc>
          <w:tcPr>
            <w:tcW w:w="1253" w:type="dxa"/>
            <w:tcBorders>
              <w:top w:val="single" w:sz="4" w:space="0" w:color="auto"/>
              <w:left w:val="nil"/>
              <w:bottom w:val="single" w:sz="4" w:space="0" w:color="auto"/>
              <w:right w:val="nil"/>
            </w:tcBorders>
            <w:vAlign w:val="center"/>
            <w:hideMark/>
          </w:tcPr>
          <w:p w14:paraId="3613CF30" w14:textId="77777777" w:rsidR="00B84CC7" w:rsidRPr="00C73427" w:rsidRDefault="00592D61" w:rsidP="002E048D">
            <w:pPr>
              <w:spacing w:after="60"/>
              <w:jc w:val="center"/>
              <w:rPr>
                <w:rFonts w:ascii="Times New Roman" w:hAnsi="Times New Roman"/>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242" w:type="dxa"/>
            <w:tcBorders>
              <w:top w:val="single" w:sz="4" w:space="0" w:color="auto"/>
              <w:left w:val="nil"/>
              <w:bottom w:val="single" w:sz="4" w:space="0" w:color="auto"/>
              <w:right w:val="nil"/>
            </w:tcBorders>
            <w:vAlign w:val="center"/>
            <w:hideMark/>
          </w:tcPr>
          <w:p w14:paraId="310045C5"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SS</w:t>
            </w:r>
          </w:p>
        </w:tc>
        <w:tc>
          <w:tcPr>
            <w:tcW w:w="1226" w:type="dxa"/>
            <w:tcBorders>
              <w:top w:val="single" w:sz="4" w:space="0" w:color="auto"/>
              <w:left w:val="nil"/>
              <w:bottom w:val="single" w:sz="4" w:space="0" w:color="auto"/>
              <w:right w:val="nil"/>
            </w:tcBorders>
            <w:vAlign w:val="center"/>
            <w:hideMark/>
          </w:tcPr>
          <w:p w14:paraId="72816E88"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Sd</w:t>
            </w:r>
          </w:p>
        </w:tc>
        <w:tc>
          <w:tcPr>
            <w:tcW w:w="1207" w:type="dxa"/>
            <w:tcBorders>
              <w:top w:val="single" w:sz="4" w:space="0" w:color="auto"/>
              <w:left w:val="nil"/>
              <w:bottom w:val="single" w:sz="4" w:space="0" w:color="auto"/>
              <w:right w:val="nil"/>
            </w:tcBorders>
            <w:vAlign w:val="center"/>
            <w:hideMark/>
          </w:tcPr>
          <w:p w14:paraId="6A7A3AAF"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T</w:t>
            </w:r>
          </w:p>
        </w:tc>
        <w:tc>
          <w:tcPr>
            <w:tcW w:w="1242" w:type="dxa"/>
            <w:tcBorders>
              <w:top w:val="single" w:sz="4" w:space="0" w:color="auto"/>
              <w:left w:val="nil"/>
              <w:bottom w:val="single" w:sz="4" w:space="0" w:color="auto"/>
              <w:right w:val="nil"/>
            </w:tcBorders>
            <w:vAlign w:val="center"/>
            <w:hideMark/>
          </w:tcPr>
          <w:p w14:paraId="6E2A3F56" w14:textId="77777777" w:rsidR="00B84CC7" w:rsidRPr="00C73427" w:rsidRDefault="00B84CC7" w:rsidP="002E048D">
            <w:pPr>
              <w:spacing w:after="60"/>
              <w:jc w:val="center"/>
              <w:rPr>
                <w:rFonts w:ascii="Times New Roman" w:hAnsi="Times New Roman"/>
                <w:b/>
              </w:rPr>
            </w:pPr>
            <w:r w:rsidRPr="00C73427">
              <w:rPr>
                <w:rFonts w:ascii="Times New Roman" w:hAnsi="Times New Roman"/>
                <w:b/>
              </w:rPr>
              <w:t>p</w:t>
            </w:r>
          </w:p>
        </w:tc>
      </w:tr>
      <w:tr w:rsidR="00B84CC7" w:rsidRPr="00C73427" w14:paraId="4DFE52E8" w14:textId="77777777" w:rsidTr="002E048D">
        <w:trPr>
          <w:trHeight w:val="340"/>
          <w:jc w:val="center"/>
        </w:trPr>
        <w:tc>
          <w:tcPr>
            <w:tcW w:w="1268" w:type="dxa"/>
            <w:tcBorders>
              <w:top w:val="single" w:sz="4" w:space="0" w:color="auto"/>
              <w:left w:val="nil"/>
              <w:bottom w:val="nil"/>
              <w:right w:val="nil"/>
            </w:tcBorders>
            <w:vAlign w:val="center"/>
            <w:hideMark/>
          </w:tcPr>
          <w:p w14:paraId="79CC4D44" w14:textId="77777777" w:rsidR="00B84CC7" w:rsidRPr="00C73427" w:rsidRDefault="00B84CC7" w:rsidP="002E048D">
            <w:pPr>
              <w:spacing w:after="60"/>
              <w:rPr>
                <w:rFonts w:ascii="Times New Roman" w:hAnsi="Times New Roman"/>
                <w:b/>
              </w:rPr>
            </w:pPr>
            <w:r w:rsidRPr="00C73427">
              <w:rPr>
                <w:rFonts w:ascii="Times New Roman" w:hAnsi="Times New Roman"/>
                <w:b/>
              </w:rPr>
              <w:t>Öntest</w:t>
            </w:r>
          </w:p>
        </w:tc>
        <w:tc>
          <w:tcPr>
            <w:tcW w:w="1108" w:type="dxa"/>
            <w:tcBorders>
              <w:top w:val="single" w:sz="4" w:space="0" w:color="auto"/>
              <w:left w:val="nil"/>
              <w:bottom w:val="nil"/>
              <w:right w:val="nil"/>
            </w:tcBorders>
            <w:vAlign w:val="center"/>
            <w:hideMark/>
          </w:tcPr>
          <w:p w14:paraId="2DBD2CD4" w14:textId="77777777" w:rsidR="00B84CC7" w:rsidRPr="00C73427" w:rsidRDefault="00B84CC7" w:rsidP="002E048D">
            <w:pPr>
              <w:spacing w:after="60"/>
              <w:jc w:val="center"/>
              <w:rPr>
                <w:rFonts w:ascii="Times New Roman" w:hAnsi="Times New Roman"/>
              </w:rPr>
            </w:pPr>
            <w:r w:rsidRPr="00C73427">
              <w:rPr>
                <w:rFonts w:ascii="Times New Roman" w:hAnsi="Times New Roman"/>
              </w:rPr>
              <w:t>22</w:t>
            </w:r>
          </w:p>
        </w:tc>
        <w:tc>
          <w:tcPr>
            <w:tcW w:w="1253" w:type="dxa"/>
            <w:tcBorders>
              <w:top w:val="single" w:sz="4" w:space="0" w:color="auto"/>
              <w:left w:val="nil"/>
              <w:bottom w:val="nil"/>
              <w:right w:val="nil"/>
            </w:tcBorders>
            <w:vAlign w:val="center"/>
            <w:hideMark/>
          </w:tcPr>
          <w:p w14:paraId="4D6D960F" w14:textId="77777777" w:rsidR="00B84CC7" w:rsidRPr="00C73427" w:rsidRDefault="00B84CC7" w:rsidP="002E048D">
            <w:pPr>
              <w:spacing w:after="60"/>
              <w:jc w:val="center"/>
              <w:rPr>
                <w:rFonts w:ascii="Times New Roman" w:hAnsi="Times New Roman"/>
              </w:rPr>
            </w:pPr>
            <w:r w:rsidRPr="00C73427">
              <w:rPr>
                <w:rFonts w:ascii="Times New Roman" w:hAnsi="Times New Roman"/>
              </w:rPr>
              <w:t>7.23</w:t>
            </w:r>
          </w:p>
        </w:tc>
        <w:tc>
          <w:tcPr>
            <w:tcW w:w="1242" w:type="dxa"/>
            <w:tcBorders>
              <w:top w:val="single" w:sz="4" w:space="0" w:color="auto"/>
              <w:left w:val="nil"/>
              <w:bottom w:val="nil"/>
              <w:right w:val="nil"/>
            </w:tcBorders>
            <w:vAlign w:val="center"/>
            <w:hideMark/>
          </w:tcPr>
          <w:p w14:paraId="00229D83" w14:textId="77777777" w:rsidR="00B84CC7" w:rsidRPr="00C73427" w:rsidRDefault="00B84CC7" w:rsidP="002E048D">
            <w:pPr>
              <w:spacing w:after="60"/>
              <w:jc w:val="center"/>
              <w:rPr>
                <w:rFonts w:ascii="Times New Roman" w:hAnsi="Times New Roman"/>
              </w:rPr>
            </w:pPr>
            <w:r w:rsidRPr="00C73427">
              <w:rPr>
                <w:rFonts w:ascii="Times New Roman" w:hAnsi="Times New Roman"/>
              </w:rPr>
              <w:t>5.94</w:t>
            </w:r>
          </w:p>
        </w:tc>
        <w:tc>
          <w:tcPr>
            <w:tcW w:w="1226" w:type="dxa"/>
            <w:vMerge w:val="restart"/>
            <w:tcBorders>
              <w:top w:val="single" w:sz="4" w:space="0" w:color="auto"/>
              <w:left w:val="nil"/>
              <w:bottom w:val="single" w:sz="4" w:space="0" w:color="auto"/>
              <w:right w:val="nil"/>
            </w:tcBorders>
            <w:vAlign w:val="center"/>
            <w:hideMark/>
          </w:tcPr>
          <w:p w14:paraId="4B0158D2" w14:textId="77777777" w:rsidR="00B84CC7" w:rsidRPr="00C73427" w:rsidRDefault="00B84CC7" w:rsidP="002E048D">
            <w:pPr>
              <w:spacing w:after="60"/>
              <w:jc w:val="center"/>
              <w:rPr>
                <w:rFonts w:ascii="Times New Roman" w:hAnsi="Times New Roman"/>
              </w:rPr>
            </w:pPr>
            <w:r w:rsidRPr="00C73427">
              <w:rPr>
                <w:rFonts w:ascii="Times New Roman" w:hAnsi="Times New Roman"/>
              </w:rPr>
              <w:t>21</w:t>
            </w:r>
          </w:p>
        </w:tc>
        <w:tc>
          <w:tcPr>
            <w:tcW w:w="1207" w:type="dxa"/>
            <w:vMerge w:val="restart"/>
            <w:tcBorders>
              <w:top w:val="single" w:sz="4" w:space="0" w:color="auto"/>
              <w:left w:val="nil"/>
              <w:bottom w:val="single" w:sz="4" w:space="0" w:color="auto"/>
              <w:right w:val="nil"/>
            </w:tcBorders>
            <w:vAlign w:val="center"/>
            <w:hideMark/>
          </w:tcPr>
          <w:p w14:paraId="0DB94CE8" w14:textId="77777777" w:rsidR="00B84CC7" w:rsidRPr="00C73427" w:rsidRDefault="00B84CC7" w:rsidP="002E048D">
            <w:pPr>
              <w:spacing w:after="60"/>
              <w:jc w:val="center"/>
              <w:rPr>
                <w:rFonts w:ascii="Times New Roman" w:hAnsi="Times New Roman"/>
              </w:rPr>
            </w:pPr>
            <w:r w:rsidRPr="00C73427">
              <w:rPr>
                <w:rFonts w:ascii="Times New Roman" w:hAnsi="Times New Roman"/>
              </w:rPr>
              <w:t>-19.152</w:t>
            </w:r>
          </w:p>
        </w:tc>
        <w:tc>
          <w:tcPr>
            <w:tcW w:w="1242" w:type="dxa"/>
            <w:vMerge w:val="restart"/>
            <w:tcBorders>
              <w:top w:val="single" w:sz="4" w:space="0" w:color="auto"/>
              <w:left w:val="nil"/>
              <w:bottom w:val="single" w:sz="4" w:space="0" w:color="auto"/>
              <w:right w:val="nil"/>
            </w:tcBorders>
            <w:vAlign w:val="center"/>
            <w:hideMark/>
          </w:tcPr>
          <w:p w14:paraId="18C80F44" w14:textId="77777777" w:rsidR="00B84CC7" w:rsidRPr="00C73427" w:rsidRDefault="00B84CC7" w:rsidP="002E048D">
            <w:pPr>
              <w:spacing w:after="60"/>
              <w:jc w:val="center"/>
              <w:rPr>
                <w:rFonts w:ascii="Times New Roman" w:hAnsi="Times New Roman"/>
                <w:vertAlign w:val="superscript"/>
              </w:rPr>
            </w:pPr>
            <w:r w:rsidRPr="00C73427">
              <w:rPr>
                <w:rFonts w:ascii="Times New Roman" w:hAnsi="Times New Roman"/>
              </w:rPr>
              <w:t>.000</w:t>
            </w:r>
            <w:r w:rsidRPr="00C73427">
              <w:rPr>
                <w:rFonts w:ascii="Times New Roman" w:hAnsi="Times New Roman"/>
                <w:vertAlign w:val="superscript"/>
              </w:rPr>
              <w:t>*</w:t>
            </w:r>
          </w:p>
        </w:tc>
      </w:tr>
      <w:tr w:rsidR="00B84CC7" w:rsidRPr="00C73427" w14:paraId="7723A7C4" w14:textId="77777777" w:rsidTr="002E048D">
        <w:trPr>
          <w:trHeight w:val="350"/>
          <w:jc w:val="center"/>
        </w:trPr>
        <w:tc>
          <w:tcPr>
            <w:tcW w:w="1268" w:type="dxa"/>
            <w:tcBorders>
              <w:top w:val="nil"/>
              <w:left w:val="nil"/>
              <w:bottom w:val="single" w:sz="4" w:space="0" w:color="auto"/>
              <w:right w:val="nil"/>
            </w:tcBorders>
            <w:vAlign w:val="center"/>
            <w:hideMark/>
          </w:tcPr>
          <w:p w14:paraId="30BF78C1" w14:textId="77777777" w:rsidR="00B84CC7" w:rsidRPr="00C73427" w:rsidRDefault="00B84CC7" w:rsidP="002E048D">
            <w:pPr>
              <w:spacing w:after="60"/>
              <w:rPr>
                <w:rFonts w:ascii="Times New Roman" w:hAnsi="Times New Roman"/>
                <w:b/>
              </w:rPr>
            </w:pPr>
            <w:r w:rsidRPr="00C73427">
              <w:rPr>
                <w:rFonts w:ascii="Times New Roman" w:hAnsi="Times New Roman"/>
                <w:b/>
              </w:rPr>
              <w:t>Sontest</w:t>
            </w:r>
          </w:p>
        </w:tc>
        <w:tc>
          <w:tcPr>
            <w:tcW w:w="1108" w:type="dxa"/>
            <w:tcBorders>
              <w:top w:val="nil"/>
              <w:left w:val="nil"/>
              <w:bottom w:val="single" w:sz="4" w:space="0" w:color="auto"/>
              <w:right w:val="nil"/>
            </w:tcBorders>
            <w:vAlign w:val="center"/>
            <w:hideMark/>
          </w:tcPr>
          <w:p w14:paraId="3C886239" w14:textId="77777777" w:rsidR="00B84CC7" w:rsidRPr="00C73427" w:rsidRDefault="00B84CC7" w:rsidP="002E048D">
            <w:pPr>
              <w:spacing w:after="60"/>
              <w:jc w:val="center"/>
              <w:rPr>
                <w:rFonts w:ascii="Times New Roman" w:hAnsi="Times New Roman"/>
              </w:rPr>
            </w:pPr>
            <w:r w:rsidRPr="00C73427">
              <w:rPr>
                <w:rFonts w:ascii="Times New Roman" w:hAnsi="Times New Roman"/>
              </w:rPr>
              <w:t>22</w:t>
            </w:r>
          </w:p>
        </w:tc>
        <w:tc>
          <w:tcPr>
            <w:tcW w:w="1253" w:type="dxa"/>
            <w:tcBorders>
              <w:top w:val="nil"/>
              <w:left w:val="nil"/>
              <w:bottom w:val="single" w:sz="4" w:space="0" w:color="auto"/>
              <w:right w:val="nil"/>
            </w:tcBorders>
            <w:vAlign w:val="center"/>
            <w:hideMark/>
          </w:tcPr>
          <w:p w14:paraId="572D03F1" w14:textId="77777777" w:rsidR="00B84CC7" w:rsidRPr="00C73427" w:rsidRDefault="00B84CC7" w:rsidP="002E048D">
            <w:pPr>
              <w:spacing w:after="60"/>
              <w:jc w:val="center"/>
              <w:rPr>
                <w:rFonts w:ascii="Times New Roman" w:hAnsi="Times New Roman"/>
              </w:rPr>
            </w:pPr>
            <w:r w:rsidRPr="00C73427">
              <w:rPr>
                <w:rFonts w:ascii="Times New Roman" w:hAnsi="Times New Roman"/>
              </w:rPr>
              <w:t>42.77</w:t>
            </w:r>
          </w:p>
        </w:tc>
        <w:tc>
          <w:tcPr>
            <w:tcW w:w="1242" w:type="dxa"/>
            <w:tcBorders>
              <w:top w:val="nil"/>
              <w:left w:val="nil"/>
              <w:bottom w:val="single" w:sz="4" w:space="0" w:color="auto"/>
              <w:right w:val="nil"/>
            </w:tcBorders>
            <w:vAlign w:val="center"/>
            <w:hideMark/>
          </w:tcPr>
          <w:p w14:paraId="74FD0938" w14:textId="77777777" w:rsidR="00B84CC7" w:rsidRPr="00C73427" w:rsidRDefault="00B84CC7" w:rsidP="002E048D">
            <w:pPr>
              <w:spacing w:after="60"/>
              <w:jc w:val="center"/>
              <w:rPr>
                <w:rFonts w:ascii="Times New Roman" w:hAnsi="Times New Roman"/>
              </w:rPr>
            </w:pPr>
            <w:r w:rsidRPr="00C73427">
              <w:rPr>
                <w:rFonts w:ascii="Times New Roman" w:hAnsi="Times New Roman"/>
              </w:rPr>
              <w:t>8.60</w:t>
            </w:r>
          </w:p>
        </w:tc>
        <w:tc>
          <w:tcPr>
            <w:tcW w:w="0" w:type="auto"/>
            <w:vMerge/>
            <w:tcBorders>
              <w:top w:val="single" w:sz="4" w:space="0" w:color="auto"/>
              <w:left w:val="nil"/>
              <w:bottom w:val="single" w:sz="4" w:space="0" w:color="auto"/>
              <w:right w:val="nil"/>
            </w:tcBorders>
            <w:vAlign w:val="center"/>
            <w:hideMark/>
          </w:tcPr>
          <w:p w14:paraId="2A578CED" w14:textId="77777777" w:rsidR="00B84CC7" w:rsidRPr="00C73427" w:rsidRDefault="00B84CC7" w:rsidP="002E048D">
            <w:pPr>
              <w:rPr>
                <w:rFonts w:ascii="Times New Roman" w:hAnsi="Times New Roman"/>
                <w:sz w:val="24"/>
                <w:szCs w:val="24"/>
              </w:rPr>
            </w:pPr>
          </w:p>
        </w:tc>
        <w:tc>
          <w:tcPr>
            <w:tcW w:w="1207" w:type="dxa"/>
            <w:vMerge/>
            <w:tcBorders>
              <w:top w:val="single" w:sz="4" w:space="0" w:color="auto"/>
              <w:left w:val="nil"/>
              <w:bottom w:val="single" w:sz="4" w:space="0" w:color="auto"/>
              <w:right w:val="nil"/>
            </w:tcBorders>
            <w:vAlign w:val="center"/>
            <w:hideMark/>
          </w:tcPr>
          <w:p w14:paraId="7BC62301" w14:textId="77777777" w:rsidR="00B84CC7" w:rsidRPr="00C73427" w:rsidRDefault="00B84CC7" w:rsidP="002E048D">
            <w:pPr>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14:paraId="7B39E56E" w14:textId="77777777" w:rsidR="00B84CC7" w:rsidRPr="00C73427" w:rsidRDefault="00B84CC7" w:rsidP="002E048D">
            <w:pPr>
              <w:rPr>
                <w:rFonts w:ascii="Times New Roman" w:hAnsi="Times New Roman"/>
                <w:sz w:val="24"/>
                <w:szCs w:val="24"/>
              </w:rPr>
            </w:pPr>
          </w:p>
        </w:tc>
      </w:tr>
    </w:tbl>
    <w:p w14:paraId="2DE7FF51" w14:textId="77777777" w:rsidR="00B84CC7" w:rsidRPr="00C73427" w:rsidRDefault="00B84CC7" w:rsidP="00B84CC7">
      <w:pPr>
        <w:spacing w:line="360" w:lineRule="auto"/>
        <w:rPr>
          <w:rFonts w:ascii="Times New Roman" w:hAnsi="Times New Roman"/>
          <w:sz w:val="24"/>
          <w:szCs w:val="24"/>
        </w:rPr>
      </w:pPr>
      <w:r w:rsidRPr="00C73427">
        <w:rPr>
          <w:rFonts w:ascii="Times New Roman" w:hAnsi="Times New Roman"/>
          <w:sz w:val="20"/>
          <w:szCs w:val="20"/>
          <w:vertAlign w:val="superscript"/>
        </w:rPr>
        <w:t>*</w:t>
      </w:r>
      <w:r w:rsidRPr="00C73427">
        <w:rPr>
          <w:rFonts w:ascii="Times New Roman" w:hAnsi="Times New Roman"/>
          <w:sz w:val="20"/>
          <w:szCs w:val="20"/>
        </w:rPr>
        <w:t>p&lt;.05</w:t>
      </w:r>
    </w:p>
    <w:p w14:paraId="383A9CAB"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lastRenderedPageBreak/>
        <w:t xml:space="preserve">Uygulama grubunda başarı testinin ön test ve son test olarak uygulanmasından elde elden veriler ön test ve son test arasındaki olası farkları ortaya çıkarmak amacıyla istatistiksel analize tabi tutulmuştur. Yapılan istatistiksel analiz sonuçları, öğrencilerin ATBÖ yaklaşımı uygulanmadan önce başarı testinden aldıkları puanların ortalaması 7.23 iken uygulamadan sonra aynı testten aldıkları puanların ortalaması 42.77 ye yükseldiğini ortaya çıkarmıştır. Başarı ön testi ve son testi arasında istatistiksel olarak anlamlı bir farklılığın olup olmadığını tespit etmek için kullanılmasına karar verilen eşleştirilmiş örneklem t testi yapılmadan önce gerekli varsayımların sağlanıp sağlamadığını belirlemek için hesaplanan çarpıklık ve basıklık değerleri -1 ve +1 arasında olup verilerin normal dağıldığına işaret etmektedir. Gerekli varsayımların sağlandığı belirlendikten sonra yapılan analizin sonuçları, başarı ön testi ve son testi arasında .05 anlamlılık düzeyinde istatistiksel olarak anlamlı bir fark olduğunu ortaya koymuştur (p=.00&lt;.05). Başka bir ifadeyle, matematik öğretiminde kullanılan ATBÖ yaklaşımının öğrencilerin fonksiyonlar konusundaki başarılarını arttırmada başarılı bir yöntem olduğu söylenebilir. </w:t>
      </w:r>
    </w:p>
    <w:p w14:paraId="3B992895"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 xml:space="preserve">15 açık uçlu sorudan oluşan Fonksiyon Başarı Testi uzman görüşleri alınarak 4 kategoriye ayrılmıştır. Kategoriler 15 açık uçlu soru için A kategorisinde 4, B kategorisinde 3, C kategorisinde 4 ve D kategorisinde 4 soru şeklinde oluşturulmuştur. A kategorisi; daha çok basit düzeyde işlemsel soruları içeren kategoridir. B kategorisi; temel bilgilerin kavranmasıyla ilgili A kategorisindeki sorulara göre biraz daha zor sorular içermektedir. C kategorisi; grafik sorularını içeren kategoridir ve D kategorisi ise daha çok muhakeme tipi soruları içeren kategoridir. Analiz öncesi gerekli varsayımların sağlanıp sağlanmadığının ve öncelikle verilerin normal dağılıp dağılmadığının belirlenmesi için basıklık ve çarpıklık değerleri hesaplanmış ve boxplots grafikleri çizilmiştir. Çizilen boxplot grafiklerinin D kategorisinde bir aşırı değer tespit edilmiştir ve normalliği etkilediği için bu değer en düşük bir alt değerle değiştirilmiştir. Yeniden hesaplanan basıklık ve çarpıklık değerleri verilerin her bir kategori için normal dağıldığına işaret etmektedir.  Ayrıca varyansların homojenliği için yapılan levene testi de bu varsayımın .05 düzeyinde karşılandığını göstermektedir (F(3,84)=2,198; p=0,094). Her bir kategoriye öğrencilerin ortalamaları arasında anlamlı bir farklılık olup olmadığını tespit etmek için eşleştirilmiş örneklem t testi </w:t>
      </w:r>
      <w:r>
        <w:rPr>
          <w:rFonts w:ascii="Times New Roman" w:hAnsi="Times New Roman"/>
          <w:sz w:val="24"/>
          <w:szCs w:val="24"/>
        </w:rPr>
        <w:t xml:space="preserve">yapılmıştır ve sonuçlar Tablo </w:t>
      </w:r>
      <w:r w:rsidRPr="00C73427">
        <w:rPr>
          <w:rFonts w:ascii="Times New Roman" w:hAnsi="Times New Roman"/>
          <w:sz w:val="24"/>
          <w:szCs w:val="24"/>
        </w:rPr>
        <w:t xml:space="preserve">2 ‘de gösterilmiştir. </w:t>
      </w:r>
    </w:p>
    <w:p w14:paraId="7DB6BB82" w14:textId="77777777" w:rsidR="00B84CC7" w:rsidRPr="006E0B7C" w:rsidRDefault="00B84CC7" w:rsidP="00B84CC7">
      <w:pPr>
        <w:keepNext/>
        <w:keepLines/>
        <w:spacing w:before="240" w:after="0" w:line="360" w:lineRule="auto"/>
        <w:jc w:val="both"/>
        <w:outlineLvl w:val="1"/>
        <w:rPr>
          <w:rFonts w:ascii="Times New Roman" w:eastAsia="Times New Roman" w:hAnsi="Times New Roman"/>
          <w:bCs/>
          <w:iCs/>
          <w:sz w:val="24"/>
          <w:szCs w:val="26"/>
        </w:rPr>
      </w:pPr>
      <w:bookmarkStart w:id="4" w:name="_Toc384194008"/>
      <w:bookmarkStart w:id="5" w:name="_Toc400882124"/>
      <w:r w:rsidRPr="006E0B7C">
        <w:rPr>
          <w:rFonts w:ascii="Times New Roman" w:eastAsia="Times New Roman" w:hAnsi="Times New Roman"/>
          <w:b/>
          <w:bCs/>
          <w:iCs/>
          <w:sz w:val="24"/>
          <w:szCs w:val="26"/>
        </w:rPr>
        <w:t>Tablo 2</w:t>
      </w:r>
      <w:bookmarkEnd w:id="4"/>
      <w:r w:rsidRPr="00C73427">
        <w:rPr>
          <w:rFonts w:ascii="Times New Roman" w:eastAsia="Times New Roman" w:hAnsi="Times New Roman"/>
          <w:bCs/>
          <w:iCs/>
          <w:sz w:val="24"/>
          <w:szCs w:val="26"/>
        </w:rPr>
        <w:t>.</w:t>
      </w:r>
      <w:bookmarkStart w:id="6" w:name="_Toc400882125"/>
      <w:bookmarkEnd w:id="5"/>
      <w:r>
        <w:rPr>
          <w:rFonts w:ascii="Times New Roman" w:eastAsia="Times New Roman" w:hAnsi="Times New Roman"/>
          <w:bCs/>
          <w:iCs/>
          <w:sz w:val="24"/>
          <w:szCs w:val="26"/>
        </w:rPr>
        <w:t xml:space="preserve"> </w:t>
      </w:r>
      <w:r w:rsidRPr="006E0B7C">
        <w:rPr>
          <w:rFonts w:ascii="Times New Roman" w:eastAsia="Times New Roman" w:hAnsi="Times New Roman"/>
          <w:bCs/>
          <w:sz w:val="24"/>
          <w:szCs w:val="26"/>
        </w:rPr>
        <w:t>Kategorilere Ayrılan Fonksiyon Başarı Testi Öntest-Sontest Puan Ortalamalarına Ait Eşleştirilmiş Örneklem t testi Sonuçları</w:t>
      </w:r>
      <w:bookmarkEnd w:id="6"/>
    </w:p>
    <w:tbl>
      <w:tblPr>
        <w:tblW w:w="7388" w:type="dxa"/>
        <w:jc w:val="center"/>
        <w:tblLayout w:type="fixed"/>
        <w:tblCellMar>
          <w:left w:w="0" w:type="dxa"/>
          <w:right w:w="0" w:type="dxa"/>
        </w:tblCellMar>
        <w:tblLook w:val="0000" w:firstRow="0" w:lastRow="0" w:firstColumn="0" w:lastColumn="0" w:noHBand="0" w:noVBand="0"/>
      </w:tblPr>
      <w:tblGrid>
        <w:gridCol w:w="1009"/>
        <w:gridCol w:w="1009"/>
        <w:gridCol w:w="1009"/>
        <w:gridCol w:w="1423"/>
        <w:gridCol w:w="1469"/>
        <w:gridCol w:w="1469"/>
      </w:tblGrid>
      <w:tr w:rsidR="00B84CC7" w:rsidRPr="00C73427" w14:paraId="79353F76" w14:textId="77777777" w:rsidTr="002E048D">
        <w:trPr>
          <w:cantSplit/>
          <w:jc w:val="center"/>
        </w:trPr>
        <w:tc>
          <w:tcPr>
            <w:tcW w:w="1009" w:type="dxa"/>
            <w:tcBorders>
              <w:top w:val="single" w:sz="4" w:space="0" w:color="auto"/>
              <w:bottom w:val="single" w:sz="4" w:space="0" w:color="auto"/>
            </w:tcBorders>
            <w:shd w:val="clear" w:color="auto" w:fill="FFFFFF"/>
          </w:tcPr>
          <w:p w14:paraId="66447332"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Ölçüm</w:t>
            </w:r>
          </w:p>
        </w:tc>
        <w:tc>
          <w:tcPr>
            <w:tcW w:w="1009" w:type="dxa"/>
            <w:tcBorders>
              <w:top w:val="single" w:sz="4" w:space="0" w:color="auto"/>
              <w:bottom w:val="single" w:sz="4" w:space="0" w:color="auto"/>
            </w:tcBorders>
            <w:shd w:val="clear" w:color="auto" w:fill="FFFFFF"/>
          </w:tcPr>
          <w:p w14:paraId="6B04208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N</w:t>
            </w:r>
          </w:p>
        </w:tc>
        <w:tc>
          <w:tcPr>
            <w:tcW w:w="1009" w:type="dxa"/>
            <w:tcBorders>
              <w:top w:val="single" w:sz="4" w:space="0" w:color="auto"/>
              <w:bottom w:val="single" w:sz="4" w:space="0" w:color="auto"/>
            </w:tcBorders>
            <w:shd w:val="clear" w:color="auto" w:fill="FFFFFF"/>
          </w:tcPr>
          <w:p w14:paraId="185FB874" w14:textId="77777777" w:rsidR="00B84CC7" w:rsidRPr="00C73427" w:rsidRDefault="00592D61" w:rsidP="002E048D">
            <w:pPr>
              <w:autoSpaceDE w:val="0"/>
              <w:autoSpaceDN w:val="0"/>
              <w:adjustRightInd w:val="0"/>
              <w:spacing w:after="0" w:line="320" w:lineRule="atLeast"/>
              <w:ind w:left="60" w:right="60"/>
              <w:jc w:val="center"/>
              <w:rPr>
                <w:rFonts w:ascii="Times New Roman" w:hAnsi="Times New Roman"/>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1423" w:type="dxa"/>
            <w:tcBorders>
              <w:top w:val="single" w:sz="4" w:space="0" w:color="auto"/>
              <w:bottom w:val="single" w:sz="4" w:space="0" w:color="auto"/>
            </w:tcBorders>
            <w:shd w:val="clear" w:color="auto" w:fill="FFFFFF"/>
          </w:tcPr>
          <w:p w14:paraId="2B33E7A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SS</w:t>
            </w:r>
          </w:p>
        </w:tc>
        <w:tc>
          <w:tcPr>
            <w:tcW w:w="1469" w:type="dxa"/>
            <w:tcBorders>
              <w:top w:val="single" w:sz="4" w:space="0" w:color="auto"/>
              <w:bottom w:val="single" w:sz="4" w:space="0" w:color="auto"/>
            </w:tcBorders>
            <w:shd w:val="clear" w:color="auto" w:fill="FFFFFF"/>
          </w:tcPr>
          <w:p w14:paraId="0149A26C"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T</w:t>
            </w:r>
          </w:p>
        </w:tc>
        <w:tc>
          <w:tcPr>
            <w:tcW w:w="1469" w:type="dxa"/>
            <w:tcBorders>
              <w:top w:val="single" w:sz="4" w:space="0" w:color="auto"/>
              <w:bottom w:val="single" w:sz="4" w:space="0" w:color="auto"/>
            </w:tcBorders>
            <w:shd w:val="clear" w:color="auto" w:fill="FFFFFF"/>
          </w:tcPr>
          <w:p w14:paraId="00E8ACA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p</w:t>
            </w:r>
          </w:p>
        </w:tc>
      </w:tr>
      <w:tr w:rsidR="00B84CC7" w:rsidRPr="00C73427" w14:paraId="476331A4" w14:textId="77777777" w:rsidTr="002E048D">
        <w:trPr>
          <w:cantSplit/>
          <w:jc w:val="center"/>
        </w:trPr>
        <w:tc>
          <w:tcPr>
            <w:tcW w:w="1009" w:type="dxa"/>
            <w:tcBorders>
              <w:top w:val="single" w:sz="4" w:space="0" w:color="auto"/>
            </w:tcBorders>
            <w:shd w:val="clear" w:color="auto" w:fill="FFFFFF"/>
            <w:vAlign w:val="center"/>
          </w:tcPr>
          <w:p w14:paraId="0AD09CAC"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Aö</w:t>
            </w:r>
          </w:p>
        </w:tc>
        <w:tc>
          <w:tcPr>
            <w:tcW w:w="1009" w:type="dxa"/>
            <w:tcBorders>
              <w:top w:val="single" w:sz="4" w:space="0" w:color="auto"/>
            </w:tcBorders>
            <w:shd w:val="clear" w:color="auto" w:fill="FFFFFF"/>
          </w:tcPr>
          <w:p w14:paraId="001734F3"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1557062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4.00</w:t>
            </w:r>
          </w:p>
        </w:tc>
        <w:tc>
          <w:tcPr>
            <w:tcW w:w="1423" w:type="dxa"/>
            <w:tcBorders>
              <w:top w:val="single" w:sz="4" w:space="0" w:color="auto"/>
            </w:tcBorders>
            <w:shd w:val="clear" w:color="auto" w:fill="FFFFFF"/>
          </w:tcPr>
          <w:p w14:paraId="4694B32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3.48</w:t>
            </w:r>
          </w:p>
        </w:tc>
        <w:tc>
          <w:tcPr>
            <w:tcW w:w="1469" w:type="dxa"/>
            <w:vMerge w:val="restart"/>
            <w:tcBorders>
              <w:top w:val="single" w:sz="4" w:space="0" w:color="auto"/>
            </w:tcBorders>
            <w:shd w:val="clear" w:color="auto" w:fill="FFFFFF"/>
            <w:vAlign w:val="center"/>
          </w:tcPr>
          <w:p w14:paraId="51A9DF9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-10.34</w:t>
            </w:r>
          </w:p>
        </w:tc>
        <w:tc>
          <w:tcPr>
            <w:tcW w:w="1469" w:type="dxa"/>
            <w:vMerge w:val="restart"/>
            <w:tcBorders>
              <w:top w:val="single" w:sz="4" w:space="0" w:color="auto"/>
            </w:tcBorders>
            <w:shd w:val="clear" w:color="auto" w:fill="FFFFFF"/>
            <w:vAlign w:val="center"/>
          </w:tcPr>
          <w:p w14:paraId="7CF468B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3D46E976" w14:textId="77777777" w:rsidTr="002E048D">
        <w:trPr>
          <w:cantSplit/>
          <w:jc w:val="center"/>
        </w:trPr>
        <w:tc>
          <w:tcPr>
            <w:tcW w:w="1009" w:type="dxa"/>
            <w:tcBorders>
              <w:bottom w:val="single" w:sz="4" w:space="0" w:color="auto"/>
            </w:tcBorders>
            <w:shd w:val="clear" w:color="auto" w:fill="FFFFFF"/>
            <w:vAlign w:val="center"/>
          </w:tcPr>
          <w:p w14:paraId="43743AB8"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lastRenderedPageBreak/>
              <w:t>As</w:t>
            </w:r>
          </w:p>
        </w:tc>
        <w:tc>
          <w:tcPr>
            <w:tcW w:w="1009" w:type="dxa"/>
            <w:tcBorders>
              <w:bottom w:val="single" w:sz="4" w:space="0" w:color="auto"/>
            </w:tcBorders>
            <w:shd w:val="clear" w:color="auto" w:fill="FFFFFF"/>
          </w:tcPr>
          <w:p w14:paraId="5CFD6C06"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0126117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13.55</w:t>
            </w:r>
          </w:p>
        </w:tc>
        <w:tc>
          <w:tcPr>
            <w:tcW w:w="1423" w:type="dxa"/>
            <w:tcBorders>
              <w:bottom w:val="single" w:sz="4" w:space="0" w:color="auto"/>
            </w:tcBorders>
            <w:shd w:val="clear" w:color="auto" w:fill="FFFFFF"/>
          </w:tcPr>
          <w:p w14:paraId="2C78388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3.38</w:t>
            </w:r>
          </w:p>
        </w:tc>
        <w:tc>
          <w:tcPr>
            <w:tcW w:w="1469" w:type="dxa"/>
            <w:vMerge/>
            <w:tcBorders>
              <w:bottom w:val="single" w:sz="4" w:space="0" w:color="auto"/>
            </w:tcBorders>
            <w:shd w:val="clear" w:color="auto" w:fill="FFFFFF"/>
            <w:vAlign w:val="center"/>
          </w:tcPr>
          <w:p w14:paraId="1B1C6A8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2C2FB53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0C6F5054" w14:textId="77777777" w:rsidTr="002E048D">
        <w:trPr>
          <w:cantSplit/>
          <w:jc w:val="center"/>
        </w:trPr>
        <w:tc>
          <w:tcPr>
            <w:tcW w:w="1009" w:type="dxa"/>
            <w:tcBorders>
              <w:top w:val="single" w:sz="4" w:space="0" w:color="auto"/>
            </w:tcBorders>
            <w:shd w:val="clear" w:color="auto" w:fill="FFFFFF"/>
            <w:vAlign w:val="center"/>
          </w:tcPr>
          <w:p w14:paraId="64772F17"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Bö</w:t>
            </w:r>
          </w:p>
        </w:tc>
        <w:tc>
          <w:tcPr>
            <w:tcW w:w="1009" w:type="dxa"/>
            <w:tcBorders>
              <w:top w:val="single" w:sz="4" w:space="0" w:color="auto"/>
            </w:tcBorders>
            <w:shd w:val="clear" w:color="auto" w:fill="FFFFFF"/>
          </w:tcPr>
          <w:p w14:paraId="4B5677FF" w14:textId="77777777" w:rsidR="00B84CC7" w:rsidRPr="00C73427" w:rsidRDefault="00B84CC7" w:rsidP="002E048D">
            <w:pPr>
              <w:tabs>
                <w:tab w:val="left" w:pos="323"/>
                <w:tab w:val="center" w:pos="504"/>
              </w:tabs>
              <w:autoSpaceDE w:val="0"/>
              <w:autoSpaceDN w:val="0"/>
              <w:adjustRightInd w:val="0"/>
              <w:spacing w:after="0" w:line="320" w:lineRule="atLeast"/>
              <w:ind w:left="60" w:right="60"/>
              <w:rPr>
                <w:rFonts w:ascii="Times New Roman" w:hAnsi="Times New Roman"/>
                <w:color w:val="000000"/>
              </w:rPr>
            </w:pPr>
            <w:r w:rsidRPr="00C73427">
              <w:rPr>
                <w:rFonts w:ascii="Times New Roman" w:hAnsi="Times New Roman"/>
                <w:color w:val="000000"/>
              </w:rPr>
              <w:tab/>
            </w:r>
            <w:r w:rsidRPr="00C73427">
              <w:rPr>
                <w:rFonts w:ascii="Times New Roman" w:hAnsi="Times New Roman"/>
                <w:color w:val="000000"/>
              </w:rPr>
              <w:tab/>
              <w:t>22</w:t>
            </w:r>
          </w:p>
        </w:tc>
        <w:tc>
          <w:tcPr>
            <w:tcW w:w="1009" w:type="dxa"/>
            <w:tcBorders>
              <w:top w:val="single" w:sz="4" w:space="0" w:color="auto"/>
            </w:tcBorders>
            <w:shd w:val="clear" w:color="auto" w:fill="FFFFFF"/>
          </w:tcPr>
          <w:p w14:paraId="4F46480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.91</w:t>
            </w:r>
          </w:p>
        </w:tc>
        <w:tc>
          <w:tcPr>
            <w:tcW w:w="1423" w:type="dxa"/>
            <w:tcBorders>
              <w:top w:val="single" w:sz="4" w:space="0" w:color="auto"/>
            </w:tcBorders>
            <w:shd w:val="clear" w:color="auto" w:fill="FFFFFF"/>
          </w:tcPr>
          <w:p w14:paraId="56461EF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1.51</w:t>
            </w:r>
          </w:p>
        </w:tc>
        <w:tc>
          <w:tcPr>
            <w:tcW w:w="1469" w:type="dxa"/>
            <w:vMerge w:val="restart"/>
            <w:tcBorders>
              <w:top w:val="single" w:sz="4" w:space="0" w:color="auto"/>
            </w:tcBorders>
            <w:shd w:val="clear" w:color="auto" w:fill="FFFFFF"/>
            <w:vAlign w:val="center"/>
          </w:tcPr>
          <w:p w14:paraId="5B1DDAB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-10.15</w:t>
            </w:r>
          </w:p>
        </w:tc>
        <w:tc>
          <w:tcPr>
            <w:tcW w:w="1469" w:type="dxa"/>
            <w:vMerge w:val="restart"/>
            <w:tcBorders>
              <w:top w:val="single" w:sz="4" w:space="0" w:color="auto"/>
            </w:tcBorders>
            <w:shd w:val="clear" w:color="auto" w:fill="FFFFFF"/>
            <w:vAlign w:val="center"/>
          </w:tcPr>
          <w:p w14:paraId="235B9BA8"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E8A0D64" w14:textId="77777777" w:rsidTr="002E048D">
        <w:trPr>
          <w:cantSplit/>
          <w:jc w:val="center"/>
        </w:trPr>
        <w:tc>
          <w:tcPr>
            <w:tcW w:w="1009" w:type="dxa"/>
            <w:tcBorders>
              <w:bottom w:val="single" w:sz="4" w:space="0" w:color="auto"/>
            </w:tcBorders>
            <w:shd w:val="clear" w:color="auto" w:fill="FFFFFF"/>
            <w:vAlign w:val="center"/>
          </w:tcPr>
          <w:p w14:paraId="25696741"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Bs</w:t>
            </w:r>
          </w:p>
        </w:tc>
        <w:tc>
          <w:tcPr>
            <w:tcW w:w="1009" w:type="dxa"/>
            <w:tcBorders>
              <w:bottom w:val="single" w:sz="4" w:space="0" w:color="auto"/>
            </w:tcBorders>
            <w:shd w:val="clear" w:color="auto" w:fill="FFFFFF"/>
          </w:tcPr>
          <w:p w14:paraId="57AB000E"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62DF1F3"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8.09</w:t>
            </w:r>
          </w:p>
        </w:tc>
        <w:tc>
          <w:tcPr>
            <w:tcW w:w="1423" w:type="dxa"/>
            <w:tcBorders>
              <w:bottom w:val="single" w:sz="4" w:space="0" w:color="auto"/>
            </w:tcBorders>
            <w:shd w:val="clear" w:color="auto" w:fill="FFFFFF"/>
          </w:tcPr>
          <w:p w14:paraId="3BA7E17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3.25</w:t>
            </w:r>
          </w:p>
        </w:tc>
        <w:tc>
          <w:tcPr>
            <w:tcW w:w="1469" w:type="dxa"/>
            <w:vMerge/>
            <w:tcBorders>
              <w:bottom w:val="single" w:sz="4" w:space="0" w:color="auto"/>
            </w:tcBorders>
            <w:shd w:val="clear" w:color="auto" w:fill="FFFFFF"/>
            <w:vAlign w:val="center"/>
          </w:tcPr>
          <w:p w14:paraId="3280E16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15530F99"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161D4482" w14:textId="77777777" w:rsidTr="002E048D">
        <w:trPr>
          <w:cantSplit/>
          <w:jc w:val="center"/>
        </w:trPr>
        <w:tc>
          <w:tcPr>
            <w:tcW w:w="1009" w:type="dxa"/>
            <w:tcBorders>
              <w:top w:val="single" w:sz="4" w:space="0" w:color="auto"/>
            </w:tcBorders>
            <w:shd w:val="clear" w:color="auto" w:fill="FFFFFF"/>
            <w:vAlign w:val="center"/>
          </w:tcPr>
          <w:p w14:paraId="013080A3"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Cö</w:t>
            </w:r>
          </w:p>
        </w:tc>
        <w:tc>
          <w:tcPr>
            <w:tcW w:w="1009" w:type="dxa"/>
            <w:tcBorders>
              <w:top w:val="single" w:sz="4" w:space="0" w:color="auto"/>
            </w:tcBorders>
            <w:shd w:val="clear" w:color="auto" w:fill="FFFFFF"/>
          </w:tcPr>
          <w:p w14:paraId="3CC38F62"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356075D9"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.72</w:t>
            </w:r>
          </w:p>
        </w:tc>
        <w:tc>
          <w:tcPr>
            <w:tcW w:w="1423" w:type="dxa"/>
            <w:tcBorders>
              <w:top w:val="single" w:sz="4" w:space="0" w:color="auto"/>
            </w:tcBorders>
            <w:shd w:val="clear" w:color="auto" w:fill="FFFFFF"/>
          </w:tcPr>
          <w:p w14:paraId="5095E391"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1.16</w:t>
            </w:r>
          </w:p>
        </w:tc>
        <w:tc>
          <w:tcPr>
            <w:tcW w:w="1469" w:type="dxa"/>
            <w:vMerge w:val="restart"/>
            <w:tcBorders>
              <w:top w:val="single" w:sz="4" w:space="0" w:color="auto"/>
            </w:tcBorders>
            <w:shd w:val="clear" w:color="auto" w:fill="FFFFFF"/>
            <w:vAlign w:val="center"/>
          </w:tcPr>
          <w:p w14:paraId="2148146F"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-12.32</w:t>
            </w:r>
          </w:p>
        </w:tc>
        <w:tc>
          <w:tcPr>
            <w:tcW w:w="1469" w:type="dxa"/>
            <w:vMerge w:val="restart"/>
            <w:tcBorders>
              <w:top w:val="single" w:sz="4" w:space="0" w:color="auto"/>
            </w:tcBorders>
            <w:shd w:val="clear" w:color="auto" w:fill="FFFFFF"/>
            <w:vAlign w:val="center"/>
          </w:tcPr>
          <w:p w14:paraId="6544A93C"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76885FB7" w14:textId="77777777" w:rsidTr="002E048D">
        <w:trPr>
          <w:cantSplit/>
          <w:jc w:val="center"/>
        </w:trPr>
        <w:tc>
          <w:tcPr>
            <w:tcW w:w="1009" w:type="dxa"/>
            <w:tcBorders>
              <w:bottom w:val="single" w:sz="4" w:space="0" w:color="auto"/>
            </w:tcBorders>
            <w:shd w:val="clear" w:color="auto" w:fill="FFFFFF"/>
            <w:vAlign w:val="center"/>
          </w:tcPr>
          <w:p w14:paraId="7BD9DD4E"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Cs</w:t>
            </w:r>
          </w:p>
        </w:tc>
        <w:tc>
          <w:tcPr>
            <w:tcW w:w="1009" w:type="dxa"/>
            <w:tcBorders>
              <w:bottom w:val="single" w:sz="4" w:space="0" w:color="auto"/>
            </w:tcBorders>
            <w:shd w:val="clear" w:color="auto" w:fill="FFFFFF"/>
          </w:tcPr>
          <w:p w14:paraId="700BEE5F"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14C4A83A"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10.81</w:t>
            </w:r>
          </w:p>
        </w:tc>
        <w:tc>
          <w:tcPr>
            <w:tcW w:w="1423" w:type="dxa"/>
            <w:tcBorders>
              <w:bottom w:val="single" w:sz="4" w:space="0" w:color="auto"/>
            </w:tcBorders>
            <w:shd w:val="clear" w:color="auto" w:fill="FFFFFF"/>
          </w:tcPr>
          <w:p w14:paraId="57767A55"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4.05</w:t>
            </w:r>
          </w:p>
        </w:tc>
        <w:tc>
          <w:tcPr>
            <w:tcW w:w="1469" w:type="dxa"/>
            <w:vMerge/>
            <w:tcBorders>
              <w:bottom w:val="single" w:sz="4" w:space="0" w:color="auto"/>
            </w:tcBorders>
            <w:shd w:val="clear" w:color="auto" w:fill="FFFFFF"/>
            <w:vAlign w:val="center"/>
          </w:tcPr>
          <w:p w14:paraId="773FF0BB"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6B033EA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67D15D5F" w14:textId="77777777" w:rsidTr="002E048D">
        <w:trPr>
          <w:cantSplit/>
          <w:jc w:val="center"/>
        </w:trPr>
        <w:tc>
          <w:tcPr>
            <w:tcW w:w="1009" w:type="dxa"/>
            <w:tcBorders>
              <w:top w:val="single" w:sz="4" w:space="0" w:color="auto"/>
            </w:tcBorders>
            <w:shd w:val="clear" w:color="auto" w:fill="FFFFFF"/>
            <w:vAlign w:val="center"/>
          </w:tcPr>
          <w:p w14:paraId="68CCECD5"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Dö</w:t>
            </w:r>
          </w:p>
        </w:tc>
        <w:tc>
          <w:tcPr>
            <w:tcW w:w="1009" w:type="dxa"/>
            <w:tcBorders>
              <w:top w:val="single" w:sz="4" w:space="0" w:color="auto"/>
            </w:tcBorders>
            <w:shd w:val="clear" w:color="auto" w:fill="FFFFFF"/>
          </w:tcPr>
          <w:p w14:paraId="18A6A33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4BD1184D"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.18</w:t>
            </w:r>
          </w:p>
        </w:tc>
        <w:tc>
          <w:tcPr>
            <w:tcW w:w="1423" w:type="dxa"/>
            <w:tcBorders>
              <w:top w:val="single" w:sz="4" w:space="0" w:color="auto"/>
            </w:tcBorders>
            <w:shd w:val="clear" w:color="auto" w:fill="FFFFFF"/>
          </w:tcPr>
          <w:p w14:paraId="2F9E2434"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.85</w:t>
            </w:r>
          </w:p>
        </w:tc>
        <w:tc>
          <w:tcPr>
            <w:tcW w:w="1469" w:type="dxa"/>
            <w:vMerge w:val="restart"/>
            <w:tcBorders>
              <w:top w:val="single" w:sz="4" w:space="0" w:color="auto"/>
            </w:tcBorders>
            <w:shd w:val="clear" w:color="auto" w:fill="FFFFFF"/>
            <w:vAlign w:val="center"/>
          </w:tcPr>
          <w:p w14:paraId="60DFBDC0"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-14.60</w:t>
            </w:r>
          </w:p>
        </w:tc>
        <w:tc>
          <w:tcPr>
            <w:tcW w:w="1469" w:type="dxa"/>
            <w:vMerge w:val="restart"/>
            <w:tcBorders>
              <w:top w:val="single" w:sz="4" w:space="0" w:color="auto"/>
            </w:tcBorders>
            <w:shd w:val="clear" w:color="auto" w:fill="FFFFFF"/>
            <w:vAlign w:val="center"/>
          </w:tcPr>
          <w:p w14:paraId="027F46F2"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57C501E" w14:textId="77777777" w:rsidTr="002E048D">
        <w:trPr>
          <w:cantSplit/>
          <w:jc w:val="center"/>
        </w:trPr>
        <w:tc>
          <w:tcPr>
            <w:tcW w:w="1009" w:type="dxa"/>
            <w:tcBorders>
              <w:bottom w:val="single" w:sz="4" w:space="0" w:color="auto"/>
            </w:tcBorders>
            <w:shd w:val="clear" w:color="auto" w:fill="FFFFFF"/>
            <w:vAlign w:val="center"/>
          </w:tcPr>
          <w:p w14:paraId="65F7ECD7" w14:textId="77777777" w:rsidR="00B84CC7" w:rsidRPr="00C73427" w:rsidRDefault="00B84CC7" w:rsidP="002E048D">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Ds</w:t>
            </w:r>
          </w:p>
        </w:tc>
        <w:tc>
          <w:tcPr>
            <w:tcW w:w="1009" w:type="dxa"/>
            <w:tcBorders>
              <w:bottom w:val="single" w:sz="4" w:space="0" w:color="auto"/>
            </w:tcBorders>
            <w:shd w:val="clear" w:color="auto" w:fill="FFFFFF"/>
          </w:tcPr>
          <w:p w14:paraId="7345D11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8734927"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11.77</w:t>
            </w:r>
          </w:p>
        </w:tc>
        <w:tc>
          <w:tcPr>
            <w:tcW w:w="1423" w:type="dxa"/>
            <w:tcBorders>
              <w:bottom w:val="single" w:sz="4" w:space="0" w:color="auto"/>
            </w:tcBorders>
            <w:shd w:val="clear" w:color="auto" w:fill="FFFFFF"/>
          </w:tcPr>
          <w:p w14:paraId="59CA494A" w14:textId="77777777" w:rsidR="00B84CC7" w:rsidRPr="00C73427" w:rsidRDefault="00B84CC7" w:rsidP="002E048D">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3.61</w:t>
            </w:r>
          </w:p>
        </w:tc>
        <w:tc>
          <w:tcPr>
            <w:tcW w:w="1469" w:type="dxa"/>
            <w:vMerge/>
            <w:tcBorders>
              <w:bottom w:val="single" w:sz="4" w:space="0" w:color="auto"/>
            </w:tcBorders>
            <w:shd w:val="clear" w:color="auto" w:fill="FFFFFF"/>
          </w:tcPr>
          <w:p w14:paraId="406A79D8" w14:textId="77777777" w:rsidR="00B84CC7" w:rsidRPr="00C73427" w:rsidRDefault="00B84CC7" w:rsidP="002E048D">
            <w:pPr>
              <w:autoSpaceDE w:val="0"/>
              <w:autoSpaceDN w:val="0"/>
              <w:adjustRightInd w:val="0"/>
              <w:spacing w:after="0" w:line="320" w:lineRule="atLeast"/>
              <w:ind w:left="60" w:right="60"/>
              <w:jc w:val="right"/>
              <w:rPr>
                <w:rFonts w:ascii="Times New Roman" w:hAnsi="Times New Roman"/>
                <w:color w:val="000000"/>
              </w:rPr>
            </w:pPr>
          </w:p>
        </w:tc>
        <w:tc>
          <w:tcPr>
            <w:tcW w:w="1469" w:type="dxa"/>
            <w:vMerge/>
            <w:tcBorders>
              <w:bottom w:val="single" w:sz="4" w:space="0" w:color="auto"/>
            </w:tcBorders>
            <w:shd w:val="clear" w:color="auto" w:fill="FFFFFF"/>
          </w:tcPr>
          <w:p w14:paraId="4FD124C4" w14:textId="77777777" w:rsidR="00B84CC7" w:rsidRPr="00C73427" w:rsidRDefault="00B84CC7" w:rsidP="002E048D">
            <w:pPr>
              <w:autoSpaceDE w:val="0"/>
              <w:autoSpaceDN w:val="0"/>
              <w:adjustRightInd w:val="0"/>
              <w:spacing w:after="0" w:line="320" w:lineRule="atLeast"/>
              <w:ind w:left="60" w:right="60"/>
              <w:jc w:val="right"/>
              <w:rPr>
                <w:rFonts w:ascii="Times New Roman" w:hAnsi="Times New Roman"/>
                <w:color w:val="000000"/>
              </w:rPr>
            </w:pPr>
          </w:p>
        </w:tc>
      </w:tr>
    </w:tbl>
    <w:p w14:paraId="2D1A4B5E" w14:textId="77777777" w:rsidR="00B84CC7" w:rsidRPr="00C73427" w:rsidRDefault="00B84CC7" w:rsidP="00B84CC7">
      <w:pPr>
        <w:spacing w:after="0" w:line="240" w:lineRule="auto"/>
        <w:ind w:left="284"/>
        <w:jc w:val="both"/>
        <w:rPr>
          <w:rFonts w:ascii="Times New Roman" w:hAnsi="Times New Roman"/>
          <w:bCs/>
          <w:sz w:val="20"/>
          <w:szCs w:val="20"/>
        </w:rPr>
      </w:pPr>
      <w:r w:rsidRPr="00C73427">
        <w:rPr>
          <w:rFonts w:ascii="Times New Roman" w:hAnsi="Times New Roman"/>
          <w:b/>
          <w:sz w:val="20"/>
          <w:szCs w:val="20"/>
        </w:rPr>
        <w:t xml:space="preserve">Aö: </w:t>
      </w:r>
      <w:r w:rsidRPr="00C73427">
        <w:rPr>
          <w:rFonts w:ascii="Times New Roman" w:hAnsi="Times New Roman"/>
          <w:bCs/>
          <w:sz w:val="20"/>
          <w:szCs w:val="20"/>
        </w:rPr>
        <w:t>A kategorisi ön test,</w:t>
      </w:r>
      <w:r w:rsidRPr="00C73427">
        <w:rPr>
          <w:rFonts w:ascii="Times New Roman" w:hAnsi="Times New Roman"/>
          <w:b/>
          <w:sz w:val="20"/>
          <w:szCs w:val="20"/>
        </w:rPr>
        <w:t xml:space="preserve"> As: </w:t>
      </w:r>
      <w:r w:rsidRPr="00C73427">
        <w:rPr>
          <w:rFonts w:ascii="Times New Roman" w:hAnsi="Times New Roman"/>
          <w:bCs/>
          <w:sz w:val="20"/>
          <w:szCs w:val="20"/>
        </w:rPr>
        <w:t>A kategorisi son test,</w:t>
      </w:r>
      <w:r w:rsidRPr="00C73427">
        <w:rPr>
          <w:rFonts w:ascii="Times New Roman" w:hAnsi="Times New Roman"/>
          <w:b/>
          <w:sz w:val="20"/>
          <w:szCs w:val="20"/>
        </w:rPr>
        <w:t xml:space="preserve"> Bö: </w:t>
      </w:r>
      <w:r w:rsidRPr="00C73427">
        <w:rPr>
          <w:rFonts w:ascii="Times New Roman" w:hAnsi="Times New Roman"/>
          <w:bCs/>
          <w:sz w:val="20"/>
          <w:szCs w:val="20"/>
        </w:rPr>
        <w:t>B kategorisi ön test,</w:t>
      </w:r>
      <w:r w:rsidRPr="00C73427">
        <w:rPr>
          <w:rFonts w:ascii="Times New Roman" w:hAnsi="Times New Roman"/>
          <w:b/>
          <w:sz w:val="20"/>
          <w:szCs w:val="20"/>
        </w:rPr>
        <w:t xml:space="preserve"> Bs: </w:t>
      </w:r>
      <w:r w:rsidRPr="00C73427">
        <w:rPr>
          <w:rFonts w:ascii="Times New Roman" w:hAnsi="Times New Roman"/>
          <w:bCs/>
          <w:sz w:val="20"/>
          <w:szCs w:val="20"/>
        </w:rPr>
        <w:t>B kategorisi son test,</w:t>
      </w:r>
    </w:p>
    <w:p w14:paraId="64CA1F07" w14:textId="77777777" w:rsidR="00B84CC7" w:rsidRPr="00C73427" w:rsidRDefault="00B84CC7" w:rsidP="00B84CC7">
      <w:pPr>
        <w:spacing w:after="0" w:line="240" w:lineRule="auto"/>
        <w:ind w:left="284"/>
        <w:jc w:val="both"/>
        <w:rPr>
          <w:rFonts w:ascii="Times New Roman" w:hAnsi="Times New Roman"/>
          <w:b/>
          <w:sz w:val="20"/>
          <w:szCs w:val="20"/>
        </w:rPr>
      </w:pPr>
      <w:r w:rsidRPr="00C73427">
        <w:rPr>
          <w:rFonts w:ascii="Times New Roman" w:hAnsi="Times New Roman"/>
          <w:b/>
          <w:sz w:val="20"/>
          <w:szCs w:val="20"/>
        </w:rPr>
        <w:t xml:space="preserve">Cö: </w:t>
      </w:r>
      <w:r w:rsidRPr="00C73427">
        <w:rPr>
          <w:rFonts w:ascii="Times New Roman" w:hAnsi="Times New Roman"/>
          <w:bCs/>
          <w:sz w:val="20"/>
          <w:szCs w:val="20"/>
        </w:rPr>
        <w:t>C kategorisi ön test,</w:t>
      </w:r>
      <w:r w:rsidRPr="00C73427">
        <w:rPr>
          <w:rFonts w:ascii="Times New Roman" w:hAnsi="Times New Roman"/>
          <w:b/>
          <w:sz w:val="20"/>
          <w:szCs w:val="20"/>
        </w:rPr>
        <w:t xml:space="preserve"> Cs: </w:t>
      </w:r>
      <w:r w:rsidRPr="00C73427">
        <w:rPr>
          <w:rFonts w:ascii="Times New Roman" w:hAnsi="Times New Roman"/>
          <w:bCs/>
          <w:sz w:val="20"/>
          <w:szCs w:val="20"/>
        </w:rPr>
        <w:t>C kategorisi son test,</w:t>
      </w:r>
      <w:r w:rsidRPr="00C73427">
        <w:rPr>
          <w:rFonts w:ascii="Times New Roman" w:hAnsi="Times New Roman"/>
          <w:b/>
          <w:sz w:val="20"/>
          <w:szCs w:val="20"/>
        </w:rPr>
        <w:t xml:space="preserve"> Dö: </w:t>
      </w:r>
      <w:r w:rsidRPr="00C73427">
        <w:rPr>
          <w:rFonts w:ascii="Times New Roman" w:hAnsi="Times New Roman"/>
          <w:bCs/>
          <w:sz w:val="20"/>
          <w:szCs w:val="20"/>
        </w:rPr>
        <w:t>D kategorisi ön test,</w:t>
      </w:r>
      <w:r w:rsidRPr="00C73427">
        <w:rPr>
          <w:rFonts w:ascii="Times New Roman" w:hAnsi="Times New Roman"/>
          <w:b/>
          <w:sz w:val="20"/>
          <w:szCs w:val="20"/>
        </w:rPr>
        <w:t xml:space="preserve"> Ds: </w:t>
      </w:r>
      <w:r w:rsidRPr="00C73427">
        <w:rPr>
          <w:rFonts w:ascii="Times New Roman" w:hAnsi="Times New Roman"/>
          <w:bCs/>
          <w:sz w:val="20"/>
          <w:szCs w:val="20"/>
        </w:rPr>
        <w:t>D kategorisi son test</w:t>
      </w:r>
    </w:p>
    <w:p w14:paraId="39152D21" w14:textId="77777777"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Dört kategoriden oluşan Fonksiyon Başarı Testinde öğrencilerin her bir kategoriden aldıkları puanların ortalamaları hesaplanmıştır ve her bir kategorinin ön testi ile son testinden öğrencilerin aldıkları puanlar arasında anlamlı bir farklılığın olup olmadığını belirlemek için eşleştirilmiş örnekl</w:t>
      </w:r>
      <w:r>
        <w:rPr>
          <w:rFonts w:ascii="Times New Roman" w:hAnsi="Times New Roman"/>
          <w:sz w:val="24"/>
          <w:szCs w:val="24"/>
        </w:rPr>
        <w:t xml:space="preserve">em t testi yapılmıştır. Tablo </w:t>
      </w:r>
      <w:r w:rsidRPr="00C73427">
        <w:rPr>
          <w:rFonts w:ascii="Times New Roman" w:hAnsi="Times New Roman"/>
          <w:sz w:val="24"/>
          <w:szCs w:val="24"/>
        </w:rPr>
        <w:t xml:space="preserve">2’ye bakıldığında, araştırmaya katılan öğrencilerin A alt boyutunun ön testinden aldıkları puanların ortalamalarının 4.00 olduğu son test puan ortalamaları 13.55 olduğu görülmektedir. Bu kategoride öğrencilerin ortalamaları arasında anlamlı bir farklılık olup olmadığını tespit etmek için yapılan eşleştirilmiş örneklem t testi sonuçlarına göre son test lehine istatistiksel olarak anlamlı bir farklılık olduğu tespit edilmiştir (p=.00&lt;.05). B alt boyutunun sonuçlarına bakıldığında ise, öğrencilerin ön test puan ortalamasının 0.91 iken son test puan ortalamasının 8.09’a yükseldiği görülmektedir. Aradaki istatistiksel farkı belirlemek için yapılan analiz sonucunda, tespit edilen anlamlı farklılığın son test lehine olduğu ortaya çıkmıştır (p=.00&lt;.05). Bir diğer alt boyut olan C boyutunda ise, öğrencilerin ön test puan ortalamaları 0.72 olarak belirlenirken son test puan ortalamaları 10.81 olarak hesaplanmıştır. Yine aynı şekilde, gelişimin istatistiksel açıdan önemli olup olmadığını belirlemek için yapılan istatistiksel analiz sonuçları, son test sonuçlarının son test lehine olduğunu göstermektedir (p=.00&lt;.05). Son olarak, D alt boyutu için yapılan analizlere bakıldığında, bu alt boyutun ön testinden öğrencilerin aldığı puan ortalamasının 0.18 olduğu görülürken son testinden aldıkları puan ortalamasının 11.77 olduğu görülmüştür. Yapılan eşleştirilmiş örneklem t testi sonuçları da, ön test ile son test arasında son test lehine istatistiksel olarak anlamlı bir fark olduğunu ortaya koymuştur (p=.00&lt;.05). </w:t>
      </w:r>
    </w:p>
    <w:p w14:paraId="7C711FCE"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Kategoriler arasında ön test- son test puanlarına bakıldığında, son test ortalama puanı en yüksek olan A kategorisi olmakla birlikte; bu kategorinin basit düzeyde işlemsel sorular içerdiği için yüksek olduğu söylenebilir. İkinci olarak son test ortalama puanı yüksek olan kategori ise D kategorisidir. Bu kategori muhakeme tipi soruları içermektedir.</w:t>
      </w:r>
    </w:p>
    <w:p w14:paraId="1ADE135B" w14:textId="77777777" w:rsidR="00B84CC7" w:rsidRPr="00C73427" w:rsidRDefault="00B84CC7" w:rsidP="00B84CC7">
      <w:pPr>
        <w:spacing w:before="120" w:line="360" w:lineRule="auto"/>
        <w:ind w:firstLine="709"/>
        <w:jc w:val="both"/>
        <w:rPr>
          <w:rFonts w:ascii="Times New Roman" w:hAnsi="Times New Roman"/>
          <w:color w:val="FF0000"/>
          <w:sz w:val="24"/>
          <w:szCs w:val="24"/>
        </w:rPr>
      </w:pPr>
      <w:r>
        <w:rPr>
          <w:rFonts w:ascii="Times New Roman" w:hAnsi="Times New Roman"/>
          <w:sz w:val="24"/>
          <w:szCs w:val="24"/>
        </w:rPr>
        <w:lastRenderedPageBreak/>
        <w:t xml:space="preserve">Tablo </w:t>
      </w:r>
      <w:r w:rsidRPr="00C73427">
        <w:rPr>
          <w:rFonts w:ascii="Times New Roman" w:hAnsi="Times New Roman"/>
          <w:sz w:val="24"/>
          <w:szCs w:val="24"/>
        </w:rPr>
        <w:t>3’te kategorilere ayrılan FBT’nin son test puan ortalamaları ve standart sapma değerleri verilmiştir.</w:t>
      </w:r>
    </w:p>
    <w:p w14:paraId="50D6770E" w14:textId="77777777" w:rsidR="00B84CC7" w:rsidRPr="006E0B7C" w:rsidRDefault="00B84CC7" w:rsidP="00B84CC7">
      <w:pPr>
        <w:keepNext/>
        <w:keepLines/>
        <w:spacing w:after="0" w:line="360" w:lineRule="auto"/>
        <w:jc w:val="both"/>
        <w:outlineLvl w:val="1"/>
        <w:rPr>
          <w:rFonts w:ascii="Times New Roman" w:eastAsia="Times New Roman" w:hAnsi="Times New Roman"/>
          <w:bCs/>
          <w:sz w:val="24"/>
          <w:szCs w:val="26"/>
        </w:rPr>
      </w:pPr>
      <w:r w:rsidRPr="006E0B7C">
        <w:rPr>
          <w:rFonts w:ascii="Times New Roman" w:eastAsia="Times New Roman" w:hAnsi="Times New Roman"/>
          <w:b/>
          <w:bCs/>
          <w:sz w:val="24"/>
          <w:szCs w:val="26"/>
        </w:rPr>
        <w:t>Tablo 3.</w:t>
      </w:r>
      <w:r>
        <w:rPr>
          <w:rFonts w:ascii="Times New Roman" w:eastAsia="Times New Roman" w:hAnsi="Times New Roman"/>
          <w:bCs/>
          <w:sz w:val="24"/>
          <w:szCs w:val="26"/>
        </w:rPr>
        <w:t xml:space="preserve"> </w:t>
      </w:r>
      <w:r w:rsidRPr="006E0B7C">
        <w:rPr>
          <w:rFonts w:ascii="Times New Roman" w:eastAsia="Times New Roman" w:hAnsi="Times New Roman"/>
          <w:bCs/>
          <w:sz w:val="24"/>
          <w:szCs w:val="26"/>
        </w:rPr>
        <w:t>Kategorilere Ayrılan FBT Sontest Puan Ortalamaları ve Standart Sapma Değerleri</w:t>
      </w:r>
    </w:p>
    <w:tbl>
      <w:tblPr>
        <w:tblStyle w:val="TabloKlavuzu1"/>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87"/>
        <w:gridCol w:w="2105"/>
        <w:gridCol w:w="2105"/>
      </w:tblGrid>
      <w:tr w:rsidR="00B84CC7" w:rsidRPr="00C73427" w14:paraId="0FD6481A" w14:textId="77777777" w:rsidTr="00B84CC7">
        <w:tc>
          <w:tcPr>
            <w:tcW w:w="1418" w:type="dxa"/>
            <w:tcBorders>
              <w:top w:val="single" w:sz="4" w:space="0" w:color="auto"/>
              <w:bottom w:val="single" w:sz="4" w:space="0" w:color="auto"/>
            </w:tcBorders>
            <w:vAlign w:val="center"/>
          </w:tcPr>
          <w:p w14:paraId="4EA22289" w14:textId="77777777" w:rsidR="00B84CC7" w:rsidRPr="00C73427" w:rsidRDefault="00B84CC7" w:rsidP="002E048D">
            <w:pPr>
              <w:spacing w:after="120"/>
              <w:rPr>
                <w:b/>
                <w:color w:val="000000"/>
              </w:rPr>
            </w:pPr>
            <w:r w:rsidRPr="00C73427">
              <w:rPr>
                <w:b/>
                <w:color w:val="000000"/>
              </w:rPr>
              <w:t>Alt Kategoriler</w:t>
            </w:r>
          </w:p>
        </w:tc>
        <w:tc>
          <w:tcPr>
            <w:tcW w:w="2087" w:type="dxa"/>
            <w:tcBorders>
              <w:top w:val="single" w:sz="4" w:space="0" w:color="auto"/>
              <w:bottom w:val="single" w:sz="4" w:space="0" w:color="auto"/>
            </w:tcBorders>
            <w:vAlign w:val="center"/>
          </w:tcPr>
          <w:p w14:paraId="3D13C26D" w14:textId="77777777" w:rsidR="00B84CC7" w:rsidRPr="00C73427" w:rsidRDefault="00B84CC7" w:rsidP="002E048D">
            <w:pPr>
              <w:spacing w:after="120"/>
              <w:jc w:val="center"/>
              <w:rPr>
                <w:b/>
                <w:color w:val="000000"/>
              </w:rPr>
            </w:pPr>
            <w:r w:rsidRPr="00C73427">
              <w:rPr>
                <w:b/>
                <w:color w:val="000000"/>
              </w:rPr>
              <w:t>N</w:t>
            </w:r>
          </w:p>
        </w:tc>
        <w:tc>
          <w:tcPr>
            <w:tcW w:w="2105" w:type="dxa"/>
            <w:tcBorders>
              <w:top w:val="single" w:sz="4" w:space="0" w:color="auto"/>
              <w:bottom w:val="single" w:sz="4" w:space="0" w:color="auto"/>
            </w:tcBorders>
            <w:vAlign w:val="center"/>
          </w:tcPr>
          <w:p w14:paraId="3A16B593" w14:textId="77777777" w:rsidR="00B84CC7" w:rsidRPr="00C73427" w:rsidRDefault="00592D61" w:rsidP="002E048D">
            <w:pPr>
              <w:spacing w:after="120"/>
              <w:jc w:val="center"/>
              <w:rPr>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2105" w:type="dxa"/>
            <w:tcBorders>
              <w:top w:val="single" w:sz="4" w:space="0" w:color="auto"/>
              <w:bottom w:val="single" w:sz="4" w:space="0" w:color="auto"/>
            </w:tcBorders>
            <w:vAlign w:val="center"/>
          </w:tcPr>
          <w:p w14:paraId="1440AA69" w14:textId="77777777" w:rsidR="00B84CC7" w:rsidRPr="00C73427" w:rsidRDefault="00B84CC7" w:rsidP="002E048D">
            <w:pPr>
              <w:spacing w:after="120"/>
              <w:jc w:val="center"/>
              <w:rPr>
                <w:b/>
                <w:color w:val="000000"/>
              </w:rPr>
            </w:pPr>
            <w:r w:rsidRPr="00C73427">
              <w:rPr>
                <w:b/>
                <w:color w:val="000000"/>
              </w:rPr>
              <w:t>ss</w:t>
            </w:r>
          </w:p>
        </w:tc>
      </w:tr>
      <w:tr w:rsidR="00B84CC7" w:rsidRPr="00C73427" w14:paraId="44011123" w14:textId="77777777" w:rsidTr="00B84CC7">
        <w:tc>
          <w:tcPr>
            <w:tcW w:w="1418" w:type="dxa"/>
            <w:tcBorders>
              <w:top w:val="single" w:sz="4" w:space="0" w:color="auto"/>
              <w:bottom w:val="single" w:sz="4" w:space="0" w:color="auto"/>
            </w:tcBorders>
            <w:vAlign w:val="center"/>
          </w:tcPr>
          <w:p w14:paraId="2A98CBA3" w14:textId="77777777" w:rsidR="00B84CC7" w:rsidRPr="00C73427" w:rsidRDefault="00B84CC7" w:rsidP="002E048D">
            <w:pPr>
              <w:spacing w:after="120"/>
              <w:rPr>
                <w:b/>
                <w:color w:val="000000"/>
              </w:rPr>
            </w:pPr>
            <w:r w:rsidRPr="00C73427">
              <w:rPr>
                <w:b/>
                <w:color w:val="000000"/>
              </w:rPr>
              <w:t>Akategorisi</w:t>
            </w:r>
          </w:p>
        </w:tc>
        <w:tc>
          <w:tcPr>
            <w:tcW w:w="2087" w:type="dxa"/>
            <w:tcBorders>
              <w:top w:val="single" w:sz="4" w:space="0" w:color="auto"/>
              <w:bottom w:val="single" w:sz="4" w:space="0" w:color="auto"/>
            </w:tcBorders>
            <w:vAlign w:val="center"/>
          </w:tcPr>
          <w:p w14:paraId="42C8FCEA"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39B6889" w14:textId="77777777" w:rsidR="00B84CC7" w:rsidRPr="00C73427" w:rsidRDefault="00B84CC7" w:rsidP="002E048D">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C062D34" w14:textId="77777777" w:rsidR="00B84CC7" w:rsidRPr="00C73427" w:rsidRDefault="00B84CC7" w:rsidP="002E048D">
            <w:pPr>
              <w:spacing w:after="120"/>
              <w:jc w:val="center"/>
              <w:rPr>
                <w:color w:val="000000"/>
              </w:rPr>
            </w:pPr>
            <w:r w:rsidRPr="00C73427">
              <w:rPr>
                <w:color w:val="000000"/>
              </w:rPr>
              <w:t>1.08</w:t>
            </w:r>
          </w:p>
        </w:tc>
      </w:tr>
      <w:tr w:rsidR="00B84CC7" w:rsidRPr="00C73427" w14:paraId="25FD4249" w14:textId="77777777" w:rsidTr="00B84CC7">
        <w:tc>
          <w:tcPr>
            <w:tcW w:w="1418" w:type="dxa"/>
            <w:tcBorders>
              <w:top w:val="single" w:sz="4" w:space="0" w:color="auto"/>
              <w:bottom w:val="single" w:sz="4" w:space="0" w:color="auto"/>
            </w:tcBorders>
            <w:vAlign w:val="center"/>
          </w:tcPr>
          <w:p w14:paraId="77FB3F42" w14:textId="77777777" w:rsidR="00B84CC7" w:rsidRPr="00C73427" w:rsidRDefault="00B84CC7" w:rsidP="002E048D">
            <w:pPr>
              <w:spacing w:after="120"/>
              <w:rPr>
                <w:b/>
                <w:color w:val="000000"/>
              </w:rPr>
            </w:pPr>
            <w:r w:rsidRPr="00C73427">
              <w:rPr>
                <w:b/>
                <w:color w:val="000000"/>
              </w:rPr>
              <w:t>B kategorisi</w:t>
            </w:r>
          </w:p>
        </w:tc>
        <w:tc>
          <w:tcPr>
            <w:tcW w:w="2087" w:type="dxa"/>
            <w:tcBorders>
              <w:top w:val="single" w:sz="4" w:space="0" w:color="auto"/>
              <w:bottom w:val="single" w:sz="4" w:space="0" w:color="auto"/>
            </w:tcBorders>
            <w:vAlign w:val="center"/>
          </w:tcPr>
          <w:p w14:paraId="7CB6B51E"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84F40B4" w14:textId="77777777" w:rsidR="00B84CC7" w:rsidRPr="00C73427" w:rsidRDefault="00B84CC7" w:rsidP="002E048D">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371F628" w14:textId="77777777" w:rsidR="00B84CC7" w:rsidRPr="00C73427" w:rsidRDefault="00B84CC7" w:rsidP="002E048D">
            <w:pPr>
              <w:spacing w:after="120"/>
              <w:jc w:val="center"/>
              <w:rPr>
                <w:color w:val="000000"/>
              </w:rPr>
            </w:pPr>
            <w:r w:rsidRPr="00C73427">
              <w:rPr>
                <w:color w:val="000000"/>
              </w:rPr>
              <w:t>1.08</w:t>
            </w:r>
          </w:p>
        </w:tc>
      </w:tr>
      <w:tr w:rsidR="00B84CC7" w:rsidRPr="00C73427" w14:paraId="07CA9D15" w14:textId="77777777" w:rsidTr="00B84CC7">
        <w:tc>
          <w:tcPr>
            <w:tcW w:w="1418" w:type="dxa"/>
            <w:tcBorders>
              <w:top w:val="single" w:sz="4" w:space="0" w:color="auto"/>
              <w:bottom w:val="single" w:sz="4" w:space="0" w:color="auto"/>
            </w:tcBorders>
            <w:vAlign w:val="center"/>
          </w:tcPr>
          <w:p w14:paraId="7FE4B79E" w14:textId="77777777" w:rsidR="00B84CC7" w:rsidRPr="00C73427" w:rsidRDefault="00B84CC7" w:rsidP="002E048D">
            <w:pPr>
              <w:spacing w:after="120"/>
              <w:rPr>
                <w:b/>
                <w:color w:val="000000"/>
              </w:rPr>
            </w:pPr>
            <w:r w:rsidRPr="00C73427">
              <w:rPr>
                <w:b/>
                <w:color w:val="000000"/>
              </w:rPr>
              <w:t>C kategorisi</w:t>
            </w:r>
          </w:p>
        </w:tc>
        <w:tc>
          <w:tcPr>
            <w:tcW w:w="2087" w:type="dxa"/>
            <w:tcBorders>
              <w:top w:val="single" w:sz="4" w:space="0" w:color="auto"/>
              <w:bottom w:val="single" w:sz="4" w:space="0" w:color="auto"/>
            </w:tcBorders>
            <w:vAlign w:val="center"/>
          </w:tcPr>
          <w:p w14:paraId="04652515"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74C53B2" w14:textId="77777777" w:rsidR="00B84CC7" w:rsidRPr="00C73427" w:rsidRDefault="00B84CC7" w:rsidP="002E048D">
            <w:pPr>
              <w:spacing w:after="120"/>
              <w:jc w:val="center"/>
              <w:rPr>
                <w:color w:val="000000"/>
              </w:rPr>
            </w:pPr>
            <w:r w:rsidRPr="00C73427">
              <w:rPr>
                <w:color w:val="000000"/>
              </w:rPr>
              <w:t>2.71</w:t>
            </w:r>
          </w:p>
        </w:tc>
        <w:tc>
          <w:tcPr>
            <w:tcW w:w="2105" w:type="dxa"/>
            <w:tcBorders>
              <w:top w:val="single" w:sz="4" w:space="0" w:color="auto"/>
              <w:bottom w:val="single" w:sz="4" w:space="0" w:color="auto"/>
            </w:tcBorders>
            <w:vAlign w:val="center"/>
          </w:tcPr>
          <w:p w14:paraId="0633AEEE" w14:textId="77777777" w:rsidR="00B84CC7" w:rsidRPr="00C73427" w:rsidRDefault="00B84CC7" w:rsidP="002E048D">
            <w:pPr>
              <w:spacing w:after="120"/>
              <w:jc w:val="center"/>
              <w:rPr>
                <w:color w:val="000000"/>
              </w:rPr>
            </w:pPr>
            <w:r w:rsidRPr="00C73427">
              <w:rPr>
                <w:color w:val="000000"/>
              </w:rPr>
              <w:t>1.01</w:t>
            </w:r>
          </w:p>
        </w:tc>
      </w:tr>
      <w:tr w:rsidR="00B84CC7" w:rsidRPr="00C73427" w14:paraId="59D98513" w14:textId="77777777" w:rsidTr="00B84CC7">
        <w:tc>
          <w:tcPr>
            <w:tcW w:w="1418" w:type="dxa"/>
            <w:tcBorders>
              <w:top w:val="single" w:sz="4" w:space="0" w:color="auto"/>
              <w:bottom w:val="single" w:sz="4" w:space="0" w:color="auto"/>
            </w:tcBorders>
            <w:vAlign w:val="center"/>
          </w:tcPr>
          <w:p w14:paraId="02F8E016" w14:textId="77777777" w:rsidR="00B84CC7" w:rsidRPr="00C73427" w:rsidRDefault="00B84CC7" w:rsidP="002E048D">
            <w:pPr>
              <w:spacing w:after="120"/>
              <w:rPr>
                <w:b/>
                <w:color w:val="000000"/>
              </w:rPr>
            </w:pPr>
            <w:r w:rsidRPr="00C73427">
              <w:rPr>
                <w:b/>
                <w:color w:val="000000"/>
              </w:rPr>
              <w:t>D kategorisi</w:t>
            </w:r>
          </w:p>
        </w:tc>
        <w:tc>
          <w:tcPr>
            <w:tcW w:w="2087" w:type="dxa"/>
            <w:tcBorders>
              <w:top w:val="single" w:sz="4" w:space="0" w:color="auto"/>
              <w:bottom w:val="single" w:sz="4" w:space="0" w:color="auto"/>
            </w:tcBorders>
            <w:vAlign w:val="center"/>
          </w:tcPr>
          <w:p w14:paraId="20B95AF9" w14:textId="77777777" w:rsidR="00B84CC7" w:rsidRPr="00C73427" w:rsidRDefault="00B84CC7" w:rsidP="002E048D">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1E3D808" w14:textId="77777777" w:rsidR="00B84CC7" w:rsidRPr="00C73427" w:rsidRDefault="00B84CC7" w:rsidP="002E048D">
            <w:pPr>
              <w:spacing w:after="120"/>
              <w:jc w:val="center"/>
              <w:rPr>
                <w:color w:val="000000"/>
              </w:rPr>
            </w:pPr>
            <w:r w:rsidRPr="00C73427">
              <w:rPr>
                <w:color w:val="000000"/>
              </w:rPr>
              <w:t>3.02</w:t>
            </w:r>
          </w:p>
        </w:tc>
        <w:tc>
          <w:tcPr>
            <w:tcW w:w="2105" w:type="dxa"/>
            <w:tcBorders>
              <w:top w:val="single" w:sz="4" w:space="0" w:color="auto"/>
              <w:bottom w:val="single" w:sz="4" w:space="0" w:color="auto"/>
            </w:tcBorders>
            <w:vAlign w:val="center"/>
          </w:tcPr>
          <w:p w14:paraId="1CE35FA9" w14:textId="77777777" w:rsidR="00B84CC7" w:rsidRPr="00C73427" w:rsidRDefault="00B84CC7" w:rsidP="002E048D">
            <w:pPr>
              <w:spacing w:after="120"/>
              <w:jc w:val="center"/>
              <w:rPr>
                <w:color w:val="000000"/>
              </w:rPr>
            </w:pPr>
            <w:r w:rsidRPr="00C73427">
              <w:rPr>
                <w:color w:val="000000"/>
              </w:rPr>
              <w:t>0.68</w:t>
            </w:r>
          </w:p>
        </w:tc>
      </w:tr>
      <w:tr w:rsidR="00B84CC7" w:rsidRPr="00C73427" w14:paraId="7AE3E8B8" w14:textId="77777777" w:rsidTr="00B84CC7">
        <w:tc>
          <w:tcPr>
            <w:tcW w:w="1418" w:type="dxa"/>
            <w:tcBorders>
              <w:top w:val="single" w:sz="4" w:space="0" w:color="auto"/>
              <w:bottom w:val="single" w:sz="4" w:space="0" w:color="auto"/>
            </w:tcBorders>
            <w:vAlign w:val="center"/>
          </w:tcPr>
          <w:p w14:paraId="08D320F8" w14:textId="77777777" w:rsidR="00B84CC7" w:rsidRPr="00C73427" w:rsidRDefault="00B84CC7" w:rsidP="002E048D">
            <w:pPr>
              <w:spacing w:after="120"/>
              <w:rPr>
                <w:b/>
                <w:color w:val="000000"/>
              </w:rPr>
            </w:pPr>
            <w:r w:rsidRPr="00C73427">
              <w:rPr>
                <w:b/>
                <w:color w:val="000000"/>
              </w:rPr>
              <w:t>Toplam</w:t>
            </w:r>
          </w:p>
        </w:tc>
        <w:tc>
          <w:tcPr>
            <w:tcW w:w="2087" w:type="dxa"/>
            <w:tcBorders>
              <w:top w:val="single" w:sz="4" w:space="0" w:color="auto"/>
              <w:bottom w:val="single" w:sz="4" w:space="0" w:color="auto"/>
            </w:tcBorders>
            <w:vAlign w:val="center"/>
          </w:tcPr>
          <w:p w14:paraId="26A46F43" w14:textId="77777777" w:rsidR="00B84CC7" w:rsidRPr="00C73427" w:rsidRDefault="00B84CC7" w:rsidP="002E048D">
            <w:pPr>
              <w:spacing w:after="120"/>
              <w:jc w:val="center"/>
              <w:rPr>
                <w:color w:val="000000"/>
              </w:rPr>
            </w:pPr>
            <w:r w:rsidRPr="00C73427">
              <w:rPr>
                <w:color w:val="000000"/>
              </w:rPr>
              <w:t>88</w:t>
            </w:r>
          </w:p>
        </w:tc>
        <w:tc>
          <w:tcPr>
            <w:tcW w:w="2105" w:type="dxa"/>
            <w:tcBorders>
              <w:top w:val="single" w:sz="4" w:space="0" w:color="auto"/>
              <w:bottom w:val="single" w:sz="4" w:space="0" w:color="auto"/>
            </w:tcBorders>
            <w:vAlign w:val="center"/>
          </w:tcPr>
          <w:p w14:paraId="0D4D146A" w14:textId="77777777" w:rsidR="00B84CC7" w:rsidRPr="00C73427" w:rsidRDefault="00B84CC7" w:rsidP="002E048D">
            <w:pPr>
              <w:spacing w:after="120"/>
              <w:jc w:val="center"/>
              <w:rPr>
                <w:color w:val="000000"/>
              </w:rPr>
            </w:pPr>
            <w:r w:rsidRPr="00C73427">
              <w:rPr>
                <w:color w:val="000000"/>
              </w:rPr>
              <w:t>2.76</w:t>
            </w:r>
          </w:p>
        </w:tc>
        <w:tc>
          <w:tcPr>
            <w:tcW w:w="2105" w:type="dxa"/>
            <w:tcBorders>
              <w:top w:val="single" w:sz="4" w:space="0" w:color="auto"/>
              <w:bottom w:val="single" w:sz="4" w:space="0" w:color="auto"/>
            </w:tcBorders>
            <w:vAlign w:val="center"/>
          </w:tcPr>
          <w:p w14:paraId="6114ED63" w14:textId="77777777" w:rsidR="00B84CC7" w:rsidRPr="00C73427" w:rsidRDefault="00B84CC7" w:rsidP="002E048D">
            <w:pPr>
              <w:spacing w:after="120"/>
              <w:jc w:val="center"/>
              <w:rPr>
                <w:color w:val="000000"/>
              </w:rPr>
            </w:pPr>
            <w:r w:rsidRPr="00C73427">
              <w:rPr>
                <w:color w:val="000000"/>
              </w:rPr>
              <w:t>1.01</w:t>
            </w:r>
          </w:p>
        </w:tc>
      </w:tr>
    </w:tbl>
    <w:p w14:paraId="1463E16B" w14:textId="77777777" w:rsidR="00B84CC7" w:rsidRPr="00C73427" w:rsidRDefault="00B84CC7" w:rsidP="00B84CC7">
      <w:pPr>
        <w:ind w:firstLine="709"/>
        <w:rPr>
          <w:rFonts w:ascii="Times New Roman" w:hAnsi="Times New Roman"/>
        </w:rPr>
      </w:pPr>
      <w:r w:rsidRPr="00C73427">
        <w:rPr>
          <w:rFonts w:ascii="Times New Roman" w:hAnsi="Times New Roman"/>
        </w:rPr>
        <w:t xml:space="preserve">N= öğrenci sayısı; </w:t>
      </w:r>
      <m:oMath>
        <m:acc>
          <m:accPr>
            <m:chr m:val="̅"/>
            <m:ctrlPr>
              <w:rPr>
                <w:rFonts w:ascii="Cambria Math" w:hAnsi="Cambria Math"/>
                <w:i/>
              </w:rPr>
            </m:ctrlPr>
          </m:accPr>
          <m:e>
            <m:r>
              <w:rPr>
                <w:rFonts w:ascii="Cambria Math" w:hAnsi="Cambria Math"/>
              </w:rPr>
              <m:t>X</m:t>
            </m:r>
          </m:e>
        </m:acc>
      </m:oMath>
      <w:r w:rsidRPr="00C73427">
        <w:rPr>
          <w:rFonts w:ascii="Times New Roman" w:hAnsi="Times New Roman"/>
        </w:rPr>
        <w:t>= Ortalama; ss= Standart Sapma</w:t>
      </w:r>
    </w:p>
    <w:p w14:paraId="56CB820A" w14:textId="77777777"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 xml:space="preserve">Başarı testinde yer alan her bir alt kategori için hesaplanan ortalama ve standart sapma değerleri tablo </w:t>
      </w:r>
      <w:r>
        <w:rPr>
          <w:rFonts w:ascii="Times New Roman" w:hAnsi="Times New Roman"/>
          <w:sz w:val="24"/>
          <w:szCs w:val="24"/>
        </w:rPr>
        <w:t xml:space="preserve">4.3’ te yer almaktadır. Tablo </w:t>
      </w:r>
      <w:r w:rsidRPr="00C73427">
        <w:rPr>
          <w:rFonts w:ascii="Times New Roman" w:hAnsi="Times New Roman"/>
          <w:sz w:val="24"/>
          <w:szCs w:val="24"/>
        </w:rPr>
        <w:t>3’e bakıldığında öğrencilerin başarı son testinin A kategorisinden ve B kategorisinden aldıkları puanların ortalamasının 2.70, C kategorisinden aldıkları puanların ortalaması 2.71, D kategorisinden aldıkları puanların ortalamasının ise 3.02 olduğu görülmektedir. Bu düzeylerin standart sapma değerleri ise sırasıyla 1.08, 1.08, 1.01 ve 0.68 olarak hesaplanmıştır.</w:t>
      </w:r>
    </w:p>
    <w:p w14:paraId="58488E00" w14:textId="77777777" w:rsidR="00B84CC7" w:rsidRPr="00C73427" w:rsidRDefault="00B84CC7" w:rsidP="00B84CC7">
      <w:pPr>
        <w:spacing w:before="120" w:line="360" w:lineRule="auto"/>
        <w:ind w:firstLine="709"/>
        <w:jc w:val="both"/>
        <w:rPr>
          <w:rFonts w:ascii="Times New Roman" w:hAnsi="Times New Roman"/>
          <w:sz w:val="24"/>
          <w:szCs w:val="24"/>
        </w:rPr>
      </w:pPr>
      <w:r>
        <w:rPr>
          <w:rFonts w:ascii="Times New Roman" w:hAnsi="Times New Roman"/>
          <w:sz w:val="24"/>
          <w:szCs w:val="24"/>
        </w:rPr>
        <w:t xml:space="preserve">Tablo </w:t>
      </w:r>
      <w:r w:rsidRPr="00C73427">
        <w:rPr>
          <w:rFonts w:ascii="Times New Roman" w:hAnsi="Times New Roman"/>
          <w:sz w:val="24"/>
          <w:szCs w:val="24"/>
        </w:rPr>
        <w:t>4’ te kategorilere ayrılan FBT’nin son test puanlarına yönelik tek yönlü varyans analiz sonuçları verilmiştir.</w:t>
      </w:r>
    </w:p>
    <w:p w14:paraId="727C8411" w14:textId="77777777" w:rsidR="00B84CC7" w:rsidRPr="006E0B7C" w:rsidRDefault="00B84CC7" w:rsidP="00B84CC7">
      <w:pPr>
        <w:keepNext/>
        <w:keepLines/>
        <w:spacing w:before="240" w:after="0" w:line="360" w:lineRule="auto"/>
        <w:jc w:val="both"/>
        <w:outlineLvl w:val="1"/>
        <w:rPr>
          <w:rFonts w:ascii="Times New Roman" w:eastAsia="Times New Roman" w:hAnsi="Times New Roman"/>
          <w:bCs/>
          <w:sz w:val="24"/>
          <w:szCs w:val="26"/>
        </w:rPr>
      </w:pPr>
      <w:r w:rsidRPr="006E0B7C">
        <w:rPr>
          <w:rFonts w:ascii="Times New Roman" w:eastAsia="Times New Roman" w:hAnsi="Times New Roman"/>
          <w:b/>
          <w:bCs/>
          <w:sz w:val="24"/>
          <w:szCs w:val="26"/>
        </w:rPr>
        <w:t>Tablo 4.</w:t>
      </w:r>
      <w:r w:rsidRPr="00C73427">
        <w:rPr>
          <w:rFonts w:ascii="Times New Roman" w:eastAsia="Times New Roman" w:hAnsi="Times New Roman"/>
          <w:bCs/>
          <w:sz w:val="24"/>
          <w:szCs w:val="26"/>
        </w:rPr>
        <w:t xml:space="preserve"> </w:t>
      </w:r>
      <w:r w:rsidRPr="006E0B7C">
        <w:rPr>
          <w:rFonts w:ascii="Times New Roman" w:eastAsia="Times New Roman" w:hAnsi="Times New Roman"/>
          <w:bCs/>
          <w:sz w:val="24"/>
          <w:szCs w:val="26"/>
        </w:rPr>
        <w:t>Kategorilere Ayrılan FBT Sontest Puan Ortalamalarına Yönelik Tek Yönlü Varyans Analizi Sonuçları</w:t>
      </w:r>
    </w:p>
    <w:tbl>
      <w:tblPr>
        <w:tblStyle w:val="TabloKlavuzu1"/>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25"/>
        <w:gridCol w:w="103"/>
        <w:gridCol w:w="1575"/>
        <w:gridCol w:w="1589"/>
        <w:gridCol w:w="850"/>
        <w:gridCol w:w="1217"/>
      </w:tblGrid>
      <w:tr w:rsidR="00B84CC7" w:rsidRPr="00C73427" w14:paraId="29B11448" w14:textId="77777777" w:rsidTr="00B84CC7">
        <w:trPr>
          <w:trHeight w:hRule="exact" w:val="531"/>
        </w:trPr>
        <w:tc>
          <w:tcPr>
            <w:tcW w:w="1417" w:type="dxa"/>
            <w:tcBorders>
              <w:top w:val="single" w:sz="4" w:space="0" w:color="auto"/>
              <w:bottom w:val="single" w:sz="4" w:space="0" w:color="auto"/>
            </w:tcBorders>
            <w:vAlign w:val="center"/>
          </w:tcPr>
          <w:p w14:paraId="2DE379DC" w14:textId="77777777" w:rsidR="00B84CC7" w:rsidRPr="00C73427" w:rsidRDefault="00B84CC7" w:rsidP="002E048D">
            <w:pPr>
              <w:rPr>
                <w:color w:val="000000"/>
              </w:rPr>
            </w:pPr>
          </w:p>
        </w:tc>
        <w:tc>
          <w:tcPr>
            <w:tcW w:w="1328" w:type="dxa"/>
            <w:gridSpan w:val="2"/>
            <w:tcBorders>
              <w:top w:val="single" w:sz="4" w:space="0" w:color="auto"/>
              <w:bottom w:val="single" w:sz="4" w:space="0" w:color="auto"/>
            </w:tcBorders>
            <w:vAlign w:val="center"/>
          </w:tcPr>
          <w:p w14:paraId="0AC6C62A" w14:textId="77777777" w:rsidR="00B84CC7" w:rsidRPr="00C73427" w:rsidRDefault="00B84CC7" w:rsidP="002E048D">
            <w:pPr>
              <w:jc w:val="center"/>
              <w:rPr>
                <w:b/>
                <w:color w:val="000000"/>
              </w:rPr>
            </w:pPr>
            <w:r w:rsidRPr="00C73427">
              <w:rPr>
                <w:b/>
                <w:color w:val="000000"/>
              </w:rPr>
              <w:t>Kareler toplamı</w:t>
            </w:r>
          </w:p>
        </w:tc>
        <w:tc>
          <w:tcPr>
            <w:tcW w:w="1575" w:type="dxa"/>
            <w:tcBorders>
              <w:top w:val="single" w:sz="4" w:space="0" w:color="auto"/>
              <w:bottom w:val="single" w:sz="4" w:space="0" w:color="auto"/>
            </w:tcBorders>
            <w:vAlign w:val="center"/>
          </w:tcPr>
          <w:p w14:paraId="06ACF98D" w14:textId="77777777" w:rsidR="00B84CC7" w:rsidRPr="00C73427" w:rsidRDefault="00B84CC7" w:rsidP="002E048D">
            <w:pPr>
              <w:jc w:val="center"/>
              <w:rPr>
                <w:b/>
                <w:color w:val="000000"/>
              </w:rPr>
            </w:pPr>
            <w:r w:rsidRPr="00C73427">
              <w:rPr>
                <w:b/>
                <w:color w:val="000000"/>
              </w:rPr>
              <w:t>Serbestlik derecesi</w:t>
            </w:r>
          </w:p>
        </w:tc>
        <w:tc>
          <w:tcPr>
            <w:tcW w:w="1589" w:type="dxa"/>
            <w:tcBorders>
              <w:top w:val="single" w:sz="4" w:space="0" w:color="auto"/>
              <w:bottom w:val="single" w:sz="4" w:space="0" w:color="auto"/>
            </w:tcBorders>
            <w:vAlign w:val="center"/>
          </w:tcPr>
          <w:p w14:paraId="34EE43DB" w14:textId="77777777" w:rsidR="00B84CC7" w:rsidRPr="00C73427" w:rsidRDefault="00B84CC7" w:rsidP="002E048D">
            <w:pPr>
              <w:jc w:val="center"/>
              <w:rPr>
                <w:b/>
                <w:color w:val="000000"/>
              </w:rPr>
            </w:pPr>
            <w:r w:rsidRPr="00C73427">
              <w:rPr>
                <w:b/>
                <w:color w:val="000000"/>
              </w:rPr>
              <w:t>Kareler ortalaması</w:t>
            </w:r>
          </w:p>
        </w:tc>
        <w:tc>
          <w:tcPr>
            <w:tcW w:w="850" w:type="dxa"/>
            <w:tcBorders>
              <w:top w:val="single" w:sz="4" w:space="0" w:color="auto"/>
              <w:bottom w:val="single" w:sz="4" w:space="0" w:color="auto"/>
            </w:tcBorders>
            <w:vAlign w:val="center"/>
          </w:tcPr>
          <w:p w14:paraId="33ADF3CA" w14:textId="77777777" w:rsidR="00B84CC7" w:rsidRPr="00C73427" w:rsidRDefault="00B84CC7" w:rsidP="002E048D">
            <w:pPr>
              <w:jc w:val="center"/>
              <w:rPr>
                <w:b/>
                <w:color w:val="000000"/>
              </w:rPr>
            </w:pPr>
            <w:r w:rsidRPr="00C73427">
              <w:rPr>
                <w:b/>
                <w:color w:val="000000"/>
              </w:rPr>
              <w:t>F</w:t>
            </w:r>
          </w:p>
        </w:tc>
        <w:tc>
          <w:tcPr>
            <w:tcW w:w="1217" w:type="dxa"/>
            <w:tcBorders>
              <w:top w:val="single" w:sz="4" w:space="0" w:color="auto"/>
              <w:bottom w:val="single" w:sz="4" w:space="0" w:color="auto"/>
            </w:tcBorders>
            <w:vAlign w:val="center"/>
          </w:tcPr>
          <w:p w14:paraId="336E4DF2" w14:textId="77777777" w:rsidR="00B84CC7" w:rsidRPr="00C73427" w:rsidRDefault="00B84CC7" w:rsidP="002E048D">
            <w:pPr>
              <w:jc w:val="center"/>
              <w:rPr>
                <w:b/>
                <w:color w:val="000000"/>
              </w:rPr>
            </w:pPr>
            <w:r w:rsidRPr="00C73427">
              <w:rPr>
                <w:b/>
                <w:color w:val="000000"/>
              </w:rPr>
              <w:t>p*</w:t>
            </w:r>
          </w:p>
        </w:tc>
      </w:tr>
      <w:tr w:rsidR="00B84CC7" w:rsidRPr="00C73427" w14:paraId="07F74FC7" w14:textId="77777777" w:rsidTr="00B84CC7">
        <w:trPr>
          <w:trHeight w:hRule="exact" w:val="531"/>
        </w:trPr>
        <w:tc>
          <w:tcPr>
            <w:tcW w:w="1417" w:type="dxa"/>
            <w:tcBorders>
              <w:top w:val="single" w:sz="4" w:space="0" w:color="auto"/>
              <w:bottom w:val="single" w:sz="4" w:space="0" w:color="auto"/>
            </w:tcBorders>
            <w:vAlign w:val="center"/>
          </w:tcPr>
          <w:p w14:paraId="0963E00E" w14:textId="77777777" w:rsidR="00B84CC7" w:rsidRPr="00C73427" w:rsidRDefault="00B84CC7" w:rsidP="002E048D">
            <w:pPr>
              <w:ind w:right="-264"/>
              <w:rPr>
                <w:b/>
                <w:color w:val="000000"/>
              </w:rPr>
            </w:pPr>
            <w:r w:rsidRPr="00C73427">
              <w:rPr>
                <w:b/>
                <w:color w:val="000000"/>
              </w:rPr>
              <w:t>Gruplar arası</w:t>
            </w:r>
          </w:p>
        </w:tc>
        <w:tc>
          <w:tcPr>
            <w:tcW w:w="1225" w:type="dxa"/>
            <w:tcBorders>
              <w:top w:val="single" w:sz="4" w:space="0" w:color="auto"/>
              <w:bottom w:val="single" w:sz="4" w:space="0" w:color="auto"/>
            </w:tcBorders>
            <w:vAlign w:val="center"/>
          </w:tcPr>
          <w:p w14:paraId="57974104" w14:textId="77777777" w:rsidR="00B84CC7" w:rsidRPr="00C73427" w:rsidRDefault="00B84CC7" w:rsidP="002E048D">
            <w:pPr>
              <w:jc w:val="center"/>
              <w:rPr>
                <w:color w:val="000000"/>
              </w:rPr>
            </w:pPr>
            <w:r w:rsidRPr="00C73427">
              <w:rPr>
                <w:color w:val="000000"/>
              </w:rPr>
              <w:t>1.733</w:t>
            </w:r>
          </w:p>
        </w:tc>
        <w:tc>
          <w:tcPr>
            <w:tcW w:w="1678" w:type="dxa"/>
            <w:gridSpan w:val="2"/>
            <w:tcBorders>
              <w:top w:val="single" w:sz="4" w:space="0" w:color="auto"/>
              <w:bottom w:val="single" w:sz="4" w:space="0" w:color="auto"/>
            </w:tcBorders>
            <w:vAlign w:val="center"/>
          </w:tcPr>
          <w:p w14:paraId="60A61EAD" w14:textId="77777777" w:rsidR="00B84CC7" w:rsidRPr="00C73427" w:rsidRDefault="00B84CC7" w:rsidP="002E048D">
            <w:pPr>
              <w:jc w:val="center"/>
              <w:rPr>
                <w:color w:val="000000"/>
              </w:rPr>
            </w:pPr>
            <w:r w:rsidRPr="00C73427">
              <w:rPr>
                <w:color w:val="000000"/>
              </w:rPr>
              <w:t>3</w:t>
            </w:r>
          </w:p>
        </w:tc>
        <w:tc>
          <w:tcPr>
            <w:tcW w:w="1589" w:type="dxa"/>
            <w:tcBorders>
              <w:top w:val="single" w:sz="4" w:space="0" w:color="auto"/>
              <w:bottom w:val="single" w:sz="4" w:space="0" w:color="auto"/>
            </w:tcBorders>
            <w:vAlign w:val="center"/>
          </w:tcPr>
          <w:p w14:paraId="5FF3C616" w14:textId="77777777" w:rsidR="00B84CC7" w:rsidRPr="00C73427" w:rsidRDefault="00B84CC7" w:rsidP="002E048D">
            <w:pPr>
              <w:jc w:val="center"/>
              <w:rPr>
                <w:color w:val="000000"/>
              </w:rPr>
            </w:pPr>
            <w:r w:rsidRPr="00C73427">
              <w:rPr>
                <w:color w:val="000000"/>
              </w:rPr>
              <w:t>0.578</w:t>
            </w:r>
          </w:p>
        </w:tc>
        <w:tc>
          <w:tcPr>
            <w:tcW w:w="850" w:type="dxa"/>
            <w:tcBorders>
              <w:top w:val="single" w:sz="4" w:space="0" w:color="auto"/>
              <w:bottom w:val="single" w:sz="4" w:space="0" w:color="auto"/>
            </w:tcBorders>
            <w:vAlign w:val="center"/>
          </w:tcPr>
          <w:p w14:paraId="260321C5" w14:textId="77777777" w:rsidR="00B84CC7" w:rsidRPr="00C73427" w:rsidRDefault="00B84CC7" w:rsidP="002E048D">
            <w:pPr>
              <w:jc w:val="center"/>
              <w:rPr>
                <w:color w:val="000000"/>
              </w:rPr>
            </w:pPr>
            <w:r w:rsidRPr="00C73427">
              <w:rPr>
                <w:color w:val="000000"/>
              </w:rPr>
              <w:t>0.602</w:t>
            </w:r>
          </w:p>
        </w:tc>
        <w:tc>
          <w:tcPr>
            <w:tcW w:w="1217" w:type="dxa"/>
            <w:tcBorders>
              <w:top w:val="single" w:sz="4" w:space="0" w:color="auto"/>
              <w:bottom w:val="single" w:sz="4" w:space="0" w:color="auto"/>
            </w:tcBorders>
            <w:vAlign w:val="center"/>
          </w:tcPr>
          <w:p w14:paraId="61334BFF" w14:textId="77777777" w:rsidR="00B84CC7" w:rsidRPr="00C73427" w:rsidRDefault="00B84CC7" w:rsidP="002E048D">
            <w:pPr>
              <w:jc w:val="center"/>
              <w:rPr>
                <w:color w:val="000000"/>
              </w:rPr>
            </w:pPr>
            <w:r w:rsidRPr="00C73427">
              <w:rPr>
                <w:color w:val="000000"/>
              </w:rPr>
              <w:t>.616</w:t>
            </w:r>
          </w:p>
        </w:tc>
      </w:tr>
      <w:tr w:rsidR="00B84CC7" w:rsidRPr="00C73427" w14:paraId="34457626" w14:textId="77777777" w:rsidTr="00B84CC7">
        <w:trPr>
          <w:trHeight w:hRule="exact" w:val="531"/>
        </w:trPr>
        <w:tc>
          <w:tcPr>
            <w:tcW w:w="1417" w:type="dxa"/>
            <w:tcBorders>
              <w:top w:val="single" w:sz="4" w:space="0" w:color="auto"/>
              <w:bottom w:val="single" w:sz="4" w:space="0" w:color="auto"/>
            </w:tcBorders>
            <w:vAlign w:val="center"/>
          </w:tcPr>
          <w:p w14:paraId="35BC4C7A" w14:textId="77777777" w:rsidR="00B84CC7" w:rsidRPr="00C73427" w:rsidRDefault="00B84CC7" w:rsidP="002E048D">
            <w:pPr>
              <w:rPr>
                <w:b/>
                <w:color w:val="000000"/>
              </w:rPr>
            </w:pPr>
            <w:r w:rsidRPr="00C73427">
              <w:rPr>
                <w:b/>
                <w:color w:val="000000"/>
              </w:rPr>
              <w:t>Grup içi</w:t>
            </w:r>
          </w:p>
        </w:tc>
        <w:tc>
          <w:tcPr>
            <w:tcW w:w="1225" w:type="dxa"/>
            <w:tcBorders>
              <w:top w:val="single" w:sz="4" w:space="0" w:color="auto"/>
              <w:bottom w:val="single" w:sz="4" w:space="0" w:color="auto"/>
            </w:tcBorders>
            <w:vAlign w:val="center"/>
          </w:tcPr>
          <w:p w14:paraId="13CEAD3B" w14:textId="77777777" w:rsidR="00B84CC7" w:rsidRPr="00C73427" w:rsidRDefault="00B84CC7" w:rsidP="002E048D">
            <w:pPr>
              <w:jc w:val="center"/>
              <w:rPr>
                <w:color w:val="000000"/>
              </w:rPr>
            </w:pPr>
            <w:r w:rsidRPr="00C73427">
              <w:rPr>
                <w:color w:val="000000"/>
              </w:rPr>
              <w:t>80.596</w:t>
            </w:r>
          </w:p>
        </w:tc>
        <w:tc>
          <w:tcPr>
            <w:tcW w:w="1678" w:type="dxa"/>
            <w:gridSpan w:val="2"/>
            <w:tcBorders>
              <w:top w:val="single" w:sz="4" w:space="0" w:color="auto"/>
              <w:bottom w:val="single" w:sz="4" w:space="0" w:color="auto"/>
            </w:tcBorders>
            <w:vAlign w:val="center"/>
          </w:tcPr>
          <w:p w14:paraId="7AD859CA" w14:textId="77777777" w:rsidR="00B84CC7" w:rsidRPr="00C73427" w:rsidRDefault="00B84CC7" w:rsidP="002E048D">
            <w:pPr>
              <w:jc w:val="center"/>
              <w:rPr>
                <w:color w:val="000000"/>
              </w:rPr>
            </w:pPr>
            <w:r w:rsidRPr="00C73427">
              <w:rPr>
                <w:color w:val="000000"/>
              </w:rPr>
              <w:t>84</w:t>
            </w:r>
          </w:p>
        </w:tc>
        <w:tc>
          <w:tcPr>
            <w:tcW w:w="1589" w:type="dxa"/>
            <w:tcBorders>
              <w:top w:val="single" w:sz="4" w:space="0" w:color="auto"/>
              <w:bottom w:val="single" w:sz="4" w:space="0" w:color="auto"/>
            </w:tcBorders>
            <w:vAlign w:val="center"/>
          </w:tcPr>
          <w:p w14:paraId="58F9A4C6" w14:textId="77777777" w:rsidR="00B84CC7" w:rsidRPr="00C73427" w:rsidRDefault="00B84CC7" w:rsidP="002E048D">
            <w:pPr>
              <w:jc w:val="center"/>
              <w:rPr>
                <w:color w:val="000000"/>
              </w:rPr>
            </w:pPr>
            <w:r w:rsidRPr="00C73427">
              <w:rPr>
                <w:color w:val="000000"/>
              </w:rPr>
              <w:t>0.959</w:t>
            </w:r>
          </w:p>
        </w:tc>
        <w:tc>
          <w:tcPr>
            <w:tcW w:w="850" w:type="dxa"/>
            <w:tcBorders>
              <w:top w:val="single" w:sz="4" w:space="0" w:color="auto"/>
              <w:bottom w:val="single" w:sz="4" w:space="0" w:color="auto"/>
            </w:tcBorders>
            <w:vAlign w:val="center"/>
          </w:tcPr>
          <w:p w14:paraId="7C332CA6" w14:textId="77777777" w:rsidR="00B84CC7" w:rsidRPr="00C73427" w:rsidRDefault="00B84CC7" w:rsidP="002E048D">
            <w:pPr>
              <w:jc w:val="center"/>
              <w:rPr>
                <w:color w:val="000000"/>
              </w:rPr>
            </w:pPr>
          </w:p>
        </w:tc>
        <w:tc>
          <w:tcPr>
            <w:tcW w:w="1217" w:type="dxa"/>
            <w:tcBorders>
              <w:top w:val="single" w:sz="4" w:space="0" w:color="auto"/>
              <w:bottom w:val="single" w:sz="4" w:space="0" w:color="auto"/>
            </w:tcBorders>
            <w:vAlign w:val="center"/>
          </w:tcPr>
          <w:p w14:paraId="5244CBA6" w14:textId="77777777" w:rsidR="00B84CC7" w:rsidRPr="00C73427" w:rsidRDefault="00B84CC7" w:rsidP="002E048D">
            <w:pPr>
              <w:jc w:val="center"/>
              <w:rPr>
                <w:color w:val="000000"/>
              </w:rPr>
            </w:pPr>
          </w:p>
        </w:tc>
      </w:tr>
      <w:tr w:rsidR="00B84CC7" w:rsidRPr="00C73427" w14:paraId="59128384" w14:textId="77777777" w:rsidTr="00B84CC7">
        <w:trPr>
          <w:trHeight w:hRule="exact" w:val="531"/>
        </w:trPr>
        <w:tc>
          <w:tcPr>
            <w:tcW w:w="1417" w:type="dxa"/>
            <w:tcBorders>
              <w:top w:val="single" w:sz="4" w:space="0" w:color="auto"/>
            </w:tcBorders>
            <w:vAlign w:val="center"/>
          </w:tcPr>
          <w:p w14:paraId="67D25749" w14:textId="77777777" w:rsidR="00B84CC7" w:rsidRPr="00C73427" w:rsidRDefault="00B84CC7" w:rsidP="002E048D">
            <w:pPr>
              <w:rPr>
                <w:b/>
                <w:color w:val="000000"/>
              </w:rPr>
            </w:pPr>
            <w:r w:rsidRPr="00C73427">
              <w:rPr>
                <w:b/>
                <w:color w:val="000000"/>
              </w:rPr>
              <w:t>Toplam</w:t>
            </w:r>
          </w:p>
        </w:tc>
        <w:tc>
          <w:tcPr>
            <w:tcW w:w="1225" w:type="dxa"/>
            <w:tcBorders>
              <w:top w:val="single" w:sz="4" w:space="0" w:color="auto"/>
            </w:tcBorders>
            <w:vAlign w:val="center"/>
          </w:tcPr>
          <w:p w14:paraId="0B6B704D" w14:textId="77777777" w:rsidR="00B84CC7" w:rsidRPr="00C73427" w:rsidRDefault="00B84CC7" w:rsidP="002E048D">
            <w:pPr>
              <w:jc w:val="center"/>
              <w:rPr>
                <w:color w:val="000000"/>
              </w:rPr>
            </w:pPr>
            <w:r w:rsidRPr="00C73427">
              <w:rPr>
                <w:color w:val="000000"/>
              </w:rPr>
              <w:t>82,329</w:t>
            </w:r>
          </w:p>
        </w:tc>
        <w:tc>
          <w:tcPr>
            <w:tcW w:w="1678" w:type="dxa"/>
            <w:gridSpan w:val="2"/>
            <w:tcBorders>
              <w:top w:val="single" w:sz="4" w:space="0" w:color="auto"/>
            </w:tcBorders>
            <w:vAlign w:val="center"/>
          </w:tcPr>
          <w:p w14:paraId="33BFF937" w14:textId="77777777" w:rsidR="00B84CC7" w:rsidRPr="00C73427" w:rsidRDefault="00B84CC7" w:rsidP="002E048D">
            <w:pPr>
              <w:jc w:val="center"/>
              <w:rPr>
                <w:color w:val="000000"/>
              </w:rPr>
            </w:pPr>
            <w:r w:rsidRPr="00C73427">
              <w:rPr>
                <w:color w:val="000000"/>
              </w:rPr>
              <w:t>87</w:t>
            </w:r>
          </w:p>
        </w:tc>
        <w:tc>
          <w:tcPr>
            <w:tcW w:w="1589" w:type="dxa"/>
            <w:tcBorders>
              <w:top w:val="single" w:sz="4" w:space="0" w:color="auto"/>
            </w:tcBorders>
            <w:vAlign w:val="center"/>
          </w:tcPr>
          <w:p w14:paraId="66C87225" w14:textId="77777777" w:rsidR="00B84CC7" w:rsidRPr="00C73427" w:rsidRDefault="00B84CC7" w:rsidP="002E048D">
            <w:pPr>
              <w:jc w:val="center"/>
              <w:rPr>
                <w:color w:val="000000"/>
              </w:rPr>
            </w:pPr>
          </w:p>
        </w:tc>
        <w:tc>
          <w:tcPr>
            <w:tcW w:w="850" w:type="dxa"/>
            <w:tcBorders>
              <w:top w:val="single" w:sz="4" w:space="0" w:color="auto"/>
            </w:tcBorders>
            <w:vAlign w:val="center"/>
          </w:tcPr>
          <w:p w14:paraId="32CFD401" w14:textId="77777777" w:rsidR="00B84CC7" w:rsidRPr="00C73427" w:rsidRDefault="00B84CC7" w:rsidP="002E048D">
            <w:pPr>
              <w:jc w:val="center"/>
              <w:rPr>
                <w:color w:val="000000"/>
              </w:rPr>
            </w:pPr>
          </w:p>
        </w:tc>
        <w:tc>
          <w:tcPr>
            <w:tcW w:w="1217" w:type="dxa"/>
            <w:tcBorders>
              <w:top w:val="single" w:sz="4" w:space="0" w:color="auto"/>
            </w:tcBorders>
            <w:vAlign w:val="center"/>
          </w:tcPr>
          <w:p w14:paraId="6A04E6AE" w14:textId="77777777" w:rsidR="00B84CC7" w:rsidRPr="00C73427" w:rsidRDefault="00B84CC7" w:rsidP="002E048D">
            <w:pPr>
              <w:jc w:val="center"/>
              <w:rPr>
                <w:color w:val="000000"/>
              </w:rPr>
            </w:pPr>
          </w:p>
        </w:tc>
      </w:tr>
    </w:tbl>
    <w:p w14:paraId="364C44C8" w14:textId="77777777" w:rsidR="00B84CC7" w:rsidRPr="00C73427" w:rsidRDefault="00B84CC7" w:rsidP="00B84CC7">
      <w:pPr>
        <w:spacing w:after="240"/>
        <w:ind w:firstLine="284"/>
        <w:rPr>
          <w:rFonts w:ascii="Times New Roman" w:hAnsi="Times New Roman"/>
        </w:rPr>
      </w:pPr>
      <w:r w:rsidRPr="00C73427">
        <w:rPr>
          <w:rFonts w:ascii="Times New Roman" w:hAnsi="Times New Roman"/>
        </w:rPr>
        <w:t>p*&lt;.05</w:t>
      </w:r>
    </w:p>
    <w:p w14:paraId="26F780BA" w14:textId="77777777" w:rsidR="00B84CC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Uygulanan yöntemin başarı testinde yer alan dört farklı kategoriden hangisinin üzerinde daha etkili olduğunu belirlenmek için yapılan tek yönlü varyans analizi (one-way ANOVA) sonuçları uygulanan yöntemin alt kategorilerdeki başarıyı arttırma açısından gruplar arasında anlamlı bir farklılık göstermediğini ortaya koymuştur (p&gt;.05). Başka bir ifadeyle, elde edilen sonuçlar uygulanan argümantasyon temelli eğitim yönteminin her bir alt kategoride yer alan başarı türünü etkilemede aynı düzeyde etkiye sahip olduğu şeklinde yorumlanabilir.</w:t>
      </w:r>
    </w:p>
    <w:p w14:paraId="5BEC38FD"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lastRenderedPageBreak/>
        <w:t>Sonuç ve Tartışma</w:t>
      </w:r>
    </w:p>
    <w:p w14:paraId="5EBE4D89" w14:textId="77777777" w:rsidR="002669E6" w:rsidRPr="005636EB" w:rsidRDefault="002669E6" w:rsidP="006F1314">
      <w:pPr>
        <w:spacing w:after="0" w:line="360" w:lineRule="auto"/>
        <w:ind w:firstLine="709"/>
        <w:jc w:val="both"/>
        <w:rPr>
          <w:rFonts w:ascii="Times New Roman" w:hAnsi="Times New Roman" w:cs="Times New Roman"/>
          <w:sz w:val="24"/>
          <w:szCs w:val="24"/>
        </w:rPr>
      </w:pPr>
      <w:r w:rsidRPr="005636EB">
        <w:rPr>
          <w:rFonts w:ascii="Times New Roman" w:hAnsi="Times New Roman" w:cs="Times New Roman"/>
          <w:sz w:val="24"/>
          <w:szCs w:val="24"/>
        </w:rPr>
        <w:t>ATBÖ yaklaşımı temel alınarak işlenilen fonksiyonlar konusu öncesinde ve sonrasında öğrencilere uygulanan başarı testi sonuçları değerlendirildiğinde son test lehine anlamlı bir farklılığın olduğu tespit edilmiştir (p=.00 &lt;.05). Elde edilen bulgular incelendiğinde öğrencilerin ön test puan ortalaması 7.23 iken son test puan ortalaması 42.77’ye yükselmiştir. Başka bir ifadeyle, matematik öğretiminde kullanılan ATBÖ yaklaşımının öğrencilerin fonksiyonlar konusundaki başarılarını arttırmada başarılı bir yöntem olduğu söylenebilir. Rudd, Greenbowe, Hand and Legge, (2001) kimya dersindeki denge konusunda uygulama grubuna ATBÖ yaklaşımıyla ders işleyerek son test lehine anlamlı bir farklılık tespit etmişlerdir. Yeşiloğlu (2007)’nun gazlar konusunda deney grubuna tartışma modeli ile işlenmiş ve kontrol grubuna göre yüksek başarı tespit edilmiştir. Benzer olarak çalışmamızın sonuçlarıyla paralellik gösteren ATBÖ uygulamasının öğrencilerin son test puanları üzerinde anlamlı farklılıkların olduğu çalışmalar mevcuttur (Hand and Keys, 1999; Hand vd, 2002; Hand vd., 2004; Kaya, 2005; Hohenshell and Hand, 2006; Akkus et al., 2007; Demirci, 2008; Uluçınar Sağır, 2008; Deveci, 2009; Özer, 2009; Özkara, 2011; Memiş, 2011; Günel ve Tanrıverdi, 2012; Akkuş ve Kurt, 2012).</w:t>
      </w:r>
    </w:p>
    <w:p w14:paraId="45B156A3" w14:textId="77777777" w:rsidR="002669E6" w:rsidRPr="00C73427" w:rsidRDefault="002669E6" w:rsidP="002669E6">
      <w:pPr>
        <w:spacing w:line="360" w:lineRule="auto"/>
        <w:jc w:val="both"/>
        <w:rPr>
          <w:rFonts w:ascii="Times New Roman" w:hAnsi="Times New Roman"/>
          <w:sz w:val="24"/>
          <w:szCs w:val="24"/>
        </w:rPr>
      </w:pPr>
      <w:r w:rsidRPr="005636EB">
        <w:rPr>
          <w:rFonts w:ascii="Times New Roman" w:hAnsi="Times New Roman" w:cs="Times New Roman"/>
          <w:sz w:val="24"/>
          <w:szCs w:val="24"/>
        </w:rPr>
        <w:t>Öğrencilerin tartışma sürecinde ve sonunda yazdıkları MMY şablonunundan elde edilen bulgulara göre; raporların toplam puanları ile fonksiyonlar başarı testinin son test toplam puanları arasında pozitif, orta düzeyde ve anlamlı bir ilişki tespit edilmiştir (r=.614, p&lt; .05). Yazma ve matematiksel problem çözme arasındaki ilişkiyi keşfetmek için yapılan çalışmalar, yazmanın, öğrencilere problem çözme davranışlarını organize etme ve onların bilgi şemalarını geliştirme konusunda yardımcı olduğunu göstermiştir (Steele, 2005). Aynı şekilde Pugalee (2004), öğrencilerin matematiksel yazmalarından üst-bilişsel davranış kanıtları sağlamıştır. Türkiye’de yazma üzerine yapılan çalışmalar incelendiğinde daha çok fen bilimleri öğretimi ile ilgili olduğu görülür (Akar, 2007; Günel, Atila &amp; Büyükkasap, 2009). Memiş (2011)’in yaptığı çalışmada ATBÖ raporları ile elektrik son test puanları arasında pozitif, orta düzeyde ve anlamlı bir ilişki tespit etmiştir. Memiş’in yaptığı araştırma sonuçları bu araştırmanın bulgularını destekler niteliktedir. Benzer şekilde Yeşildağ-Hasançebi ve Günel (2013) ATBÖ yaklaşımının ilköğretim seviyesinde maddenin yapısı ve özellikleri ünitesinde kullanılmasının öğrencilerin akademik başarısına katkı sağladığını ve öğrencilerin süreç içerisinde yazdıkları ATBÖ raporlarından aldıkları puanları ile son test puanları arasında olumlu bir ilişki olduğu gözlemlenmişlerdir.</w:t>
      </w:r>
    </w:p>
    <w:p w14:paraId="3F558B33"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Öneriler</w:t>
      </w:r>
    </w:p>
    <w:p w14:paraId="4FC9F127"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lastRenderedPageBreak/>
        <w:t>Araştırma sonuçlarına göre aşağıda bazı önerilere yer verilmiştir:</w:t>
      </w:r>
    </w:p>
    <w:p w14:paraId="113545E7"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t>1.</w:t>
      </w:r>
      <w:r w:rsidRPr="005636EB">
        <w:rPr>
          <w:rFonts w:ascii="Times New Roman" w:hAnsi="Times New Roman" w:cs="Times New Roman"/>
          <w:sz w:val="24"/>
          <w:szCs w:val="24"/>
        </w:rPr>
        <w:tab/>
        <w:t>Çalışmada ATBÖ yaklaşımının “Fonksiyonlar” konusundaki öğrencilerin başarılarını artırmada etkili olduğu dikkate alınırsa, bu yaklaşım farklı sınıf ve konu düzeylerinde uygulanmalı ve etkililiği araştırılmalıdır.</w:t>
      </w:r>
    </w:p>
    <w:p w14:paraId="43C77580" w14:textId="77777777" w:rsidR="002669E6" w:rsidRPr="005636EB" w:rsidRDefault="002669E6" w:rsidP="002669E6">
      <w:pPr>
        <w:spacing w:after="0" w:line="360" w:lineRule="auto"/>
        <w:ind w:firstLine="567"/>
        <w:jc w:val="both"/>
        <w:rPr>
          <w:rFonts w:ascii="Times New Roman" w:hAnsi="Times New Roman" w:cs="Times New Roman"/>
          <w:sz w:val="24"/>
          <w:szCs w:val="24"/>
        </w:rPr>
      </w:pPr>
      <w:r w:rsidRPr="005636EB">
        <w:rPr>
          <w:rFonts w:ascii="Times New Roman" w:hAnsi="Times New Roman" w:cs="Times New Roman"/>
          <w:sz w:val="24"/>
          <w:szCs w:val="24"/>
        </w:rPr>
        <w:t>2.</w:t>
      </w:r>
      <w:r w:rsidRPr="005636EB">
        <w:rPr>
          <w:rFonts w:ascii="Times New Roman" w:hAnsi="Times New Roman" w:cs="Times New Roman"/>
          <w:sz w:val="24"/>
          <w:szCs w:val="24"/>
        </w:rPr>
        <w:tab/>
        <w:t>Araştırma sınırlı sürede yapıldığından daha uzun süreli araştırmalar yapılarak ATBÖ yaklaşımının matematiğe karşı tutum gibi farklı değişkenler üzerine etkisi incelenebilir.</w:t>
      </w:r>
    </w:p>
    <w:p w14:paraId="55F38D62" w14:textId="77777777" w:rsidR="002669E6" w:rsidRPr="00BD56B3" w:rsidRDefault="002669E6" w:rsidP="002669E6">
      <w:pPr>
        <w:spacing w:after="0" w:line="360" w:lineRule="auto"/>
        <w:jc w:val="both"/>
        <w:rPr>
          <w:rFonts w:ascii="Times New Roman" w:hAnsi="Times New Roman" w:cs="Times New Roman"/>
          <w:b/>
          <w:sz w:val="24"/>
          <w:szCs w:val="24"/>
        </w:rPr>
      </w:pPr>
      <w:r w:rsidRPr="005636EB">
        <w:rPr>
          <w:rFonts w:ascii="Times New Roman" w:hAnsi="Times New Roman" w:cs="Times New Roman"/>
          <w:sz w:val="24"/>
          <w:szCs w:val="24"/>
        </w:rPr>
        <w:t>3.</w:t>
      </w:r>
      <w:r w:rsidRPr="005636EB">
        <w:rPr>
          <w:rFonts w:ascii="Times New Roman" w:hAnsi="Times New Roman" w:cs="Times New Roman"/>
          <w:sz w:val="24"/>
          <w:szCs w:val="24"/>
        </w:rPr>
        <w:tab/>
        <w:t>Öğretmenlerin ATBÖ yaklaşım sürecini öğrenmeleri, etkili tartışma yönetebilmeleri için bu yaklaşımın öğretmenlere hizmet içi kurslarda uygulamalı olarak anlatılmalı ve öğretmenlere bilimsel tartışma faaliyetleri yaptırılmalıdır.</w:t>
      </w:r>
    </w:p>
    <w:p w14:paraId="7B83D94A"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Konumu (Yeri)</w:t>
      </w:r>
    </w:p>
    <w:p w14:paraId="0C33F348" w14:textId="77777777" w:rsidR="002669E6" w:rsidRPr="00BD56B3" w:rsidRDefault="002669E6" w:rsidP="002669E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Matema</w:t>
      </w:r>
      <w:r>
        <w:rPr>
          <w:rFonts w:ascii="Times New Roman" w:hAnsi="Times New Roman" w:cs="Times New Roman"/>
          <w:sz w:val="24"/>
          <w:szCs w:val="24"/>
        </w:rPr>
        <w:t>tik ve Fen Bilimleri Eğitimi/</w:t>
      </w:r>
      <w:r w:rsidRPr="00BD56B3">
        <w:rPr>
          <w:rFonts w:ascii="Times New Roman" w:hAnsi="Times New Roman" w:cs="Times New Roman"/>
          <w:sz w:val="24"/>
          <w:szCs w:val="24"/>
        </w:rPr>
        <w:t xml:space="preserve">Matematik </w:t>
      </w:r>
      <w:r>
        <w:rPr>
          <w:rFonts w:ascii="Times New Roman" w:hAnsi="Times New Roman" w:cs="Times New Roman"/>
          <w:sz w:val="24"/>
          <w:szCs w:val="24"/>
        </w:rPr>
        <w:t>Eğitimi Anabilim Dalı</w:t>
      </w:r>
    </w:p>
    <w:p w14:paraId="4008CD53"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Özgünlüğü</w:t>
      </w:r>
    </w:p>
    <w:p w14:paraId="6CA88562" w14:textId="2495E6F3" w:rsidR="002669E6" w:rsidRPr="00BD56B3" w:rsidRDefault="006F1314" w:rsidP="006F1314">
      <w:pPr>
        <w:spacing w:after="0" w:line="360" w:lineRule="auto"/>
        <w:ind w:firstLine="709"/>
        <w:jc w:val="both"/>
        <w:rPr>
          <w:rFonts w:ascii="Times New Roman" w:hAnsi="Times New Roman" w:cs="Times New Roman"/>
          <w:color w:val="FF0000"/>
          <w:sz w:val="24"/>
          <w:szCs w:val="24"/>
        </w:rPr>
      </w:pPr>
      <w:r w:rsidRPr="006F1314">
        <w:rPr>
          <w:rFonts w:ascii="Times New Roman" w:hAnsi="Times New Roman" w:cs="Times New Roman"/>
          <w:sz w:val="24"/>
          <w:szCs w:val="24"/>
        </w:rPr>
        <w:t>Bu araştırma, tartışmanın sadece yetişkinler arasında gerçekleşen bir uygulama olmadığını, orta öğretim birinci kademedeki öğrencilerin de anlamlı tartışmalar gerçekleştirebileceğini göstermesi açısından da oldukça önemlidir. Ayrıca ATBÖ yaklaşımının öğrencilerin fonksiyonlar konusundaki matematik başarılarına katkı sağladığını göstermek açısından da önem taşımaktadır.</w:t>
      </w:r>
    </w:p>
    <w:p w14:paraId="1811FA4A" w14:textId="77777777" w:rsidR="002669E6" w:rsidRPr="00BD56B3" w:rsidRDefault="002669E6" w:rsidP="002669E6">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Kaynaklar</w:t>
      </w:r>
    </w:p>
    <w:p w14:paraId="04BB9BC3"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Akar, M. S. (2007). Laboratuar dersinde yazma metinleri oluşturmanın ve analoji kullanmanın akademik başarıya etkisi. Yayınlanmamış Yüksek Lisans tezi. Atatürk Üniversitesi, Erzurum.</w:t>
      </w:r>
    </w:p>
    <w:p w14:paraId="2C534821"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
    <w:p w14:paraId="1202EDF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Akkuş, R. (2007). Investigating the changes in teachers’pedagogical practices through the use of mathematics reasoning heuristic approach. Unpublished PHD Dissertation, Iowa State University, Ames.</w:t>
      </w:r>
    </w:p>
    <w:p w14:paraId="1570A7C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Akkuş, R. &amp; Kurt, İ. (2012, Haziran). Argümantasyon tabanlı tilim öğrenme yaklaşımının öğrenci akademik başarısına ve kritik düşünme becerisine etkisi, 10. Ulusal Fen Bilimleri ve Matematik Eğitimi Kongresi (UFBMEK), Niğde Üniversitesi,Niğde.</w:t>
      </w:r>
    </w:p>
    <w:p w14:paraId="1DE13ED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p>
    <w:p w14:paraId="65352EE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Dalkıran, G., Kesercioğlu, T., ve Boyacı, S. (2005, Eylül). Kavram haritaları ve kavramsal değişim metinlerinin öğrencilerin fen bilgisi dersine olan tutumlarına etkisi ve öğrenci görüşleri. Ulusal Eğitim Bilimleri Kongresi, Pamukkale Üniversitesi Eğitim Fakültesi, Denizli.</w:t>
      </w:r>
    </w:p>
    <w:p w14:paraId="44560BFF"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lastRenderedPageBreak/>
        <w:t>Demirci, N. (2008). Toulmin’in bilimsel tartışma modeli odaklı eğitimin kimya öğretmen adaylarının temel kimya konularını anlama ve tartışma seviyeleri üzerine etkisi. Yüksek Lisans Tezi. Gazi Üniversitesi Eğitim Bilimleri Enstitüsü, Ankara.</w:t>
      </w:r>
    </w:p>
    <w:p w14:paraId="3416FD92"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Deveci, A. (2009). İlköğretim yedinci sınıf öğrencilerinin maddenin yapısı konusunda sosyobilimsel argümantasyon, bilgi seviyeleri ve bilişsel düşünme becerilerini geliştirmek. Yayımlanmış Yüksek Lisans Tezi. Marmara Üniversitesi Eğitim Bilimleri Enstitüsü, İstanbul.</w:t>
      </w:r>
    </w:p>
    <w:p w14:paraId="710A8BE6"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Driver, R., Newton, P., and Osborne, J. (2000). Establishing the norms of scientific argumentation in classrooms. Science Education, 84(3), 287–312.</w:t>
      </w:r>
    </w:p>
    <w:p w14:paraId="3CA5E9C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Druker, S. L., Chen, C., and Kelly, G. J. (1996). Introducing content to the toulmin model of argumentation via error analysis. Paper Presented At NARST Meeting II, Chicago.</w:t>
      </w:r>
    </w:p>
    <w:p w14:paraId="4406F8A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Günel, M. ve Tanrıverdi, K. (2012, Haziran). Boylamsal araştırma projesi: Hizmetiçi eğitim ve sınıf içi uygulamalarının, öğretmen pedagojisine, öğrenci akademik başarısına, düşünme becerilerine etkisinin araştırılması, 10. Ulusal Fen Bilimleri ve Matematik Eğitimi Kongresi (UFBMEK), Niğde Üniversitesi, Niğde.</w:t>
      </w:r>
    </w:p>
    <w:p w14:paraId="5A7EB5D9"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Günel, M., Atila, M. E., ve Büyükkasap, E. (2009). Farklı betimleme modlarının öğrenme amaçlı yazma aktivitelerinde kullanımlarının 6. sınıf yaşamımızdaki elektrik ünitesinin öğrenimine etkisi. İlköğretim Online, 8(1), 183-198.</w:t>
      </w:r>
    </w:p>
    <w:p w14:paraId="4A133E1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Günel, M., Uzoğlu, M., ve Büyükkasap, E. (2009a). Öğrenme amaçlı yazma aktivitelerinin kullanımının ilköğretim seviyesinde kuvvet konusunu öğrenmeye etkisi. Gazi Eğitim Fakültesi Dergisi, 29(1), 379-399.</w:t>
      </w:r>
    </w:p>
    <w:p w14:paraId="5F41E6A6"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Hand, B. and Keys, C. (1999). Inquiry invertigation: A new approach to laboratory reports. The Science Teacher, 66 (4), 27-29.</w:t>
      </w:r>
    </w:p>
    <w:p w14:paraId="7E3A5687"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Hand, B. and Prain, V. (2002). Teachers implementing writing-to-learn strategies in junior secondary science: A case study. The Science Educator, 86, 737-755.</w:t>
      </w:r>
    </w:p>
    <w:p w14:paraId="1F166C49"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Hand, B. Wallace, C. and Yang, E. (2004). Using the science writing heuristic to enhance learning outcomes from laboratory activities in seventh grade science: Quantitative and qualitative aspects. International Journal of Science Eduation, 26, 131-149.</w:t>
      </w:r>
    </w:p>
    <w:p w14:paraId="3A44EE15"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Hohenshell, L. and Hand, B. (2006). Writing-to-learn strategies in secondary school cell biology: A mixed method study. International Journal of Science Education, 28, 261.</w:t>
      </w:r>
    </w:p>
    <w:p w14:paraId="016E7300"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Jonassen, D. H., Peck K. L. and Wilson, B. G. (1999). Learning With Technology: A. Constructivisit Perspective. New Jersey, Prentice Hall.</w:t>
      </w:r>
    </w:p>
    <w:p w14:paraId="053E728A"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lastRenderedPageBreak/>
        <w:t xml:space="preserve">Karaçay, T. (18 Kasım 2000). Matematik öğretimi. Matematik Yılı Matematik Öğretmenleri Semineri Tansel okulları, Sakarya. www.baskent.edu.tr/~tkaracay/ etudio/agora/math/sakarya.html   10.08.2014 tarihinde erişilmiştir.  </w:t>
      </w:r>
    </w:p>
    <w:p w14:paraId="47BCB9B4"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Karasar, N. (2007). Bilimsel araştırma yöntemi. Ankara: Nobel Yayın Dağıtımı.</w:t>
      </w:r>
    </w:p>
    <w:p w14:paraId="2E2CFBC0"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Keys, C. W., Hand, B., Prain, V. and Collins, S. (1999). Using the science writing heuristic as a tool learning from laboratory investigations in secondary science. Journal of Research in Science Teaching, 36(10), 1065-1084.</w:t>
      </w:r>
    </w:p>
    <w:p w14:paraId="0EC2C8AC"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Memiş, E.K. (2011). Argümantasyon tabanlı bilim öğrenme yaklaşımının ve öz değerlendirmenin ilköğretim öğrencilerinin fen ve teknoloji dersi başarısına ve başarının kalıcılığına etkisi. Doktora Tezi. Atatürk Üniversitesi Eğitim Bilimleri Enstitüsü, Erzurum.</w:t>
      </w:r>
    </w:p>
    <w:p w14:paraId="619932BE"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Niaz, M., Aguilera, D. Maza, A. and Liendo, G. (2002). Arguments, contradictions, resistances, and conceple change in students understanding of atomic structure. Science Education, 86, 505-525.</w:t>
      </w:r>
    </w:p>
    <w:p w14:paraId="4D3C8F12"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Osborne, J. (2005). The role of argument in science education. Research and the Quality of Science Education,7, 367-380.</w:t>
      </w:r>
    </w:p>
    <w:p w14:paraId="27497C88"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Özer, G. (2009). Bilimsel tartışmaya dayalı öğretim yaklaşımının öğrencilerin mol kavramı konusundaki kavramsal değişimlerine ve başarılarına etkisinin incelenmesi. Yüksek Lisans Tezi. Gazi Üniversitesi Eğitim Bilimleri Enstitüsü, Ankara.</w:t>
      </w:r>
    </w:p>
    <w:p w14:paraId="493B42D3"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Özkara D. (2011). Basınç konusunun sekizinci sınıf öğrencilerine bilimsel argümantasyona dayalı faaliyetler ile öğretilmesi. Yüksek Lisans Tezi. Adıyaman Üniversitesi Fen Bilimleri Enstitüsü, Adıyaman.</w:t>
      </w:r>
    </w:p>
    <w:p w14:paraId="017F7531"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Pugalee, D. K. (2004). A comparison of verbal and written descriptions of students' problem solving processes. Educational Studies in Mathematics, 55(1-3), 27-47.</w:t>
      </w:r>
    </w:p>
    <w:p w14:paraId="11BF98CB"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Rudd, J.A., Greenbowe, T.J., Hand, B. and Legg, M.L. (2001). Using the science writing Heuristic to move toward an inquiry-based laboratory curriculum: An example from physical equilibrium. Journal of Chemical education, 78, 1680-1686.</w:t>
      </w:r>
    </w:p>
    <w:p w14:paraId="7E555BDD"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Steele, D. (2005). Using writing to access students' schemata knowledge for algebraic thinking. School Science and Mathematics, 105(3), 142-154.</w:t>
      </w:r>
    </w:p>
    <w:p w14:paraId="2BB23ADD"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Uluçınar Sağır, Ş. (2008). Fen bilgisi dersinde bilimsel tartışma odaklı öğretimin etkinliliğinin incelenmesi. Yayımlanmış Doktora Tezi. Gazi Üniversitesi Eğitim Bilimleri Enstitüsü, Ankara.</w:t>
      </w:r>
    </w:p>
    <w:p w14:paraId="6F88FF08"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 xml:space="preserve">Yahşi, D. (2006). Farklı laboratuar yaklaşımlarının ilköğretim 8. sınıf öğrencilerinin asit-baz konularındaki kavramları anlamalarına ve kavram yanılgılarının giderilmesine etkisi. </w:t>
      </w:r>
      <w:r w:rsidRPr="00E1439C">
        <w:rPr>
          <w:rFonts w:ascii="Times New Roman" w:hAnsi="Times New Roman" w:cs="Times New Roman"/>
          <w:sz w:val="24"/>
          <w:szCs w:val="24"/>
        </w:rPr>
        <w:lastRenderedPageBreak/>
        <w:t>Yayınlanmış Yüksek Lisans Tezi. Abant İzzet Baysal Üniversitesi Sosyal Bilimler Enstitüsü, Bolu.</w:t>
      </w:r>
    </w:p>
    <w:p w14:paraId="75ACD26F" w14:textId="77777777" w:rsidR="002669E6" w:rsidRPr="00E1439C"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Yeşiloğlu, S. N. (2007). Gazlar konusunun lise öğrencilerine bilimsel tartışma (argümantasyon) odaklı yöntem ile öğretimi. Yüksek Lisans Tezi. Gazi Üniversitesi Eğitim Bilimleri Enstitüsü, Ankara.</w:t>
      </w:r>
    </w:p>
    <w:p w14:paraId="0211E856" w14:textId="77777777" w:rsidR="002669E6" w:rsidRDefault="002669E6" w:rsidP="002669E6">
      <w:pPr>
        <w:spacing w:after="0" w:line="360" w:lineRule="auto"/>
        <w:ind w:left="567" w:hanging="567"/>
        <w:jc w:val="both"/>
        <w:rPr>
          <w:rFonts w:ascii="Times New Roman" w:hAnsi="Times New Roman" w:cs="Times New Roman"/>
          <w:sz w:val="24"/>
          <w:szCs w:val="24"/>
        </w:rPr>
      </w:pPr>
      <w:r w:rsidRPr="00E1439C">
        <w:rPr>
          <w:rFonts w:ascii="Times New Roman" w:hAnsi="Times New Roman" w:cs="Times New Roman"/>
          <w:sz w:val="24"/>
          <w:szCs w:val="24"/>
        </w:rPr>
        <w:t>Yeşildağ-Hasançebi, F. ve Günel, M.(2013). Argümantasyon tabanlı bilim öğrenme yaklaşımının dezavantajlı öğrencilerin fen bilgisi başarılarına etkisi. İlköğretim Online, 12(4), 1056-1073. http: //ilkogretim-online.org.tr</w:t>
      </w:r>
    </w:p>
    <w:p w14:paraId="040AD009" w14:textId="77777777" w:rsidR="002669E6" w:rsidRDefault="002669E6" w:rsidP="002669E6">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Summary</w:t>
      </w:r>
    </w:p>
    <w:p w14:paraId="2DDBA3DE" w14:textId="77777777" w:rsidR="002669E6" w:rsidRPr="00F833D0" w:rsidRDefault="002669E6" w:rsidP="00266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Problem Statement</w:t>
      </w:r>
    </w:p>
    <w:p w14:paraId="5E2A47C4"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The necessity of good mathematics teaching in schools is seen as an important goal at every stage of education. There is widespread belief that the achievement of students in mathematics in every part of society plays a more important and decisive role than the achievement they have shown in other lessons. For this reason, it can be assumed that why mathematics teaching is necessary is well known by everyone (Karaçay, 2000). The training of qualified individuals to meet the needs of society is only possible with the reveal and develop creative thinking skills in individuals. </w:t>
      </w:r>
    </w:p>
    <w:p w14:paraId="171009C7"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p>
    <w:p w14:paraId="5D53D1BC"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Nowadays, new knowledge learned from individuals is expected to be structured with existing knowledge and skills. For this reason, it is important for the students to identify their prior knowledge before constructing the knowledge (Yahşi, 2006). This is because it is likely that the individuals who are trained in a learning environment where students are directly informed by the teacher without considering the information and their prior knowledge, and who are also assessing the students with stereotypical examinations (Dalkıran, Kesercioğlu and Boyacı, 2005). When considered from this point of view, different learning and teaching methods should help students to learn on their own (Günel, Uzoglu and Büyükkasap, 2009a). In the scientific debate, the students' research and inquiry ability improves because they work like a scientist (collecting data, providing justification, considering alternative interpretations, reaching to the conclusion with reasoning)  while structuring their arguments. (Driver, Newton ve Osborne, 2000). A number of studies have been carried out on the scientific debate to enhance research skills in students (Druker, Chen and Kelly, 1996; Yerrick, 2000).</w:t>
      </w:r>
    </w:p>
    <w:p w14:paraId="73A20D35"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These studies; demonstrates that the scientific debate positively changes students' ability to understand causal relationships, to create testable hypotheses, to design experiments, to solve real-life problems, and to have scientific research skills. In addition, since students do </w:t>
      </w:r>
      <w:r w:rsidRPr="001D713C">
        <w:rPr>
          <w:rFonts w:ascii="Times New Roman" w:hAnsi="Times New Roman" w:cs="Times New Roman"/>
          <w:sz w:val="24"/>
          <w:szCs w:val="24"/>
          <w:lang w:val="en-GB"/>
        </w:rPr>
        <w:lastRenderedPageBreak/>
        <w:t xml:space="preserve">not work in groups in scientific discussion, it is aimed that students will have social interaction and cooperation by means of these group studies. </w:t>
      </w:r>
    </w:p>
    <w:p w14:paraId="2AE1AA62"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Practices such as the refutation of opposing ideas, the racing of hypotheses, and applications such as the provision of justifications are influential on the conceptual change. Scientific debates about conceptual change are also closely related to the discovery of student ideas and the refutation of false concepts (Uluçınar, 2008). In addition, during the scientific debate, the questioning of alternative ideas that students have and the fact that they are aware of the opposite reasons and scientific ideas in this process are accelerating the process of conceptual change Niaz, Alguilera, Maza and Liendo, 2002). Osborne (2005) emphasized that to prove what they believe, to predict, to assess evidence, and to think on the opposite (contrary) argument will contribute to learning concepts conceptually. Instead of using traditional methods, methods that will increase the creativity of students should be tried and developed.</w:t>
      </w:r>
    </w:p>
    <w:p w14:paraId="2E523C75"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Discussion-based teaching approach is an activity which; a mental schema that reveals the mental schemes of the students, an inquiry into the ideas of both themselves and the other students, and the use of justification and evidence to defend their claims, an overacting of opposing claims if they are necessary, a high level of thinking involving reasoning and the ability to verbally express them. From this point of view, many aspects stand out from the traditional approach (Uluçınar, 2008). From this point of view, many superior aspects stand out compared to traditional approach (Uluçınar, 2008). In constructivism, there is a need for individuals who produce their own technology, who are self-conscious, creative, researching, questioning, knowing what, where and why (Jonassen, Peck ve Wilson, 1999). In this approach the student is in the active position and the teacher mostly plans student-centered activities. </w:t>
      </w:r>
    </w:p>
    <w:p w14:paraId="23E61997" w14:textId="77777777" w:rsidR="002669E6" w:rsidRPr="00F833D0" w:rsidRDefault="002669E6" w:rsidP="002669E6">
      <w:pPr>
        <w:spacing w:after="0" w:line="360" w:lineRule="auto"/>
        <w:jc w:val="both"/>
        <w:rPr>
          <w:rFonts w:ascii="Times New Roman" w:hAnsi="Times New Roman" w:cs="Times New Roman"/>
          <w:b/>
          <w:sz w:val="24"/>
          <w:szCs w:val="24"/>
        </w:rPr>
      </w:pPr>
      <w:r w:rsidRPr="001D713C">
        <w:rPr>
          <w:rFonts w:ascii="Times New Roman" w:hAnsi="Times New Roman" w:cs="Times New Roman"/>
          <w:sz w:val="24"/>
          <w:szCs w:val="24"/>
          <w:lang w:val="en-GB"/>
        </w:rPr>
        <w:t xml:space="preserve">ABSL approach is an approach that based on constructivist approach and combined of constructivist learning models, the role of preliminary knowledge, reader involvement, causality associations, cognitive learning, and problem solving (Keys, Hand, Prain ve Collins, 1999). This approach, which is more commonly used in the field of science is also used in the field of mathematics, is important in terms of reviewing its impact on creativity. ABSL approach is also important since it’s a discussion-based approach, in terms of the training and development of creative individuals that society needs who are not memorizing but constantly searching, inquiring, and advancing their ideas. In this study, it is envisaged that the practicing of ABSL approach in mathematics course will enable students to experience an exemplary learning environment in which they can realize their own creativity besides learning by learning without memorizing mathematical concepts. In this study, it is envisaged that the application of ABSL approach in mathematics course will enable students to experience an exemplary </w:t>
      </w:r>
      <w:r w:rsidRPr="001D713C">
        <w:rPr>
          <w:rFonts w:ascii="Times New Roman" w:hAnsi="Times New Roman" w:cs="Times New Roman"/>
          <w:sz w:val="24"/>
          <w:szCs w:val="24"/>
          <w:lang w:val="en-GB"/>
        </w:rPr>
        <w:lastRenderedPageBreak/>
        <w:t>learning environment in which they can realize their own creativity besides learning by learning without memorizing mathematical concepts. In parallel with this approach the general purpose of our research is to examine the impact of the argument-based science learning approach on the achievement of 9th grade students on functions and their creative thinking skills.</w:t>
      </w:r>
      <w:r>
        <w:rPr>
          <w:rFonts w:ascii="Times New Roman" w:hAnsi="Times New Roman" w:cs="Times New Roman"/>
          <w:b/>
          <w:sz w:val="24"/>
          <w:szCs w:val="24"/>
        </w:rPr>
        <w:br/>
        <w:t>Method(s)</w:t>
      </w:r>
    </w:p>
    <w:p w14:paraId="4D707B77" w14:textId="77777777" w:rsidR="002669E6" w:rsidRPr="00055077"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Quantitative method was used in the study. The study consisted of a single group pretest-posttest weak experimental design. Karasar (2007) stated that a well-selected group variable was applied in the single group pre-test post-test model and stated that both pre-experiment (pre-test) and post-experiment (post-test) measures were applied.</w:t>
      </w:r>
      <w:r w:rsidRPr="00055077">
        <w:t xml:space="preserve"> </w:t>
      </w:r>
      <w:r w:rsidRPr="00055077">
        <w:rPr>
          <w:rFonts w:ascii="Times New Roman" w:hAnsi="Times New Roman" w:cs="Times New Roman"/>
          <w:sz w:val="24"/>
          <w:szCs w:val="24"/>
          <w:lang w:val="en-GB"/>
        </w:rPr>
        <w:t>Research Bayburt Science High School was conducted with a total of 22 students, 11 girls and 11 boys in the 9th grade in the fall semester of 2012-2013 academic year. If it is considered that they are all have received similar training in primary education and they are placed in the science high school with a certain base score from SBS (Level Determination Test)  it can be said that all the students are very homogeneous. The objective sampling method, which is one of the unselected sampling approaches, has been used in the selection of the students.</w:t>
      </w:r>
      <w:r w:rsidRPr="00055077">
        <w:t xml:space="preserve"> </w:t>
      </w:r>
      <w:r w:rsidRPr="00055077">
        <w:rPr>
          <w:rFonts w:ascii="Times New Roman" w:hAnsi="Times New Roman" w:cs="Times New Roman"/>
          <w:sz w:val="24"/>
          <w:szCs w:val="24"/>
          <w:lang w:val="en-GB"/>
        </w:rPr>
        <w:t>The initial state of the test, developed for the study, consists of 20 open ended questions. On the topic of the functions, a question pool was created by bringing together the questions from OSS-LYS-YGS examination in the past years. To determine which of the questions will be used, educational attainments related with the topics and the aim of the study was taken as the objective criteria and the statement table was prepared. The questions determined according to these criteria were not exactly used, multiple choice questions turned into open ended questions. 20 questions were determined according to the generated statement table.</w:t>
      </w:r>
      <w:r w:rsidRPr="00055077">
        <w:t xml:space="preserve"> </w:t>
      </w:r>
      <w:r w:rsidRPr="00055077">
        <w:rPr>
          <w:rFonts w:ascii="Times New Roman" w:hAnsi="Times New Roman" w:cs="Times New Roman"/>
          <w:sz w:val="24"/>
          <w:szCs w:val="24"/>
          <w:lang w:val="en-GB"/>
        </w:rPr>
        <w:t>The pilot study of the test was applied to a group of 50 students who were studying in the 10th grade and the total score obtained from each student's test was calculated. The calculated scores were ranked from small to large, and then the students were divided into 3 groups, the upper group consisted of 15 students, the middle group was 20 students and the lower group was 15 students. The discriminatory and difficulty indices for the test items were calculated according to these groups.</w:t>
      </w:r>
      <w:r w:rsidRPr="00055077">
        <w:t xml:space="preserve"> </w:t>
      </w:r>
      <w:r w:rsidRPr="00055077">
        <w:rPr>
          <w:rFonts w:ascii="Times New Roman" w:hAnsi="Times New Roman" w:cs="Times New Roman"/>
          <w:sz w:val="24"/>
          <w:szCs w:val="24"/>
          <w:lang w:val="en-GB"/>
        </w:rPr>
        <w:t xml:space="preserve">Expert opinion has been consulted to ensure the validity of the test. 3 mathematics education specialists and 2 mathematics teachers who were working in high school were investigated and their validity was tried to be obtained by taking their opinions. </w:t>
      </w:r>
    </w:p>
    <w:p w14:paraId="6F3D5440" w14:textId="77777777" w:rsidR="002669E6"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After the item analysis, the final version of the function achievement test was created to include 15 open-ended questions by removing some questions (2,6,13,15,19). Reliability analysis was performed for the data obtained from the pilot application and the cronbach alpha value was found to be .709. As a result of the pilot study, it was decided to apply the test within one hour.</w:t>
      </w:r>
      <w:r w:rsidRPr="00055077">
        <w:t xml:space="preserve"> </w:t>
      </w:r>
      <w:r w:rsidRPr="00055077">
        <w:rPr>
          <w:rFonts w:ascii="Times New Roman" w:hAnsi="Times New Roman" w:cs="Times New Roman"/>
          <w:sz w:val="24"/>
          <w:szCs w:val="24"/>
          <w:lang w:val="en-GB"/>
        </w:rPr>
        <w:lastRenderedPageBreak/>
        <w:t>After the answer key is set for the Function Achievement Test, the correct answer for each question is given a value of 4, and the wrong answer is given a value of 0. In the evaluation of the open-ended questions, the holistic evaluation key was used for the problem solving given in the mathematics curriculum prepared by the Ministry of National Education. The SPSS 18.0 package program was used in the analysis of the data obtained from the pre-test-post test for the Functional Achievement Test. The skewness and kurtosis values for the normality condition, which is the condition of the parametric, were examined between -1 and +1 and the paired sample t-test was performed. The Skewness and kurtosis values of the Functional Achievement Test, which are separated into categories, are between -1 and +1 and the paired sample t-test is used.</w:t>
      </w:r>
    </w:p>
    <w:p w14:paraId="1ED61B28" w14:textId="77777777" w:rsidR="002669E6" w:rsidRPr="00F833D0" w:rsidRDefault="002669E6" w:rsidP="002669E6">
      <w:pPr>
        <w:spacing w:after="0" w:line="360" w:lineRule="auto"/>
        <w:jc w:val="both"/>
        <w:rPr>
          <w:rFonts w:ascii="Times New Roman" w:hAnsi="Times New Roman" w:cs="Times New Roman"/>
          <w:b/>
          <w:sz w:val="24"/>
          <w:szCs w:val="24"/>
        </w:rPr>
      </w:pPr>
      <w:r w:rsidRPr="005F74BD">
        <w:rPr>
          <w:rFonts w:ascii="Times New Roman" w:hAnsi="Times New Roman" w:cs="Times New Roman"/>
          <w:sz w:val="24"/>
          <w:szCs w:val="24"/>
        </w:rPr>
        <w:br/>
      </w:r>
      <w:r>
        <w:rPr>
          <w:rFonts w:ascii="Times New Roman" w:hAnsi="Times New Roman" w:cs="Times New Roman"/>
          <w:b/>
          <w:sz w:val="24"/>
          <w:szCs w:val="24"/>
        </w:rPr>
        <w:t>Findings and Discussions</w:t>
      </w:r>
    </w:p>
    <w:p w14:paraId="16DC8368" w14:textId="77777777" w:rsidR="002669E6" w:rsidRDefault="002669E6" w:rsidP="002669E6">
      <w:pPr>
        <w:spacing w:after="0" w:line="360" w:lineRule="auto"/>
        <w:ind w:firstLine="708"/>
        <w:jc w:val="both"/>
        <w:rPr>
          <w:rFonts w:ascii="Times New Roman" w:hAnsi="Times New Roman" w:cs="Times New Roman"/>
          <w:sz w:val="24"/>
          <w:szCs w:val="24"/>
        </w:rPr>
      </w:pPr>
      <w:r w:rsidRPr="00055077">
        <w:rPr>
          <w:rFonts w:ascii="Times New Roman" w:hAnsi="Times New Roman" w:cs="Times New Roman"/>
          <w:sz w:val="24"/>
          <w:szCs w:val="24"/>
        </w:rPr>
        <w:t xml:space="preserve">The data obtained from the application of the achievement test as the pre-test and post-test in the practice group were subjected to statistical analysis in order to reveal the possible differences between the pre-test and the post-test. The results of the statistical analysis revealed that the average score of the students' achievement test was 7.23 before applying the ABSL approach, and the average score of the same test after the application increased to 42.77.  The paired sample, which is decided to be used to determine whether there is a statistically significant difference between the pre-test and the post-test, indicates that the calculated skewness and kurtosis values are between -1 and +1, and that the data normally distribute before determining whether the necessary assumptions are met. The results of the analysis performed after determining that the necessary assumptions were satisfied revealed a statistically significant difference in the significance level of .05 between the achievement pre-test and post-test (p = .00 &lt;.05). In other words, it can be said that the ABSL approach used in teaching mathematics is a successful method for increasing the students' achievement in terms of functions. </w:t>
      </w:r>
    </w:p>
    <w:p w14:paraId="24A9F743" w14:textId="77777777" w:rsidR="002669E6" w:rsidRPr="00055077" w:rsidRDefault="002669E6" w:rsidP="002669E6">
      <w:pPr>
        <w:spacing w:after="0" w:line="360" w:lineRule="auto"/>
        <w:ind w:firstLine="708"/>
        <w:jc w:val="both"/>
        <w:rPr>
          <w:rFonts w:ascii="Times New Roman" w:hAnsi="Times New Roman" w:cs="Times New Roman"/>
          <w:sz w:val="24"/>
          <w:szCs w:val="24"/>
        </w:rPr>
      </w:pPr>
      <w:r w:rsidRPr="00055077">
        <w:rPr>
          <w:rFonts w:ascii="Times New Roman" w:hAnsi="Times New Roman" w:cs="Times New Roman"/>
          <w:sz w:val="24"/>
          <w:szCs w:val="24"/>
        </w:rPr>
        <w:t>Function Achievement Test consisting of 15 open ended questions was divided into 4 categories by taking expert opinions. The categories were formed as 4 questions in A category, 3 in B category, 4 in C category and 4 in D category for 15 open ended questions. Category A; is a category that contains operational questions at a more basic level. Category B; contains a bit more difficult questions than the questions in category A regarding understanding basic information. Category C; is a category that contains graphic questions and category D is a category that contains mostly reasoning type questions.</w:t>
      </w:r>
      <w:r w:rsidRPr="00055077">
        <w:t xml:space="preserve"> </w:t>
      </w:r>
      <w:r w:rsidRPr="00055077">
        <w:rPr>
          <w:rFonts w:ascii="Times New Roman" w:hAnsi="Times New Roman" w:cs="Times New Roman"/>
          <w:sz w:val="24"/>
          <w:szCs w:val="24"/>
        </w:rPr>
        <w:t>In the four categories of Function Succrss Tests, averages of the scores of each category were calculated and a paired sample t-</w:t>
      </w:r>
      <w:r w:rsidRPr="00055077">
        <w:rPr>
          <w:rFonts w:ascii="Times New Roman" w:hAnsi="Times New Roman" w:cs="Times New Roman"/>
          <w:sz w:val="24"/>
          <w:szCs w:val="24"/>
        </w:rPr>
        <w:lastRenderedPageBreak/>
        <w:t xml:space="preserve">test was conducted to determine whether there was a significant difference between the scores of the students in the pre-test and the post-test of each category. According to Table 2, it is seen that the students who participated in the survey had a final test score average of 13.55, the average of the scores obtained from the pre-test of the sub-dimension is 4.00.  According to the results of the paired sample t-test to determine whether there is a significant difference between the averages of the students in this category it was found that there was a statistically significant difference in favor of the post- test (p = .00 &lt;.05). When the results of the sub-dimension B are examined, it is seen that the average of the pre-test scores of the students is 0.91 and the final test score average is 8.09. As a result of the analysis to determine the statistical difference, it was found that the significant difference detected was in favor of the post test (p = .00 &lt;.05). In the other sub-dimension C dimension, mean of the pre-test scores of the students was determined as 0.72 and the final test scores were calculated as 10.81. Likewise, statistical analysis results to determine whether development is statistically significant show that post-test results are in favor of the final test (p = .00 &lt;.05). </w:t>
      </w:r>
    </w:p>
    <w:p w14:paraId="277F8DF2" w14:textId="77777777" w:rsidR="002669E6" w:rsidRDefault="002669E6" w:rsidP="002669E6">
      <w:pPr>
        <w:spacing w:after="0" w:line="360" w:lineRule="auto"/>
        <w:ind w:firstLine="708"/>
        <w:jc w:val="both"/>
        <w:rPr>
          <w:rFonts w:ascii="Times New Roman" w:hAnsi="Times New Roman" w:cs="Times New Roman"/>
          <w:sz w:val="24"/>
          <w:szCs w:val="24"/>
        </w:rPr>
      </w:pPr>
      <w:r w:rsidRPr="00055077">
        <w:rPr>
          <w:rFonts w:ascii="Times New Roman" w:hAnsi="Times New Roman" w:cs="Times New Roman"/>
          <w:sz w:val="24"/>
          <w:szCs w:val="24"/>
        </w:rPr>
        <w:t>Finally, when we look at the analyzes for the sub-dimension D, it is seen that the average score of the students in this sub-dimension prel-test is 0.18, whereas the average score of the final test is 11.77. The paired sampled t test results also revealed a statistically significant difference between the pre-test and the post-test is in favor of the final test (p = .00 &lt;.05).</w:t>
      </w:r>
      <w:r>
        <w:rPr>
          <w:rFonts w:ascii="Times New Roman" w:hAnsi="Times New Roman" w:cs="Times New Roman"/>
          <w:sz w:val="24"/>
          <w:szCs w:val="24"/>
        </w:rPr>
        <w:t xml:space="preserve"> </w:t>
      </w:r>
      <w:r w:rsidRPr="004E7B72">
        <w:rPr>
          <w:rFonts w:ascii="Times New Roman" w:hAnsi="Times New Roman" w:cs="Times New Roman"/>
          <w:sz w:val="24"/>
          <w:szCs w:val="24"/>
        </w:rPr>
        <w:t>The results of the One-way ANOVA used to determine which of the four different categories of achievement was more effective in the achievement test (p&gt; .05) indicated that there was no statistically significant difference between the two groups in terms of achievement in subcategories. In other words, the results obtained can be interpreted as the fact that the applied argument-based training method has the same level of influence on the achievement of each subcategory.</w:t>
      </w:r>
    </w:p>
    <w:p w14:paraId="63755720" w14:textId="77777777" w:rsidR="002669E6" w:rsidRPr="00DB401E" w:rsidRDefault="002669E6" w:rsidP="002669E6">
      <w:pPr>
        <w:spacing w:after="0" w:line="360" w:lineRule="auto"/>
        <w:ind w:firstLine="708"/>
        <w:jc w:val="both"/>
        <w:rPr>
          <w:rFonts w:ascii="Times New Roman" w:hAnsi="Times New Roman" w:cs="Times New Roman"/>
          <w:sz w:val="24"/>
          <w:szCs w:val="24"/>
        </w:rPr>
      </w:pPr>
    </w:p>
    <w:p w14:paraId="279C5B24" w14:textId="77777777" w:rsidR="002669E6" w:rsidRPr="00F833D0" w:rsidRDefault="002669E6" w:rsidP="002669E6">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Conclusions and Recommendations</w:t>
      </w:r>
    </w:p>
    <w:p w14:paraId="346138DD" w14:textId="77777777" w:rsidR="002669E6" w:rsidRDefault="002669E6" w:rsidP="002669E6">
      <w:pPr>
        <w:spacing w:after="0" w:line="360" w:lineRule="auto"/>
        <w:ind w:firstLine="708"/>
        <w:jc w:val="both"/>
        <w:rPr>
          <w:rFonts w:ascii="Times New Roman" w:hAnsi="Times New Roman" w:cs="Times New Roman"/>
          <w:sz w:val="24"/>
          <w:szCs w:val="24"/>
          <w:lang w:val="en-GB"/>
        </w:rPr>
      </w:pPr>
      <w:r w:rsidRPr="004E7B72">
        <w:rPr>
          <w:rFonts w:ascii="Times New Roman" w:hAnsi="Times New Roman" w:cs="Times New Roman"/>
          <w:sz w:val="24"/>
          <w:szCs w:val="24"/>
          <w:lang w:val="en-GB"/>
        </w:rPr>
        <w:t xml:space="preserve">This research is also very important in that it shows that the debate is not just a practice among adults, and that secondary school students in the first stage can also make meaningful debates. It is also important to show that the ABSL approach contributes to students' mathematical achievements in terms of functions. Based on the ABSL approach, it was determined that there was a significant difference in favor of the post-test when the results of the achievement tests applied to the students before and after the functions were evaluated (p=.00 &lt;.05). When the findings were examined, the mean pre-test score of the students was 7.23 while the post-test score average was 42.77. In other words, it can be said that the ABSL </w:t>
      </w:r>
      <w:r w:rsidRPr="004E7B72">
        <w:rPr>
          <w:rFonts w:ascii="Times New Roman" w:hAnsi="Times New Roman" w:cs="Times New Roman"/>
          <w:sz w:val="24"/>
          <w:szCs w:val="24"/>
          <w:lang w:val="en-GB"/>
        </w:rPr>
        <w:lastRenderedPageBreak/>
        <w:t>approach used in teaching mathematics is a successful method for increasing the students' achievement in terms of functions</w:t>
      </w:r>
      <w:r>
        <w:rPr>
          <w:rFonts w:ascii="Times New Roman" w:hAnsi="Times New Roman" w:cs="Times New Roman"/>
          <w:sz w:val="24"/>
          <w:szCs w:val="24"/>
          <w:lang w:val="en-GB"/>
        </w:rPr>
        <w:t>.</w:t>
      </w:r>
      <w:r w:rsidRPr="004E7B72">
        <w:t xml:space="preserve"> </w:t>
      </w:r>
      <w:r w:rsidRPr="004E7B72">
        <w:rPr>
          <w:rFonts w:ascii="Times New Roman" w:hAnsi="Times New Roman" w:cs="Times New Roman"/>
          <w:sz w:val="24"/>
          <w:szCs w:val="24"/>
          <w:lang w:val="en-GB"/>
        </w:rPr>
        <w:t>According to the findings obtained from the MMY template written by the students during the discussion process and at the end; a positive, moderate and significant relationship was found between the total scores of the reports and the final test total scores of the functions achievement test (r=.614, p&lt; .05).</w:t>
      </w:r>
    </w:p>
    <w:p w14:paraId="10CF4663"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According to the results of the research some suggestions are given below:</w:t>
      </w:r>
    </w:p>
    <w:p w14:paraId="7ACBFE1B"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1.</w:t>
      </w:r>
      <w:r w:rsidRPr="004E7B72">
        <w:rPr>
          <w:rFonts w:ascii="Times New Roman" w:hAnsi="Times New Roman" w:cs="Times New Roman"/>
          <w:sz w:val="24"/>
          <w:szCs w:val="24"/>
          <w:lang w:val="en-US"/>
        </w:rPr>
        <w:tab/>
        <w:t>If it is taken into account that the ABSL approach to study is effective in increasing the achievement of the students on the "Functions" topic, this approach should be applied at different class and subject levels and its effectiveness should be investigated.</w:t>
      </w:r>
    </w:p>
    <w:p w14:paraId="7EE05036"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2.</w:t>
      </w:r>
      <w:r w:rsidRPr="004E7B72">
        <w:rPr>
          <w:rFonts w:ascii="Times New Roman" w:hAnsi="Times New Roman" w:cs="Times New Roman"/>
          <w:sz w:val="24"/>
          <w:szCs w:val="24"/>
          <w:lang w:val="en-US"/>
        </w:rPr>
        <w:tab/>
        <w:t>The research is conducted in a limited time period and the effects of the ABSL approach on different variables such as attitudes towards mathematics can be examined by conducting longer researches.</w:t>
      </w:r>
    </w:p>
    <w:p w14:paraId="7E7211F0" w14:textId="77777777" w:rsidR="002669E6" w:rsidRDefault="002669E6" w:rsidP="002669E6">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GB"/>
        </w:rPr>
        <w:t xml:space="preserve">  </w:t>
      </w:r>
      <w:r w:rsidRPr="00F833D0">
        <w:rPr>
          <w:rFonts w:ascii="Times New Roman" w:hAnsi="Times New Roman" w:cs="Times New Roman"/>
          <w:b/>
          <w:i/>
          <w:sz w:val="24"/>
          <w:szCs w:val="24"/>
        </w:rPr>
        <w:br/>
        <w:t>Keywords:</w:t>
      </w:r>
      <w:r w:rsidRPr="00F833D0">
        <w:rPr>
          <w:rFonts w:ascii="Times New Roman" w:hAnsi="Times New Roman" w:cs="Times New Roman"/>
          <w:sz w:val="24"/>
          <w:szCs w:val="24"/>
        </w:rPr>
        <w:t xml:space="preserve"> </w:t>
      </w:r>
      <w:r w:rsidRPr="004E7B72">
        <w:rPr>
          <w:rFonts w:ascii="Times New Roman" w:hAnsi="Times New Roman" w:cs="Times New Roman"/>
          <w:sz w:val="24"/>
          <w:szCs w:val="24"/>
          <w:lang w:val="en-GB"/>
        </w:rPr>
        <w:t>Argumentation, mathematics, achievement, function, student</w:t>
      </w:r>
    </w:p>
    <w:p w14:paraId="79271ACC" w14:textId="77777777" w:rsidR="002669E6" w:rsidRDefault="002669E6" w:rsidP="002669E6">
      <w:pPr>
        <w:spacing w:after="0" w:line="360" w:lineRule="auto"/>
        <w:jc w:val="both"/>
        <w:rPr>
          <w:rFonts w:ascii="Times New Roman" w:hAnsi="Times New Roman" w:cs="Times New Roman"/>
          <w:b/>
          <w:sz w:val="24"/>
          <w:szCs w:val="24"/>
          <w:lang w:val="en-US"/>
        </w:rPr>
      </w:pPr>
    </w:p>
    <w:p w14:paraId="56923E44" w14:textId="1F64F929" w:rsidR="00F833D0" w:rsidRPr="006C7905" w:rsidRDefault="002669E6" w:rsidP="002669E6">
      <w:pPr>
        <w:spacing w:after="0" w:line="360" w:lineRule="auto"/>
        <w:jc w:val="center"/>
        <w:rPr>
          <w:rFonts w:ascii="Times New Roman" w:hAnsi="Times New Roman" w:cs="Times New Roman"/>
          <w:sz w:val="24"/>
          <w:szCs w:val="24"/>
        </w:rPr>
      </w:pPr>
      <w:r w:rsidRPr="00BD56B3" w:rsidDel="002669E6">
        <w:rPr>
          <w:rFonts w:ascii="Times New Roman" w:hAnsi="Times New Roman" w:cs="Times New Roman"/>
          <w:b/>
          <w:sz w:val="24"/>
          <w:szCs w:val="24"/>
        </w:rPr>
        <w:t xml:space="preserve"> </w:t>
      </w:r>
    </w:p>
    <w:sectPr w:rsidR="00F833D0" w:rsidRPr="006C7905" w:rsidSect="00583868">
      <w:headerReference w:type="default" r:id="rId8"/>
      <w:footerReference w:type="default" r:id="rId9"/>
      <w:footnotePr>
        <w:numFmt w:val="chicago"/>
      </w:footnotePr>
      <w:pgSz w:w="11906" w:h="16838"/>
      <w:pgMar w:top="1440" w:right="1440" w:bottom="1440" w:left="1440" w:header="709" w:footer="709" w:gutter="0"/>
      <w:pgNumType w:start="14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FF2F" w14:textId="77777777" w:rsidR="00592D61" w:rsidRDefault="00592D61" w:rsidP="00CD33C0">
      <w:pPr>
        <w:spacing w:after="0" w:line="240" w:lineRule="auto"/>
      </w:pPr>
      <w:r>
        <w:separator/>
      </w:r>
    </w:p>
  </w:endnote>
  <w:endnote w:type="continuationSeparator" w:id="0">
    <w:p w14:paraId="1D6FA93A" w14:textId="77777777" w:rsidR="00592D61" w:rsidRDefault="00592D61" w:rsidP="00C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43A7" w14:textId="7EB5EF2A" w:rsidR="00437A9F" w:rsidRDefault="00437A9F" w:rsidP="00346DF1">
    <w:pPr>
      <w:pStyle w:val="Altbilgi"/>
      <w:tabs>
        <w:tab w:val="clear" w:pos="4536"/>
        <w:tab w:val="clear" w:pos="9072"/>
        <w:tab w:val="left" w:pos="32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D54C" w14:textId="77777777" w:rsidR="00592D61" w:rsidRDefault="00592D61" w:rsidP="00CD33C0">
      <w:pPr>
        <w:spacing w:after="0" w:line="240" w:lineRule="auto"/>
      </w:pPr>
      <w:r>
        <w:separator/>
      </w:r>
    </w:p>
  </w:footnote>
  <w:footnote w:type="continuationSeparator" w:id="0">
    <w:p w14:paraId="33B1CE8D" w14:textId="77777777" w:rsidR="00592D61" w:rsidRDefault="00592D61" w:rsidP="00CD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5CEB" w14:textId="0447E93B" w:rsidR="00437A9F" w:rsidRDefault="005E7EB5" w:rsidP="00E1598A">
    <w:r w:rsidRPr="00EF0BA4" w:rsidDel="005E7EB5">
      <w:rPr>
        <w:rFonts w:ascii="Times New Roman" w:hAnsi="Times New Roman" w:cs="Times New Roman"/>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6A18"/>
    <w:multiLevelType w:val="hybridMultilevel"/>
    <w:tmpl w:val="E69A66A4"/>
    <w:lvl w:ilvl="0" w:tplc="2674BA9C">
      <w:start w:val="1"/>
      <w:numFmt w:val="bullet"/>
      <w:lvlText w:val=""/>
      <w:lvlJc w:val="left"/>
      <w:pPr>
        <w:tabs>
          <w:tab w:val="num" w:pos="720"/>
        </w:tabs>
        <w:ind w:left="720" w:hanging="360"/>
      </w:pPr>
      <w:rPr>
        <w:rFonts w:ascii="Wingdings" w:hAnsi="Wingdings" w:hint="default"/>
      </w:rPr>
    </w:lvl>
    <w:lvl w:ilvl="1" w:tplc="9C2A5CD0" w:tentative="1">
      <w:start w:val="1"/>
      <w:numFmt w:val="bullet"/>
      <w:lvlText w:val=""/>
      <w:lvlJc w:val="left"/>
      <w:pPr>
        <w:tabs>
          <w:tab w:val="num" w:pos="1440"/>
        </w:tabs>
        <w:ind w:left="1440" w:hanging="360"/>
      </w:pPr>
      <w:rPr>
        <w:rFonts w:ascii="Wingdings" w:hAnsi="Wingdings" w:hint="default"/>
      </w:rPr>
    </w:lvl>
    <w:lvl w:ilvl="2" w:tplc="34CE4382" w:tentative="1">
      <w:start w:val="1"/>
      <w:numFmt w:val="bullet"/>
      <w:lvlText w:val=""/>
      <w:lvlJc w:val="left"/>
      <w:pPr>
        <w:tabs>
          <w:tab w:val="num" w:pos="2160"/>
        </w:tabs>
        <w:ind w:left="2160" w:hanging="360"/>
      </w:pPr>
      <w:rPr>
        <w:rFonts w:ascii="Wingdings" w:hAnsi="Wingdings" w:hint="default"/>
      </w:rPr>
    </w:lvl>
    <w:lvl w:ilvl="3" w:tplc="492A3888" w:tentative="1">
      <w:start w:val="1"/>
      <w:numFmt w:val="bullet"/>
      <w:lvlText w:val=""/>
      <w:lvlJc w:val="left"/>
      <w:pPr>
        <w:tabs>
          <w:tab w:val="num" w:pos="2880"/>
        </w:tabs>
        <w:ind w:left="2880" w:hanging="360"/>
      </w:pPr>
      <w:rPr>
        <w:rFonts w:ascii="Wingdings" w:hAnsi="Wingdings" w:hint="default"/>
      </w:rPr>
    </w:lvl>
    <w:lvl w:ilvl="4" w:tplc="25220788" w:tentative="1">
      <w:start w:val="1"/>
      <w:numFmt w:val="bullet"/>
      <w:lvlText w:val=""/>
      <w:lvlJc w:val="left"/>
      <w:pPr>
        <w:tabs>
          <w:tab w:val="num" w:pos="3600"/>
        </w:tabs>
        <w:ind w:left="3600" w:hanging="360"/>
      </w:pPr>
      <w:rPr>
        <w:rFonts w:ascii="Wingdings" w:hAnsi="Wingdings" w:hint="default"/>
      </w:rPr>
    </w:lvl>
    <w:lvl w:ilvl="5" w:tplc="5CC692A2" w:tentative="1">
      <w:start w:val="1"/>
      <w:numFmt w:val="bullet"/>
      <w:lvlText w:val=""/>
      <w:lvlJc w:val="left"/>
      <w:pPr>
        <w:tabs>
          <w:tab w:val="num" w:pos="4320"/>
        </w:tabs>
        <w:ind w:left="4320" w:hanging="360"/>
      </w:pPr>
      <w:rPr>
        <w:rFonts w:ascii="Wingdings" w:hAnsi="Wingdings" w:hint="default"/>
      </w:rPr>
    </w:lvl>
    <w:lvl w:ilvl="6" w:tplc="EE3E78FE" w:tentative="1">
      <w:start w:val="1"/>
      <w:numFmt w:val="bullet"/>
      <w:lvlText w:val=""/>
      <w:lvlJc w:val="left"/>
      <w:pPr>
        <w:tabs>
          <w:tab w:val="num" w:pos="5040"/>
        </w:tabs>
        <w:ind w:left="5040" w:hanging="360"/>
      </w:pPr>
      <w:rPr>
        <w:rFonts w:ascii="Wingdings" w:hAnsi="Wingdings" w:hint="default"/>
      </w:rPr>
    </w:lvl>
    <w:lvl w:ilvl="7" w:tplc="1B724EBE" w:tentative="1">
      <w:start w:val="1"/>
      <w:numFmt w:val="bullet"/>
      <w:lvlText w:val=""/>
      <w:lvlJc w:val="left"/>
      <w:pPr>
        <w:tabs>
          <w:tab w:val="num" w:pos="5760"/>
        </w:tabs>
        <w:ind w:left="5760" w:hanging="360"/>
      </w:pPr>
      <w:rPr>
        <w:rFonts w:ascii="Wingdings" w:hAnsi="Wingdings" w:hint="default"/>
      </w:rPr>
    </w:lvl>
    <w:lvl w:ilvl="8" w:tplc="1EA4CD38" w:tentative="1">
      <w:start w:val="1"/>
      <w:numFmt w:val="bullet"/>
      <w:lvlText w:val=""/>
      <w:lvlJc w:val="left"/>
      <w:pPr>
        <w:tabs>
          <w:tab w:val="num" w:pos="6480"/>
        </w:tabs>
        <w:ind w:left="6480" w:hanging="360"/>
      </w:pPr>
      <w:rPr>
        <w:rFonts w:ascii="Wingdings" w:hAnsi="Wingdings" w:hint="default"/>
      </w:rPr>
    </w:lvl>
  </w:abstractNum>
  <w:abstractNum w:abstractNumId="1">
    <w:nsid w:val="11C31C43"/>
    <w:multiLevelType w:val="hybridMultilevel"/>
    <w:tmpl w:val="348C595A"/>
    <w:lvl w:ilvl="0" w:tplc="55006E68">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22C91F6E"/>
    <w:multiLevelType w:val="hybridMultilevel"/>
    <w:tmpl w:val="F98AD77E"/>
    <w:lvl w:ilvl="0" w:tplc="B57CF4D6">
      <w:start w:val="1"/>
      <w:numFmt w:val="lowerLetter"/>
      <w:lvlText w:val="%1."/>
      <w:lvlJc w:val="left"/>
      <w:pPr>
        <w:tabs>
          <w:tab w:val="num" w:pos="1080"/>
        </w:tabs>
        <w:ind w:left="1080" w:hanging="360"/>
      </w:pPr>
      <w:rPr>
        <w:rFonts w:ascii="Times New Roman" w:eastAsia="Times New Roman" w:hAnsi="Times New Roman" w:cs="Times New Roman"/>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66A60B7"/>
    <w:multiLevelType w:val="hybridMultilevel"/>
    <w:tmpl w:val="6CD256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7AA4FCB"/>
    <w:multiLevelType w:val="hybridMultilevel"/>
    <w:tmpl w:val="E9D89414"/>
    <w:lvl w:ilvl="0" w:tplc="6F407154">
      <w:start w:val="1"/>
      <w:numFmt w:val="bullet"/>
      <w:lvlText w:val=""/>
      <w:lvlJc w:val="left"/>
      <w:pPr>
        <w:tabs>
          <w:tab w:val="num" w:pos="720"/>
        </w:tabs>
        <w:ind w:left="720" w:hanging="360"/>
      </w:pPr>
      <w:rPr>
        <w:rFonts w:ascii="Wingdings" w:hAnsi="Wingdings" w:hint="default"/>
      </w:rPr>
    </w:lvl>
    <w:lvl w:ilvl="1" w:tplc="FFCE3960" w:tentative="1">
      <w:start w:val="1"/>
      <w:numFmt w:val="bullet"/>
      <w:lvlText w:val=""/>
      <w:lvlJc w:val="left"/>
      <w:pPr>
        <w:tabs>
          <w:tab w:val="num" w:pos="1440"/>
        </w:tabs>
        <w:ind w:left="1440" w:hanging="360"/>
      </w:pPr>
      <w:rPr>
        <w:rFonts w:ascii="Wingdings" w:hAnsi="Wingdings" w:hint="default"/>
      </w:rPr>
    </w:lvl>
    <w:lvl w:ilvl="2" w:tplc="9D72AD86" w:tentative="1">
      <w:start w:val="1"/>
      <w:numFmt w:val="bullet"/>
      <w:lvlText w:val=""/>
      <w:lvlJc w:val="left"/>
      <w:pPr>
        <w:tabs>
          <w:tab w:val="num" w:pos="2160"/>
        </w:tabs>
        <w:ind w:left="2160" w:hanging="360"/>
      </w:pPr>
      <w:rPr>
        <w:rFonts w:ascii="Wingdings" w:hAnsi="Wingdings" w:hint="default"/>
      </w:rPr>
    </w:lvl>
    <w:lvl w:ilvl="3" w:tplc="867259B0" w:tentative="1">
      <w:start w:val="1"/>
      <w:numFmt w:val="bullet"/>
      <w:lvlText w:val=""/>
      <w:lvlJc w:val="left"/>
      <w:pPr>
        <w:tabs>
          <w:tab w:val="num" w:pos="2880"/>
        </w:tabs>
        <w:ind w:left="2880" w:hanging="360"/>
      </w:pPr>
      <w:rPr>
        <w:rFonts w:ascii="Wingdings" w:hAnsi="Wingdings" w:hint="default"/>
      </w:rPr>
    </w:lvl>
    <w:lvl w:ilvl="4" w:tplc="3FC6F178" w:tentative="1">
      <w:start w:val="1"/>
      <w:numFmt w:val="bullet"/>
      <w:lvlText w:val=""/>
      <w:lvlJc w:val="left"/>
      <w:pPr>
        <w:tabs>
          <w:tab w:val="num" w:pos="3600"/>
        </w:tabs>
        <w:ind w:left="3600" w:hanging="360"/>
      </w:pPr>
      <w:rPr>
        <w:rFonts w:ascii="Wingdings" w:hAnsi="Wingdings" w:hint="default"/>
      </w:rPr>
    </w:lvl>
    <w:lvl w:ilvl="5" w:tplc="2F5058D0" w:tentative="1">
      <w:start w:val="1"/>
      <w:numFmt w:val="bullet"/>
      <w:lvlText w:val=""/>
      <w:lvlJc w:val="left"/>
      <w:pPr>
        <w:tabs>
          <w:tab w:val="num" w:pos="4320"/>
        </w:tabs>
        <w:ind w:left="4320" w:hanging="360"/>
      </w:pPr>
      <w:rPr>
        <w:rFonts w:ascii="Wingdings" w:hAnsi="Wingdings" w:hint="default"/>
      </w:rPr>
    </w:lvl>
    <w:lvl w:ilvl="6" w:tplc="90FC7CDC" w:tentative="1">
      <w:start w:val="1"/>
      <w:numFmt w:val="bullet"/>
      <w:lvlText w:val=""/>
      <w:lvlJc w:val="left"/>
      <w:pPr>
        <w:tabs>
          <w:tab w:val="num" w:pos="5040"/>
        </w:tabs>
        <w:ind w:left="5040" w:hanging="360"/>
      </w:pPr>
      <w:rPr>
        <w:rFonts w:ascii="Wingdings" w:hAnsi="Wingdings" w:hint="default"/>
      </w:rPr>
    </w:lvl>
    <w:lvl w:ilvl="7" w:tplc="653637A4" w:tentative="1">
      <w:start w:val="1"/>
      <w:numFmt w:val="bullet"/>
      <w:lvlText w:val=""/>
      <w:lvlJc w:val="left"/>
      <w:pPr>
        <w:tabs>
          <w:tab w:val="num" w:pos="5760"/>
        </w:tabs>
        <w:ind w:left="5760" w:hanging="360"/>
      </w:pPr>
      <w:rPr>
        <w:rFonts w:ascii="Wingdings" w:hAnsi="Wingdings" w:hint="default"/>
      </w:rPr>
    </w:lvl>
    <w:lvl w:ilvl="8" w:tplc="F6F0085C" w:tentative="1">
      <w:start w:val="1"/>
      <w:numFmt w:val="bullet"/>
      <w:lvlText w:val=""/>
      <w:lvlJc w:val="left"/>
      <w:pPr>
        <w:tabs>
          <w:tab w:val="num" w:pos="6480"/>
        </w:tabs>
        <w:ind w:left="6480" w:hanging="360"/>
      </w:pPr>
      <w:rPr>
        <w:rFonts w:ascii="Wingdings" w:hAnsi="Wingdings" w:hint="default"/>
      </w:rPr>
    </w:lvl>
  </w:abstractNum>
  <w:abstractNum w:abstractNumId="5">
    <w:nsid w:val="292121D7"/>
    <w:multiLevelType w:val="hybridMultilevel"/>
    <w:tmpl w:val="15164E38"/>
    <w:lvl w:ilvl="0" w:tplc="4E92C38A">
      <w:start w:val="6"/>
      <w:numFmt w:val="decimal"/>
      <w:lvlText w:val="%1)"/>
      <w:lvlJc w:val="left"/>
      <w:pPr>
        <w:tabs>
          <w:tab w:val="num" w:pos="360"/>
        </w:tabs>
        <w:ind w:left="360" w:hanging="360"/>
      </w:pPr>
      <w:rPr>
        <w:b/>
      </w:rPr>
    </w:lvl>
    <w:lvl w:ilvl="1" w:tplc="6802A790">
      <w:start w:val="1"/>
      <w:numFmt w:val="lowerLetter"/>
      <w:lvlText w:val="%2."/>
      <w:lvlJc w:val="left"/>
      <w:pPr>
        <w:tabs>
          <w:tab w:val="num" w:pos="1080"/>
        </w:tabs>
        <w:ind w:left="108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F255928"/>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35A4109C"/>
    <w:multiLevelType w:val="hybridMultilevel"/>
    <w:tmpl w:val="1F28C946"/>
    <w:lvl w:ilvl="0" w:tplc="1A323A9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8">
    <w:nsid w:val="3C137808"/>
    <w:multiLevelType w:val="hybridMultilevel"/>
    <w:tmpl w:val="6CD4A336"/>
    <w:lvl w:ilvl="0" w:tplc="D1567AC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4BDC030C"/>
    <w:multiLevelType w:val="hybridMultilevel"/>
    <w:tmpl w:val="1B061514"/>
    <w:lvl w:ilvl="0" w:tplc="1A50D5D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nsid w:val="4CDD7A52"/>
    <w:multiLevelType w:val="hybridMultilevel"/>
    <w:tmpl w:val="1B96C3FE"/>
    <w:lvl w:ilvl="0" w:tplc="8EDCF1B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53AA7919"/>
    <w:multiLevelType w:val="hybridMultilevel"/>
    <w:tmpl w:val="0A94116E"/>
    <w:lvl w:ilvl="0" w:tplc="2F7ADABE">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nsid w:val="59BD00EE"/>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615244A5"/>
    <w:multiLevelType w:val="hybridMultilevel"/>
    <w:tmpl w:val="1744D37E"/>
    <w:lvl w:ilvl="0" w:tplc="40CAFB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5D57E1"/>
    <w:multiLevelType w:val="hybridMultilevel"/>
    <w:tmpl w:val="7A22DF58"/>
    <w:lvl w:ilvl="0" w:tplc="E836E1B2">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13"/>
  </w:num>
  <w:num w:numId="5">
    <w:abstractNumId w:val="12"/>
  </w:num>
  <w:num w:numId="6">
    <w:abstractNumId w:val="6"/>
  </w:num>
  <w:num w:numId="7">
    <w:abstractNumId w:val="5"/>
  </w:num>
  <w:num w:numId="8">
    <w:abstractNumId w:val="11"/>
  </w:num>
  <w:num w:numId="9">
    <w:abstractNumId w:val="7"/>
  </w:num>
  <w:num w:numId="10">
    <w:abstractNumId w:val="2"/>
  </w:num>
  <w:num w:numId="11">
    <w:abstractNumId w:val="9"/>
  </w:num>
  <w:num w:numId="12">
    <w:abstractNumId w:val="8"/>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04"/>
    <w:rsid w:val="0000069E"/>
    <w:rsid w:val="0000546C"/>
    <w:rsid w:val="000105B5"/>
    <w:rsid w:val="0002121F"/>
    <w:rsid w:val="00023551"/>
    <w:rsid w:val="00024047"/>
    <w:rsid w:val="00030619"/>
    <w:rsid w:val="00037B3D"/>
    <w:rsid w:val="00050CB6"/>
    <w:rsid w:val="00055077"/>
    <w:rsid w:val="00055E8F"/>
    <w:rsid w:val="00057889"/>
    <w:rsid w:val="00061EA7"/>
    <w:rsid w:val="00064129"/>
    <w:rsid w:val="0008052E"/>
    <w:rsid w:val="0008655B"/>
    <w:rsid w:val="00087878"/>
    <w:rsid w:val="00094761"/>
    <w:rsid w:val="00097C7E"/>
    <w:rsid w:val="000A2730"/>
    <w:rsid w:val="000A45A1"/>
    <w:rsid w:val="000B0E9D"/>
    <w:rsid w:val="000B3ED4"/>
    <w:rsid w:val="000B7134"/>
    <w:rsid w:val="000C3930"/>
    <w:rsid w:val="000C55AB"/>
    <w:rsid w:val="000D0739"/>
    <w:rsid w:val="000D0BF7"/>
    <w:rsid w:val="000D4527"/>
    <w:rsid w:val="000D539B"/>
    <w:rsid w:val="000E18C8"/>
    <w:rsid w:val="000E77DC"/>
    <w:rsid w:val="000F0C0C"/>
    <w:rsid w:val="000F20F7"/>
    <w:rsid w:val="000F36D0"/>
    <w:rsid w:val="0010013A"/>
    <w:rsid w:val="00111D56"/>
    <w:rsid w:val="00126CAE"/>
    <w:rsid w:val="0013413F"/>
    <w:rsid w:val="0013598F"/>
    <w:rsid w:val="001360AC"/>
    <w:rsid w:val="001408B1"/>
    <w:rsid w:val="00143BCE"/>
    <w:rsid w:val="00144B38"/>
    <w:rsid w:val="00151773"/>
    <w:rsid w:val="001531DE"/>
    <w:rsid w:val="00155D90"/>
    <w:rsid w:val="00162A41"/>
    <w:rsid w:val="0017186C"/>
    <w:rsid w:val="001740D4"/>
    <w:rsid w:val="001744D0"/>
    <w:rsid w:val="00175692"/>
    <w:rsid w:val="0018271A"/>
    <w:rsid w:val="00184F8C"/>
    <w:rsid w:val="00192B22"/>
    <w:rsid w:val="001A0300"/>
    <w:rsid w:val="001A40E8"/>
    <w:rsid w:val="001A5F12"/>
    <w:rsid w:val="001A7F82"/>
    <w:rsid w:val="001B75C0"/>
    <w:rsid w:val="001B7721"/>
    <w:rsid w:val="001C1735"/>
    <w:rsid w:val="001C2407"/>
    <w:rsid w:val="001C62C3"/>
    <w:rsid w:val="001D713C"/>
    <w:rsid w:val="001E0B44"/>
    <w:rsid w:val="001E1943"/>
    <w:rsid w:val="001E2B4F"/>
    <w:rsid w:val="001E4189"/>
    <w:rsid w:val="001E588A"/>
    <w:rsid w:val="001E740F"/>
    <w:rsid w:val="001F4C8D"/>
    <w:rsid w:val="001F534B"/>
    <w:rsid w:val="002012D5"/>
    <w:rsid w:val="00205681"/>
    <w:rsid w:val="00207652"/>
    <w:rsid w:val="002130C9"/>
    <w:rsid w:val="002211E3"/>
    <w:rsid w:val="002314AB"/>
    <w:rsid w:val="002324A7"/>
    <w:rsid w:val="0023427A"/>
    <w:rsid w:val="00245148"/>
    <w:rsid w:val="002503E3"/>
    <w:rsid w:val="00250FF0"/>
    <w:rsid w:val="00251D35"/>
    <w:rsid w:val="00255B07"/>
    <w:rsid w:val="00255BAD"/>
    <w:rsid w:val="00255DF9"/>
    <w:rsid w:val="00256293"/>
    <w:rsid w:val="002573AE"/>
    <w:rsid w:val="002641EB"/>
    <w:rsid w:val="00264946"/>
    <w:rsid w:val="0026501D"/>
    <w:rsid w:val="002669E6"/>
    <w:rsid w:val="002669F7"/>
    <w:rsid w:val="002710DA"/>
    <w:rsid w:val="002739E6"/>
    <w:rsid w:val="00275C5E"/>
    <w:rsid w:val="0028282C"/>
    <w:rsid w:val="00286EF1"/>
    <w:rsid w:val="0029465D"/>
    <w:rsid w:val="00294E19"/>
    <w:rsid w:val="002960BF"/>
    <w:rsid w:val="002A0279"/>
    <w:rsid w:val="002A19D2"/>
    <w:rsid w:val="002A5E60"/>
    <w:rsid w:val="002A6918"/>
    <w:rsid w:val="002B009C"/>
    <w:rsid w:val="002B3CDA"/>
    <w:rsid w:val="002C2A1F"/>
    <w:rsid w:val="002C38AB"/>
    <w:rsid w:val="002C4847"/>
    <w:rsid w:val="002D1ECA"/>
    <w:rsid w:val="002D1EE8"/>
    <w:rsid w:val="002D3855"/>
    <w:rsid w:val="002D53F8"/>
    <w:rsid w:val="002D7BCD"/>
    <w:rsid w:val="002E6BE3"/>
    <w:rsid w:val="00303074"/>
    <w:rsid w:val="00303287"/>
    <w:rsid w:val="003070C1"/>
    <w:rsid w:val="003078F4"/>
    <w:rsid w:val="003127D6"/>
    <w:rsid w:val="003139D5"/>
    <w:rsid w:val="00322F7E"/>
    <w:rsid w:val="00330C45"/>
    <w:rsid w:val="00331FE0"/>
    <w:rsid w:val="00332A09"/>
    <w:rsid w:val="003365FD"/>
    <w:rsid w:val="00336873"/>
    <w:rsid w:val="00341348"/>
    <w:rsid w:val="00342BB6"/>
    <w:rsid w:val="00343C31"/>
    <w:rsid w:val="00346DF1"/>
    <w:rsid w:val="00353BA1"/>
    <w:rsid w:val="00355427"/>
    <w:rsid w:val="00362F7D"/>
    <w:rsid w:val="00365DF0"/>
    <w:rsid w:val="00366737"/>
    <w:rsid w:val="00366BD6"/>
    <w:rsid w:val="0037466E"/>
    <w:rsid w:val="00376BEF"/>
    <w:rsid w:val="00387902"/>
    <w:rsid w:val="00391BE9"/>
    <w:rsid w:val="003939AA"/>
    <w:rsid w:val="00395AB2"/>
    <w:rsid w:val="003A40B2"/>
    <w:rsid w:val="003B1A71"/>
    <w:rsid w:val="003B2861"/>
    <w:rsid w:val="003B2B0D"/>
    <w:rsid w:val="003B5633"/>
    <w:rsid w:val="003C0E5F"/>
    <w:rsid w:val="003C49EF"/>
    <w:rsid w:val="003C58FE"/>
    <w:rsid w:val="003C6DC7"/>
    <w:rsid w:val="003C73B2"/>
    <w:rsid w:val="003C772B"/>
    <w:rsid w:val="003D03A5"/>
    <w:rsid w:val="003D5976"/>
    <w:rsid w:val="003D607E"/>
    <w:rsid w:val="003E2BE6"/>
    <w:rsid w:val="003E5490"/>
    <w:rsid w:val="003E7E33"/>
    <w:rsid w:val="003E7F5D"/>
    <w:rsid w:val="003F0C40"/>
    <w:rsid w:val="003F34A0"/>
    <w:rsid w:val="003F5F14"/>
    <w:rsid w:val="0040186A"/>
    <w:rsid w:val="00403A14"/>
    <w:rsid w:val="00405B1D"/>
    <w:rsid w:val="00411491"/>
    <w:rsid w:val="00415AE0"/>
    <w:rsid w:val="00415EA0"/>
    <w:rsid w:val="00417A62"/>
    <w:rsid w:val="004237C9"/>
    <w:rsid w:val="0042423B"/>
    <w:rsid w:val="00427EB2"/>
    <w:rsid w:val="0043092C"/>
    <w:rsid w:val="0043093F"/>
    <w:rsid w:val="00435466"/>
    <w:rsid w:val="004369EA"/>
    <w:rsid w:val="004373AD"/>
    <w:rsid w:val="00437A9F"/>
    <w:rsid w:val="0045494B"/>
    <w:rsid w:val="0045501C"/>
    <w:rsid w:val="0046348D"/>
    <w:rsid w:val="00464255"/>
    <w:rsid w:val="0047065B"/>
    <w:rsid w:val="00474ADC"/>
    <w:rsid w:val="00477A55"/>
    <w:rsid w:val="00480A09"/>
    <w:rsid w:val="004815B9"/>
    <w:rsid w:val="00481CCF"/>
    <w:rsid w:val="004A3460"/>
    <w:rsid w:val="004A6B20"/>
    <w:rsid w:val="004B0D28"/>
    <w:rsid w:val="004B15FA"/>
    <w:rsid w:val="004B2BF2"/>
    <w:rsid w:val="004B2C44"/>
    <w:rsid w:val="004C0161"/>
    <w:rsid w:val="004C540D"/>
    <w:rsid w:val="004C5CF6"/>
    <w:rsid w:val="004C7631"/>
    <w:rsid w:val="004D1E9F"/>
    <w:rsid w:val="004D3B0A"/>
    <w:rsid w:val="004D5B05"/>
    <w:rsid w:val="004E7B72"/>
    <w:rsid w:val="0050323D"/>
    <w:rsid w:val="00506A17"/>
    <w:rsid w:val="005116FE"/>
    <w:rsid w:val="00512D36"/>
    <w:rsid w:val="005143A3"/>
    <w:rsid w:val="00516411"/>
    <w:rsid w:val="005178D2"/>
    <w:rsid w:val="0052194E"/>
    <w:rsid w:val="00521959"/>
    <w:rsid w:val="005231D7"/>
    <w:rsid w:val="0052362C"/>
    <w:rsid w:val="0053139C"/>
    <w:rsid w:val="00533A1A"/>
    <w:rsid w:val="00534FAA"/>
    <w:rsid w:val="00536A03"/>
    <w:rsid w:val="00537C0E"/>
    <w:rsid w:val="00540D99"/>
    <w:rsid w:val="00544270"/>
    <w:rsid w:val="0054429C"/>
    <w:rsid w:val="00546EE8"/>
    <w:rsid w:val="00550355"/>
    <w:rsid w:val="0055217B"/>
    <w:rsid w:val="00556442"/>
    <w:rsid w:val="00556F79"/>
    <w:rsid w:val="005611C3"/>
    <w:rsid w:val="005625AB"/>
    <w:rsid w:val="005636EB"/>
    <w:rsid w:val="0056413C"/>
    <w:rsid w:val="005708EF"/>
    <w:rsid w:val="0057621E"/>
    <w:rsid w:val="00577E77"/>
    <w:rsid w:val="00583868"/>
    <w:rsid w:val="00592D61"/>
    <w:rsid w:val="005A03F8"/>
    <w:rsid w:val="005A3959"/>
    <w:rsid w:val="005B2A99"/>
    <w:rsid w:val="005C150C"/>
    <w:rsid w:val="005C3B58"/>
    <w:rsid w:val="005C53E9"/>
    <w:rsid w:val="005D027E"/>
    <w:rsid w:val="005D1BEF"/>
    <w:rsid w:val="005D1F91"/>
    <w:rsid w:val="005D772D"/>
    <w:rsid w:val="005D7C07"/>
    <w:rsid w:val="005E1881"/>
    <w:rsid w:val="005E7EB5"/>
    <w:rsid w:val="005F089D"/>
    <w:rsid w:val="005F1447"/>
    <w:rsid w:val="005F153E"/>
    <w:rsid w:val="005F655A"/>
    <w:rsid w:val="005F74BD"/>
    <w:rsid w:val="0060104E"/>
    <w:rsid w:val="0060126F"/>
    <w:rsid w:val="006016C5"/>
    <w:rsid w:val="0060231E"/>
    <w:rsid w:val="0060336E"/>
    <w:rsid w:val="00604977"/>
    <w:rsid w:val="006070AB"/>
    <w:rsid w:val="00607719"/>
    <w:rsid w:val="006114C3"/>
    <w:rsid w:val="00613609"/>
    <w:rsid w:val="00616180"/>
    <w:rsid w:val="00640A93"/>
    <w:rsid w:val="00642E38"/>
    <w:rsid w:val="006520BD"/>
    <w:rsid w:val="00652ACC"/>
    <w:rsid w:val="00654388"/>
    <w:rsid w:val="00654D82"/>
    <w:rsid w:val="00656135"/>
    <w:rsid w:val="00656623"/>
    <w:rsid w:val="00657FD4"/>
    <w:rsid w:val="00664A9D"/>
    <w:rsid w:val="006660B1"/>
    <w:rsid w:val="00670743"/>
    <w:rsid w:val="00680109"/>
    <w:rsid w:val="006815BD"/>
    <w:rsid w:val="0068414E"/>
    <w:rsid w:val="00690F73"/>
    <w:rsid w:val="0069345D"/>
    <w:rsid w:val="006957DC"/>
    <w:rsid w:val="00696975"/>
    <w:rsid w:val="006A3C24"/>
    <w:rsid w:val="006B1330"/>
    <w:rsid w:val="006C44D7"/>
    <w:rsid w:val="006C6FEC"/>
    <w:rsid w:val="006C7905"/>
    <w:rsid w:val="006D5B31"/>
    <w:rsid w:val="006D5C8A"/>
    <w:rsid w:val="006E098C"/>
    <w:rsid w:val="006F1314"/>
    <w:rsid w:val="006F26A8"/>
    <w:rsid w:val="006F4652"/>
    <w:rsid w:val="006F4D8E"/>
    <w:rsid w:val="007107EB"/>
    <w:rsid w:val="00710AD5"/>
    <w:rsid w:val="007123A0"/>
    <w:rsid w:val="00715B40"/>
    <w:rsid w:val="0072552C"/>
    <w:rsid w:val="007259DF"/>
    <w:rsid w:val="00725DC0"/>
    <w:rsid w:val="00725FC9"/>
    <w:rsid w:val="00725FD1"/>
    <w:rsid w:val="007264F6"/>
    <w:rsid w:val="007372FB"/>
    <w:rsid w:val="007377DA"/>
    <w:rsid w:val="007419B4"/>
    <w:rsid w:val="00744A80"/>
    <w:rsid w:val="00744A98"/>
    <w:rsid w:val="007509FA"/>
    <w:rsid w:val="007550FD"/>
    <w:rsid w:val="00764E70"/>
    <w:rsid w:val="00764F08"/>
    <w:rsid w:val="00766542"/>
    <w:rsid w:val="007670AE"/>
    <w:rsid w:val="00770C99"/>
    <w:rsid w:val="00772B6C"/>
    <w:rsid w:val="00776233"/>
    <w:rsid w:val="007763FA"/>
    <w:rsid w:val="00776756"/>
    <w:rsid w:val="007810DC"/>
    <w:rsid w:val="0078124A"/>
    <w:rsid w:val="007862E5"/>
    <w:rsid w:val="00790EEC"/>
    <w:rsid w:val="007928ED"/>
    <w:rsid w:val="00793592"/>
    <w:rsid w:val="007A5B87"/>
    <w:rsid w:val="007B13C5"/>
    <w:rsid w:val="007B5F95"/>
    <w:rsid w:val="007B683A"/>
    <w:rsid w:val="007C33AA"/>
    <w:rsid w:val="007C549F"/>
    <w:rsid w:val="007D0E65"/>
    <w:rsid w:val="007D3B2E"/>
    <w:rsid w:val="007E0CBD"/>
    <w:rsid w:val="007E1199"/>
    <w:rsid w:val="007E7CBF"/>
    <w:rsid w:val="007E7F63"/>
    <w:rsid w:val="007F246C"/>
    <w:rsid w:val="007F4187"/>
    <w:rsid w:val="007F4D9B"/>
    <w:rsid w:val="00802985"/>
    <w:rsid w:val="0080408D"/>
    <w:rsid w:val="00807AA5"/>
    <w:rsid w:val="00810890"/>
    <w:rsid w:val="00812BA0"/>
    <w:rsid w:val="00812C9E"/>
    <w:rsid w:val="00814C1B"/>
    <w:rsid w:val="00815D80"/>
    <w:rsid w:val="0082115C"/>
    <w:rsid w:val="00821D55"/>
    <w:rsid w:val="0082232F"/>
    <w:rsid w:val="00823B95"/>
    <w:rsid w:val="00826BD1"/>
    <w:rsid w:val="00827AB6"/>
    <w:rsid w:val="00831979"/>
    <w:rsid w:val="0083456F"/>
    <w:rsid w:val="008409CF"/>
    <w:rsid w:val="00844983"/>
    <w:rsid w:val="00857FF2"/>
    <w:rsid w:val="008625EC"/>
    <w:rsid w:val="0086629A"/>
    <w:rsid w:val="008851A1"/>
    <w:rsid w:val="00885387"/>
    <w:rsid w:val="00885726"/>
    <w:rsid w:val="008867A3"/>
    <w:rsid w:val="008867DC"/>
    <w:rsid w:val="00892BC5"/>
    <w:rsid w:val="00892EB5"/>
    <w:rsid w:val="008A0BD4"/>
    <w:rsid w:val="008A0D12"/>
    <w:rsid w:val="008A3292"/>
    <w:rsid w:val="008B330F"/>
    <w:rsid w:val="008B4199"/>
    <w:rsid w:val="008B4B19"/>
    <w:rsid w:val="008B4ECE"/>
    <w:rsid w:val="008B7930"/>
    <w:rsid w:val="008C6783"/>
    <w:rsid w:val="008D5F88"/>
    <w:rsid w:val="008E1CE9"/>
    <w:rsid w:val="008E3675"/>
    <w:rsid w:val="008E4494"/>
    <w:rsid w:val="008E4868"/>
    <w:rsid w:val="008E4A77"/>
    <w:rsid w:val="008F78BF"/>
    <w:rsid w:val="009000BD"/>
    <w:rsid w:val="009043D9"/>
    <w:rsid w:val="00904B5B"/>
    <w:rsid w:val="00905397"/>
    <w:rsid w:val="00914F03"/>
    <w:rsid w:val="00920D76"/>
    <w:rsid w:val="00922358"/>
    <w:rsid w:val="00924472"/>
    <w:rsid w:val="00930672"/>
    <w:rsid w:val="0093133A"/>
    <w:rsid w:val="00941AED"/>
    <w:rsid w:val="009444CD"/>
    <w:rsid w:val="00944AD7"/>
    <w:rsid w:val="009477F1"/>
    <w:rsid w:val="009520B8"/>
    <w:rsid w:val="00952C11"/>
    <w:rsid w:val="00952F46"/>
    <w:rsid w:val="009539A8"/>
    <w:rsid w:val="00955B23"/>
    <w:rsid w:val="00961BBA"/>
    <w:rsid w:val="009624A6"/>
    <w:rsid w:val="009629F8"/>
    <w:rsid w:val="00962B79"/>
    <w:rsid w:val="00964C65"/>
    <w:rsid w:val="00977671"/>
    <w:rsid w:val="009808A1"/>
    <w:rsid w:val="00981BBB"/>
    <w:rsid w:val="009836C7"/>
    <w:rsid w:val="009853F8"/>
    <w:rsid w:val="0098599B"/>
    <w:rsid w:val="00986689"/>
    <w:rsid w:val="00990537"/>
    <w:rsid w:val="00991CED"/>
    <w:rsid w:val="00996202"/>
    <w:rsid w:val="00997810"/>
    <w:rsid w:val="009A16BD"/>
    <w:rsid w:val="009A2624"/>
    <w:rsid w:val="009A36C6"/>
    <w:rsid w:val="009A40CC"/>
    <w:rsid w:val="009A4166"/>
    <w:rsid w:val="009A5E6C"/>
    <w:rsid w:val="009A7E18"/>
    <w:rsid w:val="009B162A"/>
    <w:rsid w:val="009B620D"/>
    <w:rsid w:val="009B6298"/>
    <w:rsid w:val="009B7CCF"/>
    <w:rsid w:val="009C166A"/>
    <w:rsid w:val="009C1922"/>
    <w:rsid w:val="009C38F6"/>
    <w:rsid w:val="009D456B"/>
    <w:rsid w:val="009D5E17"/>
    <w:rsid w:val="009E3E09"/>
    <w:rsid w:val="009E7D36"/>
    <w:rsid w:val="009F31B1"/>
    <w:rsid w:val="009F3DC6"/>
    <w:rsid w:val="009F42EE"/>
    <w:rsid w:val="009F5930"/>
    <w:rsid w:val="009F6B2F"/>
    <w:rsid w:val="00A00EA6"/>
    <w:rsid w:val="00A037E8"/>
    <w:rsid w:val="00A037FE"/>
    <w:rsid w:val="00A057FB"/>
    <w:rsid w:val="00A11FA0"/>
    <w:rsid w:val="00A27BD7"/>
    <w:rsid w:val="00A308CF"/>
    <w:rsid w:val="00A30A2F"/>
    <w:rsid w:val="00A34CC9"/>
    <w:rsid w:val="00A40C6E"/>
    <w:rsid w:val="00A40F98"/>
    <w:rsid w:val="00A45419"/>
    <w:rsid w:val="00A640CB"/>
    <w:rsid w:val="00A6589F"/>
    <w:rsid w:val="00A66881"/>
    <w:rsid w:val="00A66C3D"/>
    <w:rsid w:val="00A673A8"/>
    <w:rsid w:val="00A801CA"/>
    <w:rsid w:val="00A805D3"/>
    <w:rsid w:val="00A82074"/>
    <w:rsid w:val="00A82FA7"/>
    <w:rsid w:val="00A86FD7"/>
    <w:rsid w:val="00A92A47"/>
    <w:rsid w:val="00A95113"/>
    <w:rsid w:val="00A96FF8"/>
    <w:rsid w:val="00A973D5"/>
    <w:rsid w:val="00AA4DB7"/>
    <w:rsid w:val="00AA72E4"/>
    <w:rsid w:val="00AB0F0A"/>
    <w:rsid w:val="00AB16DA"/>
    <w:rsid w:val="00AB3A5C"/>
    <w:rsid w:val="00AB4F51"/>
    <w:rsid w:val="00AB5A29"/>
    <w:rsid w:val="00AB72A9"/>
    <w:rsid w:val="00AC13E8"/>
    <w:rsid w:val="00AC447D"/>
    <w:rsid w:val="00AD49AE"/>
    <w:rsid w:val="00AD49BC"/>
    <w:rsid w:val="00AD5376"/>
    <w:rsid w:val="00AD5941"/>
    <w:rsid w:val="00AE21AF"/>
    <w:rsid w:val="00AE5D77"/>
    <w:rsid w:val="00AE72C3"/>
    <w:rsid w:val="00AF0EDD"/>
    <w:rsid w:val="00AF459A"/>
    <w:rsid w:val="00B11805"/>
    <w:rsid w:val="00B13C51"/>
    <w:rsid w:val="00B16431"/>
    <w:rsid w:val="00B205D7"/>
    <w:rsid w:val="00B2602C"/>
    <w:rsid w:val="00B328BF"/>
    <w:rsid w:val="00B35646"/>
    <w:rsid w:val="00B35999"/>
    <w:rsid w:val="00B37D9A"/>
    <w:rsid w:val="00B41D27"/>
    <w:rsid w:val="00B45A95"/>
    <w:rsid w:val="00B474EE"/>
    <w:rsid w:val="00B54045"/>
    <w:rsid w:val="00B60943"/>
    <w:rsid w:val="00B61985"/>
    <w:rsid w:val="00B63E4A"/>
    <w:rsid w:val="00B803E9"/>
    <w:rsid w:val="00B84CC7"/>
    <w:rsid w:val="00B864BF"/>
    <w:rsid w:val="00B93995"/>
    <w:rsid w:val="00B9606E"/>
    <w:rsid w:val="00B97DD8"/>
    <w:rsid w:val="00BA06DF"/>
    <w:rsid w:val="00BA4FE5"/>
    <w:rsid w:val="00BB0DC7"/>
    <w:rsid w:val="00BB1D89"/>
    <w:rsid w:val="00BB277C"/>
    <w:rsid w:val="00BB3663"/>
    <w:rsid w:val="00BC30C5"/>
    <w:rsid w:val="00BC31E8"/>
    <w:rsid w:val="00BC3F17"/>
    <w:rsid w:val="00BC42D1"/>
    <w:rsid w:val="00BC6B81"/>
    <w:rsid w:val="00BD03BB"/>
    <w:rsid w:val="00BD56B3"/>
    <w:rsid w:val="00BE3AF3"/>
    <w:rsid w:val="00BE5984"/>
    <w:rsid w:val="00BF01BF"/>
    <w:rsid w:val="00BF35F8"/>
    <w:rsid w:val="00BF3852"/>
    <w:rsid w:val="00BF435E"/>
    <w:rsid w:val="00BF520A"/>
    <w:rsid w:val="00BF5EDE"/>
    <w:rsid w:val="00C00812"/>
    <w:rsid w:val="00C01FF7"/>
    <w:rsid w:val="00C02BA8"/>
    <w:rsid w:val="00C064F1"/>
    <w:rsid w:val="00C11572"/>
    <w:rsid w:val="00C154A8"/>
    <w:rsid w:val="00C257F8"/>
    <w:rsid w:val="00C353BB"/>
    <w:rsid w:val="00C4016F"/>
    <w:rsid w:val="00C45F01"/>
    <w:rsid w:val="00C46D2C"/>
    <w:rsid w:val="00C60FF9"/>
    <w:rsid w:val="00C62C82"/>
    <w:rsid w:val="00C63D1C"/>
    <w:rsid w:val="00C7596C"/>
    <w:rsid w:val="00C766DA"/>
    <w:rsid w:val="00C77AA7"/>
    <w:rsid w:val="00C82AFD"/>
    <w:rsid w:val="00C82DDD"/>
    <w:rsid w:val="00C90E7D"/>
    <w:rsid w:val="00CA4695"/>
    <w:rsid w:val="00CA5B86"/>
    <w:rsid w:val="00CB3A8D"/>
    <w:rsid w:val="00CB4729"/>
    <w:rsid w:val="00CB500D"/>
    <w:rsid w:val="00CC2040"/>
    <w:rsid w:val="00CC755E"/>
    <w:rsid w:val="00CD33C0"/>
    <w:rsid w:val="00CD4BC9"/>
    <w:rsid w:val="00CD7768"/>
    <w:rsid w:val="00CE3310"/>
    <w:rsid w:val="00CF23A5"/>
    <w:rsid w:val="00CF3305"/>
    <w:rsid w:val="00CF3404"/>
    <w:rsid w:val="00D01EB4"/>
    <w:rsid w:val="00D03524"/>
    <w:rsid w:val="00D077F1"/>
    <w:rsid w:val="00D07EED"/>
    <w:rsid w:val="00D11349"/>
    <w:rsid w:val="00D244A8"/>
    <w:rsid w:val="00D25E8C"/>
    <w:rsid w:val="00D321C0"/>
    <w:rsid w:val="00D354E6"/>
    <w:rsid w:val="00D35C44"/>
    <w:rsid w:val="00D434F4"/>
    <w:rsid w:val="00D448BD"/>
    <w:rsid w:val="00D50286"/>
    <w:rsid w:val="00D53B6A"/>
    <w:rsid w:val="00D559A9"/>
    <w:rsid w:val="00D60504"/>
    <w:rsid w:val="00D64B7D"/>
    <w:rsid w:val="00D700FF"/>
    <w:rsid w:val="00D7289E"/>
    <w:rsid w:val="00D74C1D"/>
    <w:rsid w:val="00D752A2"/>
    <w:rsid w:val="00D80E3D"/>
    <w:rsid w:val="00D842B7"/>
    <w:rsid w:val="00D84F1C"/>
    <w:rsid w:val="00D8534C"/>
    <w:rsid w:val="00D94E15"/>
    <w:rsid w:val="00DA2152"/>
    <w:rsid w:val="00DA2A2C"/>
    <w:rsid w:val="00DA4CC2"/>
    <w:rsid w:val="00DB401E"/>
    <w:rsid w:val="00DC3B0B"/>
    <w:rsid w:val="00DC5410"/>
    <w:rsid w:val="00DD31C5"/>
    <w:rsid w:val="00DD4410"/>
    <w:rsid w:val="00DE1D8E"/>
    <w:rsid w:val="00DE2F38"/>
    <w:rsid w:val="00DE4615"/>
    <w:rsid w:val="00DF1727"/>
    <w:rsid w:val="00DF5DFB"/>
    <w:rsid w:val="00DF6116"/>
    <w:rsid w:val="00DF7A9A"/>
    <w:rsid w:val="00E1439C"/>
    <w:rsid w:val="00E1598A"/>
    <w:rsid w:val="00E20178"/>
    <w:rsid w:val="00E26CC9"/>
    <w:rsid w:val="00E31B50"/>
    <w:rsid w:val="00E32632"/>
    <w:rsid w:val="00E36F70"/>
    <w:rsid w:val="00E405F5"/>
    <w:rsid w:val="00E43157"/>
    <w:rsid w:val="00E43957"/>
    <w:rsid w:val="00E4469A"/>
    <w:rsid w:val="00E47909"/>
    <w:rsid w:val="00E555B5"/>
    <w:rsid w:val="00E70128"/>
    <w:rsid w:val="00E703A8"/>
    <w:rsid w:val="00E709C2"/>
    <w:rsid w:val="00E70DBE"/>
    <w:rsid w:val="00E71EC0"/>
    <w:rsid w:val="00E82891"/>
    <w:rsid w:val="00E954E6"/>
    <w:rsid w:val="00E95E8A"/>
    <w:rsid w:val="00E97941"/>
    <w:rsid w:val="00EA274F"/>
    <w:rsid w:val="00EA2C6B"/>
    <w:rsid w:val="00EA60CE"/>
    <w:rsid w:val="00EA69E4"/>
    <w:rsid w:val="00EA731D"/>
    <w:rsid w:val="00EB0393"/>
    <w:rsid w:val="00EC3109"/>
    <w:rsid w:val="00EC75A3"/>
    <w:rsid w:val="00ED267F"/>
    <w:rsid w:val="00ED5E27"/>
    <w:rsid w:val="00EE60B9"/>
    <w:rsid w:val="00EE7B1E"/>
    <w:rsid w:val="00EF0628"/>
    <w:rsid w:val="00F02CC3"/>
    <w:rsid w:val="00F04435"/>
    <w:rsid w:val="00F10088"/>
    <w:rsid w:val="00F15F05"/>
    <w:rsid w:val="00F1695D"/>
    <w:rsid w:val="00F30F1D"/>
    <w:rsid w:val="00F3491C"/>
    <w:rsid w:val="00F35AC3"/>
    <w:rsid w:val="00F41C4D"/>
    <w:rsid w:val="00F4334D"/>
    <w:rsid w:val="00F4493F"/>
    <w:rsid w:val="00F47DAB"/>
    <w:rsid w:val="00F51502"/>
    <w:rsid w:val="00F51E53"/>
    <w:rsid w:val="00F531D3"/>
    <w:rsid w:val="00F53E85"/>
    <w:rsid w:val="00F562C3"/>
    <w:rsid w:val="00F6027A"/>
    <w:rsid w:val="00F603DF"/>
    <w:rsid w:val="00F60451"/>
    <w:rsid w:val="00F64BEE"/>
    <w:rsid w:val="00F66BB3"/>
    <w:rsid w:val="00F7048B"/>
    <w:rsid w:val="00F75B47"/>
    <w:rsid w:val="00F75D9B"/>
    <w:rsid w:val="00F765B9"/>
    <w:rsid w:val="00F774DB"/>
    <w:rsid w:val="00F833D0"/>
    <w:rsid w:val="00F904BC"/>
    <w:rsid w:val="00F90A89"/>
    <w:rsid w:val="00F90D0F"/>
    <w:rsid w:val="00F92DAE"/>
    <w:rsid w:val="00F969A1"/>
    <w:rsid w:val="00F9703D"/>
    <w:rsid w:val="00F97754"/>
    <w:rsid w:val="00FA6F74"/>
    <w:rsid w:val="00FA7D5F"/>
    <w:rsid w:val="00FB5EF2"/>
    <w:rsid w:val="00FC30D3"/>
    <w:rsid w:val="00FD2A1E"/>
    <w:rsid w:val="00FD5A26"/>
    <w:rsid w:val="00FD650E"/>
    <w:rsid w:val="00FD661E"/>
    <w:rsid w:val="00FE28BB"/>
    <w:rsid w:val="00FF1F18"/>
    <w:rsid w:val="00FF34E4"/>
    <w:rsid w:val="00FF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04C"/>
  <w15:docId w15:val="{0582EE7B-0088-45C5-A448-4CCD45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C7"/>
  </w:style>
  <w:style w:type="paragraph" w:styleId="Balk1">
    <w:name w:val="heading 1"/>
    <w:basedOn w:val="Normal"/>
    <w:next w:val="Normal"/>
    <w:link w:val="Balk1Char"/>
    <w:uiPriority w:val="9"/>
    <w:qFormat/>
    <w:rsid w:val="00B84CC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semiHidden/>
    <w:unhideWhenUsed/>
    <w:qFormat/>
    <w:rsid w:val="00B84CC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semiHidden/>
    <w:unhideWhenUsed/>
    <w:qFormat/>
    <w:rsid w:val="00B84C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B84CC7"/>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B84CC7"/>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B84CC7"/>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84C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84C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84C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2C3"/>
    <w:pPr>
      <w:ind w:left="720"/>
      <w:contextualSpacing/>
    </w:pPr>
  </w:style>
  <w:style w:type="paragraph" w:styleId="BalonMetni">
    <w:name w:val="Balloon Text"/>
    <w:basedOn w:val="Normal"/>
    <w:link w:val="BalonMetniChar"/>
    <w:uiPriority w:val="99"/>
    <w:semiHidden/>
    <w:unhideWhenUsed/>
    <w:rsid w:val="00656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135"/>
    <w:rPr>
      <w:rFonts w:ascii="Tahoma" w:hAnsi="Tahoma" w:cs="Tahoma"/>
      <w:sz w:val="16"/>
      <w:szCs w:val="16"/>
    </w:rPr>
  </w:style>
  <w:style w:type="table" w:styleId="TabloKlavuzu">
    <w:name w:val="Table Grid"/>
    <w:basedOn w:val="NormalTablo"/>
    <w:rsid w:val="00F5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13609"/>
    <w:rPr>
      <w:color w:val="808080"/>
    </w:rPr>
  </w:style>
  <w:style w:type="character" w:styleId="AklamaBavurusu">
    <w:name w:val="annotation reference"/>
    <w:basedOn w:val="VarsaylanParagrafYazTipi"/>
    <w:uiPriority w:val="99"/>
    <w:semiHidden/>
    <w:unhideWhenUsed/>
    <w:rsid w:val="00F774DB"/>
    <w:rPr>
      <w:sz w:val="16"/>
      <w:szCs w:val="16"/>
    </w:rPr>
  </w:style>
  <w:style w:type="paragraph" w:styleId="AklamaMetni">
    <w:name w:val="annotation text"/>
    <w:basedOn w:val="Normal"/>
    <w:link w:val="AklamaMetniChar"/>
    <w:uiPriority w:val="99"/>
    <w:semiHidden/>
    <w:unhideWhenUsed/>
    <w:rsid w:val="00F774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74DB"/>
    <w:rPr>
      <w:sz w:val="20"/>
      <w:szCs w:val="20"/>
    </w:rPr>
  </w:style>
  <w:style w:type="paragraph" w:styleId="AklamaKonusu">
    <w:name w:val="annotation subject"/>
    <w:basedOn w:val="AklamaMetni"/>
    <w:next w:val="AklamaMetni"/>
    <w:link w:val="AklamaKonusuChar"/>
    <w:uiPriority w:val="99"/>
    <w:semiHidden/>
    <w:unhideWhenUsed/>
    <w:rsid w:val="00F774DB"/>
    <w:rPr>
      <w:b/>
      <w:bCs/>
    </w:rPr>
  </w:style>
  <w:style w:type="character" w:customStyle="1" w:styleId="AklamaKonusuChar">
    <w:name w:val="Açıklama Konusu Char"/>
    <w:basedOn w:val="AklamaMetniChar"/>
    <w:link w:val="AklamaKonusu"/>
    <w:uiPriority w:val="99"/>
    <w:semiHidden/>
    <w:rsid w:val="00F774DB"/>
    <w:rPr>
      <w:b/>
      <w:bCs/>
      <w:sz w:val="20"/>
      <w:szCs w:val="20"/>
    </w:rPr>
  </w:style>
  <w:style w:type="paragraph" w:styleId="stbilgi">
    <w:name w:val="header"/>
    <w:basedOn w:val="Normal"/>
    <w:link w:val="stbilgiChar"/>
    <w:uiPriority w:val="99"/>
    <w:unhideWhenUsed/>
    <w:rsid w:val="00CD33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3C0"/>
  </w:style>
  <w:style w:type="paragraph" w:styleId="Altbilgi">
    <w:name w:val="footer"/>
    <w:basedOn w:val="Normal"/>
    <w:link w:val="AltbilgiChar"/>
    <w:uiPriority w:val="99"/>
    <w:unhideWhenUsed/>
    <w:rsid w:val="00CD33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3C0"/>
  </w:style>
  <w:style w:type="paragraph" w:styleId="DipnotMetni">
    <w:name w:val="footnote text"/>
    <w:aliases w:val="Dipnot Metni Char Char Char"/>
    <w:basedOn w:val="Normal"/>
    <w:link w:val="DipnotMetniChar"/>
    <w:uiPriority w:val="99"/>
    <w:unhideWhenUsed/>
    <w:rsid w:val="00BD56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D56B3"/>
    <w:rPr>
      <w:sz w:val="20"/>
      <w:szCs w:val="20"/>
    </w:rPr>
  </w:style>
  <w:style w:type="character" w:styleId="DipnotBavurusu">
    <w:name w:val="footnote reference"/>
    <w:basedOn w:val="VarsaylanParagrafYazTipi"/>
    <w:uiPriority w:val="99"/>
    <w:semiHidden/>
    <w:unhideWhenUsed/>
    <w:rsid w:val="00BD56B3"/>
    <w:rPr>
      <w:vertAlign w:val="superscript"/>
    </w:rPr>
  </w:style>
  <w:style w:type="character" w:styleId="Kpr">
    <w:name w:val="Hyperlink"/>
    <w:basedOn w:val="VarsaylanParagrafYazTipi"/>
    <w:uiPriority w:val="99"/>
    <w:unhideWhenUsed/>
    <w:rsid w:val="00DF1727"/>
    <w:rPr>
      <w:color w:val="0000FF" w:themeColor="hyperlink"/>
      <w:u w:val="single"/>
    </w:rPr>
  </w:style>
  <w:style w:type="table" w:styleId="DzTablo2">
    <w:name w:val="Plain Table 2"/>
    <w:basedOn w:val="NormalTablo"/>
    <w:uiPriority w:val="42"/>
    <w:rsid w:val="00BB0D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B84CC7"/>
    <w:rPr>
      <w:rFonts w:asciiTheme="majorHAnsi" w:eastAsiaTheme="majorEastAsia" w:hAnsiTheme="majorHAnsi" w:cstheme="majorBidi"/>
      <w:color w:val="365F91" w:themeColor="accent1" w:themeShade="BF"/>
      <w:sz w:val="28"/>
      <w:szCs w:val="28"/>
    </w:rPr>
  </w:style>
  <w:style w:type="character" w:customStyle="1" w:styleId="Balk1Char">
    <w:name w:val="Başlık 1 Char"/>
    <w:basedOn w:val="VarsaylanParagrafYazTipi"/>
    <w:link w:val="Balk1"/>
    <w:uiPriority w:val="9"/>
    <w:rsid w:val="00B84CC7"/>
    <w:rPr>
      <w:rFonts w:asciiTheme="majorHAnsi" w:eastAsiaTheme="majorEastAsia" w:hAnsiTheme="majorHAnsi" w:cstheme="majorBidi"/>
      <w:color w:val="365F91" w:themeColor="accent1" w:themeShade="BF"/>
      <w:sz w:val="36"/>
      <w:szCs w:val="36"/>
    </w:rPr>
  </w:style>
  <w:style w:type="character" w:customStyle="1" w:styleId="Balk3Char">
    <w:name w:val="Başlık 3 Char"/>
    <w:basedOn w:val="VarsaylanParagrafYazTipi"/>
    <w:link w:val="Balk3"/>
    <w:uiPriority w:val="9"/>
    <w:semiHidden/>
    <w:rsid w:val="00B84CC7"/>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B84CC7"/>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B84CC7"/>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B84CC7"/>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84CC7"/>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84CC7"/>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84CC7"/>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B84CC7"/>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B84CC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B84CC7"/>
    <w:rPr>
      <w:rFonts w:asciiTheme="majorHAnsi" w:eastAsiaTheme="majorEastAsia" w:hAnsiTheme="majorHAnsi" w:cstheme="majorBidi"/>
      <w:color w:val="365F91" w:themeColor="accent1" w:themeShade="BF"/>
      <w:spacing w:val="-7"/>
      <w:sz w:val="80"/>
      <w:szCs w:val="80"/>
    </w:rPr>
  </w:style>
  <w:style w:type="paragraph" w:styleId="Altyaz">
    <w:name w:val="Subtitle"/>
    <w:basedOn w:val="Normal"/>
    <w:next w:val="Normal"/>
    <w:link w:val="AltyazChar"/>
    <w:uiPriority w:val="11"/>
    <w:qFormat/>
    <w:rsid w:val="00B84C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B84CC7"/>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84CC7"/>
    <w:rPr>
      <w:b/>
      <w:bCs/>
    </w:rPr>
  </w:style>
  <w:style w:type="character" w:styleId="Vurgu">
    <w:name w:val="Emphasis"/>
    <w:basedOn w:val="VarsaylanParagrafYazTipi"/>
    <w:uiPriority w:val="20"/>
    <w:qFormat/>
    <w:rsid w:val="00B84CC7"/>
    <w:rPr>
      <w:i/>
      <w:iCs/>
    </w:rPr>
  </w:style>
  <w:style w:type="paragraph" w:styleId="AralkYok">
    <w:name w:val="No Spacing"/>
    <w:uiPriority w:val="1"/>
    <w:qFormat/>
    <w:rsid w:val="00B84CC7"/>
    <w:pPr>
      <w:spacing w:after="0" w:line="240" w:lineRule="auto"/>
    </w:pPr>
  </w:style>
  <w:style w:type="paragraph" w:styleId="Alnt">
    <w:name w:val="Quote"/>
    <w:basedOn w:val="Normal"/>
    <w:next w:val="Normal"/>
    <w:link w:val="AlntChar"/>
    <w:uiPriority w:val="29"/>
    <w:qFormat/>
    <w:rsid w:val="00B84CC7"/>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B84CC7"/>
    <w:rPr>
      <w:i/>
      <w:iCs/>
    </w:rPr>
  </w:style>
  <w:style w:type="paragraph" w:styleId="GlAlnt">
    <w:name w:val="Intense Quote"/>
    <w:basedOn w:val="Normal"/>
    <w:next w:val="Normal"/>
    <w:link w:val="GlAlntChar"/>
    <w:uiPriority w:val="30"/>
    <w:qFormat/>
    <w:rsid w:val="00B84CC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B84CC7"/>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B84CC7"/>
    <w:rPr>
      <w:i/>
      <w:iCs/>
      <w:color w:val="595959" w:themeColor="text1" w:themeTint="A6"/>
    </w:rPr>
  </w:style>
  <w:style w:type="character" w:styleId="GlVurgulama">
    <w:name w:val="Intense Emphasis"/>
    <w:basedOn w:val="VarsaylanParagrafYazTipi"/>
    <w:uiPriority w:val="21"/>
    <w:qFormat/>
    <w:rsid w:val="00B84CC7"/>
    <w:rPr>
      <w:b/>
      <w:bCs/>
      <w:i/>
      <w:iCs/>
    </w:rPr>
  </w:style>
  <w:style w:type="character" w:styleId="HafifBavuru">
    <w:name w:val="Subtle Reference"/>
    <w:basedOn w:val="VarsaylanParagrafYazTipi"/>
    <w:uiPriority w:val="31"/>
    <w:qFormat/>
    <w:rsid w:val="00B84CC7"/>
    <w:rPr>
      <w:smallCaps/>
      <w:color w:val="404040" w:themeColor="text1" w:themeTint="BF"/>
    </w:rPr>
  </w:style>
  <w:style w:type="character" w:styleId="GlBavuru">
    <w:name w:val="Intense Reference"/>
    <w:basedOn w:val="VarsaylanParagrafYazTipi"/>
    <w:uiPriority w:val="32"/>
    <w:qFormat/>
    <w:rsid w:val="00B84CC7"/>
    <w:rPr>
      <w:b/>
      <w:bCs/>
      <w:smallCaps/>
      <w:u w:val="single"/>
    </w:rPr>
  </w:style>
  <w:style w:type="character" w:styleId="KitapBal">
    <w:name w:val="Book Title"/>
    <w:basedOn w:val="VarsaylanParagrafYazTipi"/>
    <w:uiPriority w:val="33"/>
    <w:qFormat/>
    <w:rsid w:val="00B84CC7"/>
    <w:rPr>
      <w:b/>
      <w:bCs/>
      <w:smallCaps/>
    </w:rPr>
  </w:style>
  <w:style w:type="paragraph" w:styleId="TBal">
    <w:name w:val="TOC Heading"/>
    <w:basedOn w:val="Balk1"/>
    <w:next w:val="Normal"/>
    <w:uiPriority w:val="39"/>
    <w:semiHidden/>
    <w:unhideWhenUsed/>
    <w:qFormat/>
    <w:rsid w:val="00B84CC7"/>
    <w:pPr>
      <w:outlineLvl w:val="9"/>
    </w:pPr>
  </w:style>
  <w:style w:type="table" w:customStyle="1" w:styleId="TabloKlavuzu1">
    <w:name w:val="Tablo Kılavuzu1"/>
    <w:basedOn w:val="NormalTablo"/>
    <w:next w:val="TabloKlavuzu"/>
    <w:uiPriority w:val="59"/>
    <w:rsid w:val="00B84C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518">
      <w:bodyDiv w:val="1"/>
      <w:marLeft w:val="0"/>
      <w:marRight w:val="0"/>
      <w:marTop w:val="0"/>
      <w:marBottom w:val="0"/>
      <w:divBdr>
        <w:top w:val="none" w:sz="0" w:space="0" w:color="auto"/>
        <w:left w:val="none" w:sz="0" w:space="0" w:color="auto"/>
        <w:bottom w:val="none" w:sz="0" w:space="0" w:color="auto"/>
        <w:right w:val="none" w:sz="0" w:space="0" w:color="auto"/>
      </w:divBdr>
    </w:div>
    <w:div w:id="253363502">
      <w:bodyDiv w:val="1"/>
      <w:marLeft w:val="0"/>
      <w:marRight w:val="0"/>
      <w:marTop w:val="0"/>
      <w:marBottom w:val="0"/>
      <w:divBdr>
        <w:top w:val="none" w:sz="0" w:space="0" w:color="auto"/>
        <w:left w:val="none" w:sz="0" w:space="0" w:color="auto"/>
        <w:bottom w:val="none" w:sz="0" w:space="0" w:color="auto"/>
        <w:right w:val="none" w:sz="0" w:space="0" w:color="auto"/>
      </w:divBdr>
    </w:div>
    <w:div w:id="316493391">
      <w:bodyDiv w:val="1"/>
      <w:marLeft w:val="0"/>
      <w:marRight w:val="0"/>
      <w:marTop w:val="0"/>
      <w:marBottom w:val="0"/>
      <w:divBdr>
        <w:top w:val="none" w:sz="0" w:space="0" w:color="auto"/>
        <w:left w:val="none" w:sz="0" w:space="0" w:color="auto"/>
        <w:bottom w:val="none" w:sz="0" w:space="0" w:color="auto"/>
        <w:right w:val="none" w:sz="0" w:space="0" w:color="auto"/>
      </w:divBdr>
    </w:div>
    <w:div w:id="419570484">
      <w:bodyDiv w:val="1"/>
      <w:marLeft w:val="0"/>
      <w:marRight w:val="0"/>
      <w:marTop w:val="0"/>
      <w:marBottom w:val="0"/>
      <w:divBdr>
        <w:top w:val="none" w:sz="0" w:space="0" w:color="auto"/>
        <w:left w:val="none" w:sz="0" w:space="0" w:color="auto"/>
        <w:bottom w:val="none" w:sz="0" w:space="0" w:color="auto"/>
        <w:right w:val="none" w:sz="0" w:space="0" w:color="auto"/>
      </w:divBdr>
    </w:div>
    <w:div w:id="474687216">
      <w:bodyDiv w:val="1"/>
      <w:marLeft w:val="0"/>
      <w:marRight w:val="0"/>
      <w:marTop w:val="0"/>
      <w:marBottom w:val="0"/>
      <w:divBdr>
        <w:top w:val="none" w:sz="0" w:space="0" w:color="auto"/>
        <w:left w:val="none" w:sz="0" w:space="0" w:color="auto"/>
        <w:bottom w:val="none" w:sz="0" w:space="0" w:color="auto"/>
        <w:right w:val="none" w:sz="0" w:space="0" w:color="auto"/>
      </w:divBdr>
      <w:divsChild>
        <w:div w:id="1191187896">
          <w:marLeft w:val="547"/>
          <w:marRight w:val="0"/>
          <w:marTop w:val="200"/>
          <w:marBottom w:val="0"/>
          <w:divBdr>
            <w:top w:val="none" w:sz="0" w:space="0" w:color="auto"/>
            <w:left w:val="none" w:sz="0" w:space="0" w:color="auto"/>
            <w:bottom w:val="none" w:sz="0" w:space="0" w:color="auto"/>
            <w:right w:val="none" w:sz="0" w:space="0" w:color="auto"/>
          </w:divBdr>
        </w:div>
        <w:div w:id="860122130">
          <w:marLeft w:val="547"/>
          <w:marRight w:val="0"/>
          <w:marTop w:val="200"/>
          <w:marBottom w:val="0"/>
          <w:divBdr>
            <w:top w:val="none" w:sz="0" w:space="0" w:color="auto"/>
            <w:left w:val="none" w:sz="0" w:space="0" w:color="auto"/>
            <w:bottom w:val="none" w:sz="0" w:space="0" w:color="auto"/>
            <w:right w:val="none" w:sz="0" w:space="0" w:color="auto"/>
          </w:divBdr>
        </w:div>
        <w:div w:id="604045446">
          <w:marLeft w:val="547"/>
          <w:marRight w:val="0"/>
          <w:marTop w:val="200"/>
          <w:marBottom w:val="0"/>
          <w:divBdr>
            <w:top w:val="none" w:sz="0" w:space="0" w:color="auto"/>
            <w:left w:val="none" w:sz="0" w:space="0" w:color="auto"/>
            <w:bottom w:val="none" w:sz="0" w:space="0" w:color="auto"/>
            <w:right w:val="none" w:sz="0" w:space="0" w:color="auto"/>
          </w:divBdr>
        </w:div>
      </w:divsChild>
    </w:div>
    <w:div w:id="508640185">
      <w:bodyDiv w:val="1"/>
      <w:marLeft w:val="0"/>
      <w:marRight w:val="0"/>
      <w:marTop w:val="0"/>
      <w:marBottom w:val="0"/>
      <w:divBdr>
        <w:top w:val="none" w:sz="0" w:space="0" w:color="auto"/>
        <w:left w:val="none" w:sz="0" w:space="0" w:color="auto"/>
        <w:bottom w:val="none" w:sz="0" w:space="0" w:color="auto"/>
        <w:right w:val="none" w:sz="0" w:space="0" w:color="auto"/>
      </w:divBdr>
      <w:divsChild>
        <w:div w:id="1264916828">
          <w:marLeft w:val="547"/>
          <w:marRight w:val="0"/>
          <w:marTop w:val="200"/>
          <w:marBottom w:val="0"/>
          <w:divBdr>
            <w:top w:val="none" w:sz="0" w:space="0" w:color="auto"/>
            <w:left w:val="none" w:sz="0" w:space="0" w:color="auto"/>
            <w:bottom w:val="none" w:sz="0" w:space="0" w:color="auto"/>
            <w:right w:val="none" w:sz="0" w:space="0" w:color="auto"/>
          </w:divBdr>
        </w:div>
        <w:div w:id="1726443392">
          <w:marLeft w:val="547"/>
          <w:marRight w:val="0"/>
          <w:marTop w:val="200"/>
          <w:marBottom w:val="0"/>
          <w:divBdr>
            <w:top w:val="none" w:sz="0" w:space="0" w:color="auto"/>
            <w:left w:val="none" w:sz="0" w:space="0" w:color="auto"/>
            <w:bottom w:val="none" w:sz="0" w:space="0" w:color="auto"/>
            <w:right w:val="none" w:sz="0" w:space="0" w:color="auto"/>
          </w:divBdr>
        </w:div>
      </w:divsChild>
    </w:div>
    <w:div w:id="522597391">
      <w:bodyDiv w:val="1"/>
      <w:marLeft w:val="0"/>
      <w:marRight w:val="0"/>
      <w:marTop w:val="0"/>
      <w:marBottom w:val="0"/>
      <w:divBdr>
        <w:top w:val="none" w:sz="0" w:space="0" w:color="auto"/>
        <w:left w:val="none" w:sz="0" w:space="0" w:color="auto"/>
        <w:bottom w:val="none" w:sz="0" w:space="0" w:color="auto"/>
        <w:right w:val="none" w:sz="0" w:space="0" w:color="auto"/>
      </w:divBdr>
    </w:div>
    <w:div w:id="642662100">
      <w:bodyDiv w:val="1"/>
      <w:marLeft w:val="0"/>
      <w:marRight w:val="0"/>
      <w:marTop w:val="0"/>
      <w:marBottom w:val="0"/>
      <w:divBdr>
        <w:top w:val="none" w:sz="0" w:space="0" w:color="auto"/>
        <w:left w:val="none" w:sz="0" w:space="0" w:color="auto"/>
        <w:bottom w:val="none" w:sz="0" w:space="0" w:color="auto"/>
        <w:right w:val="none" w:sz="0" w:space="0" w:color="auto"/>
      </w:divBdr>
    </w:div>
    <w:div w:id="750199194">
      <w:bodyDiv w:val="1"/>
      <w:marLeft w:val="0"/>
      <w:marRight w:val="0"/>
      <w:marTop w:val="0"/>
      <w:marBottom w:val="0"/>
      <w:divBdr>
        <w:top w:val="none" w:sz="0" w:space="0" w:color="auto"/>
        <w:left w:val="none" w:sz="0" w:space="0" w:color="auto"/>
        <w:bottom w:val="none" w:sz="0" w:space="0" w:color="auto"/>
        <w:right w:val="none" w:sz="0" w:space="0" w:color="auto"/>
      </w:divBdr>
    </w:div>
    <w:div w:id="964114820">
      <w:bodyDiv w:val="1"/>
      <w:marLeft w:val="0"/>
      <w:marRight w:val="0"/>
      <w:marTop w:val="0"/>
      <w:marBottom w:val="0"/>
      <w:divBdr>
        <w:top w:val="none" w:sz="0" w:space="0" w:color="auto"/>
        <w:left w:val="none" w:sz="0" w:space="0" w:color="auto"/>
        <w:bottom w:val="none" w:sz="0" w:space="0" w:color="auto"/>
        <w:right w:val="none" w:sz="0" w:space="0" w:color="auto"/>
      </w:divBdr>
      <w:divsChild>
        <w:div w:id="214777566">
          <w:marLeft w:val="0"/>
          <w:marRight w:val="0"/>
          <w:marTop w:val="0"/>
          <w:marBottom w:val="0"/>
          <w:divBdr>
            <w:top w:val="none" w:sz="0" w:space="0" w:color="auto"/>
            <w:left w:val="none" w:sz="0" w:space="0" w:color="auto"/>
            <w:bottom w:val="none" w:sz="0" w:space="0" w:color="auto"/>
            <w:right w:val="none" w:sz="0" w:space="0" w:color="auto"/>
          </w:divBdr>
          <w:divsChild>
            <w:div w:id="840509156">
              <w:marLeft w:val="0"/>
              <w:marRight w:val="60"/>
              <w:marTop w:val="0"/>
              <w:marBottom w:val="0"/>
              <w:divBdr>
                <w:top w:val="none" w:sz="0" w:space="0" w:color="auto"/>
                <w:left w:val="none" w:sz="0" w:space="0" w:color="auto"/>
                <w:bottom w:val="none" w:sz="0" w:space="0" w:color="auto"/>
                <w:right w:val="none" w:sz="0" w:space="0" w:color="auto"/>
              </w:divBdr>
              <w:divsChild>
                <w:div w:id="1683511520">
                  <w:marLeft w:val="0"/>
                  <w:marRight w:val="0"/>
                  <w:marTop w:val="0"/>
                  <w:marBottom w:val="120"/>
                  <w:divBdr>
                    <w:top w:val="single" w:sz="6" w:space="0" w:color="C0C0C0"/>
                    <w:left w:val="single" w:sz="6" w:space="0" w:color="D9D9D9"/>
                    <w:bottom w:val="single" w:sz="6" w:space="0" w:color="D9D9D9"/>
                    <w:right w:val="single" w:sz="6" w:space="0" w:color="D9D9D9"/>
                  </w:divBdr>
                  <w:divsChild>
                    <w:div w:id="900214282">
                      <w:marLeft w:val="0"/>
                      <w:marRight w:val="0"/>
                      <w:marTop w:val="0"/>
                      <w:marBottom w:val="0"/>
                      <w:divBdr>
                        <w:top w:val="none" w:sz="0" w:space="0" w:color="auto"/>
                        <w:left w:val="none" w:sz="0" w:space="0" w:color="auto"/>
                        <w:bottom w:val="none" w:sz="0" w:space="0" w:color="auto"/>
                        <w:right w:val="none" w:sz="0" w:space="0" w:color="auto"/>
                      </w:divBdr>
                    </w:div>
                    <w:div w:id="1156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269">
          <w:marLeft w:val="0"/>
          <w:marRight w:val="0"/>
          <w:marTop w:val="0"/>
          <w:marBottom w:val="0"/>
          <w:divBdr>
            <w:top w:val="none" w:sz="0" w:space="0" w:color="auto"/>
            <w:left w:val="none" w:sz="0" w:space="0" w:color="auto"/>
            <w:bottom w:val="none" w:sz="0" w:space="0" w:color="auto"/>
            <w:right w:val="none" w:sz="0" w:space="0" w:color="auto"/>
          </w:divBdr>
          <w:divsChild>
            <w:div w:id="1333869378">
              <w:marLeft w:val="6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739909086">
                      <w:marLeft w:val="0"/>
                      <w:marRight w:val="0"/>
                      <w:marTop w:val="0"/>
                      <w:marBottom w:val="120"/>
                      <w:divBdr>
                        <w:top w:val="single" w:sz="6" w:space="0" w:color="F5F5F5"/>
                        <w:left w:val="single" w:sz="6" w:space="0" w:color="F5F5F5"/>
                        <w:bottom w:val="single" w:sz="6" w:space="0" w:color="F5F5F5"/>
                        <w:right w:val="single" w:sz="6" w:space="0" w:color="F5F5F5"/>
                      </w:divBdr>
                      <w:divsChild>
                        <w:div w:id="112095725">
                          <w:marLeft w:val="0"/>
                          <w:marRight w:val="0"/>
                          <w:marTop w:val="0"/>
                          <w:marBottom w:val="0"/>
                          <w:divBdr>
                            <w:top w:val="none" w:sz="0" w:space="0" w:color="auto"/>
                            <w:left w:val="none" w:sz="0" w:space="0" w:color="auto"/>
                            <w:bottom w:val="none" w:sz="0" w:space="0" w:color="auto"/>
                            <w:right w:val="none" w:sz="0" w:space="0" w:color="auto"/>
                          </w:divBdr>
                          <w:divsChild>
                            <w:div w:id="1658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5948">
      <w:bodyDiv w:val="1"/>
      <w:marLeft w:val="0"/>
      <w:marRight w:val="0"/>
      <w:marTop w:val="0"/>
      <w:marBottom w:val="0"/>
      <w:divBdr>
        <w:top w:val="none" w:sz="0" w:space="0" w:color="auto"/>
        <w:left w:val="none" w:sz="0" w:space="0" w:color="auto"/>
        <w:bottom w:val="none" w:sz="0" w:space="0" w:color="auto"/>
        <w:right w:val="none" w:sz="0" w:space="0" w:color="auto"/>
      </w:divBdr>
    </w:div>
    <w:div w:id="1347366471">
      <w:bodyDiv w:val="1"/>
      <w:marLeft w:val="0"/>
      <w:marRight w:val="0"/>
      <w:marTop w:val="0"/>
      <w:marBottom w:val="0"/>
      <w:divBdr>
        <w:top w:val="none" w:sz="0" w:space="0" w:color="auto"/>
        <w:left w:val="none" w:sz="0" w:space="0" w:color="auto"/>
        <w:bottom w:val="none" w:sz="0" w:space="0" w:color="auto"/>
        <w:right w:val="none" w:sz="0" w:space="0" w:color="auto"/>
      </w:divBdr>
    </w:div>
    <w:div w:id="1350719793">
      <w:bodyDiv w:val="1"/>
      <w:marLeft w:val="0"/>
      <w:marRight w:val="0"/>
      <w:marTop w:val="0"/>
      <w:marBottom w:val="0"/>
      <w:divBdr>
        <w:top w:val="none" w:sz="0" w:space="0" w:color="auto"/>
        <w:left w:val="none" w:sz="0" w:space="0" w:color="auto"/>
        <w:bottom w:val="none" w:sz="0" w:space="0" w:color="auto"/>
        <w:right w:val="none" w:sz="0" w:space="0" w:color="auto"/>
      </w:divBdr>
    </w:div>
    <w:div w:id="1361859009">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63034488">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518807784">
      <w:bodyDiv w:val="1"/>
      <w:marLeft w:val="0"/>
      <w:marRight w:val="0"/>
      <w:marTop w:val="0"/>
      <w:marBottom w:val="0"/>
      <w:divBdr>
        <w:top w:val="none" w:sz="0" w:space="0" w:color="auto"/>
        <w:left w:val="none" w:sz="0" w:space="0" w:color="auto"/>
        <w:bottom w:val="none" w:sz="0" w:space="0" w:color="auto"/>
        <w:right w:val="none" w:sz="0" w:space="0" w:color="auto"/>
      </w:divBdr>
      <w:divsChild>
        <w:div w:id="339426791">
          <w:marLeft w:val="547"/>
          <w:marRight w:val="0"/>
          <w:marTop w:val="0"/>
          <w:marBottom w:val="0"/>
          <w:divBdr>
            <w:top w:val="none" w:sz="0" w:space="0" w:color="auto"/>
            <w:left w:val="none" w:sz="0" w:space="0" w:color="auto"/>
            <w:bottom w:val="none" w:sz="0" w:space="0" w:color="auto"/>
            <w:right w:val="none" w:sz="0" w:space="0" w:color="auto"/>
          </w:divBdr>
        </w:div>
      </w:divsChild>
    </w:div>
    <w:div w:id="1585989682">
      <w:bodyDiv w:val="1"/>
      <w:marLeft w:val="0"/>
      <w:marRight w:val="0"/>
      <w:marTop w:val="0"/>
      <w:marBottom w:val="0"/>
      <w:divBdr>
        <w:top w:val="none" w:sz="0" w:space="0" w:color="auto"/>
        <w:left w:val="none" w:sz="0" w:space="0" w:color="auto"/>
        <w:bottom w:val="none" w:sz="0" w:space="0" w:color="auto"/>
        <w:right w:val="none" w:sz="0" w:space="0" w:color="auto"/>
      </w:divBdr>
    </w:div>
    <w:div w:id="1661159319">
      <w:bodyDiv w:val="1"/>
      <w:marLeft w:val="0"/>
      <w:marRight w:val="0"/>
      <w:marTop w:val="0"/>
      <w:marBottom w:val="0"/>
      <w:divBdr>
        <w:top w:val="none" w:sz="0" w:space="0" w:color="auto"/>
        <w:left w:val="none" w:sz="0" w:space="0" w:color="auto"/>
        <w:bottom w:val="none" w:sz="0" w:space="0" w:color="auto"/>
        <w:right w:val="none" w:sz="0" w:space="0" w:color="auto"/>
      </w:divBdr>
    </w:div>
    <w:div w:id="1872526335">
      <w:bodyDiv w:val="1"/>
      <w:marLeft w:val="0"/>
      <w:marRight w:val="0"/>
      <w:marTop w:val="0"/>
      <w:marBottom w:val="0"/>
      <w:divBdr>
        <w:top w:val="none" w:sz="0" w:space="0" w:color="auto"/>
        <w:left w:val="none" w:sz="0" w:space="0" w:color="auto"/>
        <w:bottom w:val="none" w:sz="0" w:space="0" w:color="auto"/>
        <w:right w:val="none" w:sz="0" w:space="0" w:color="auto"/>
      </w:divBdr>
    </w:div>
    <w:div w:id="1919821040">
      <w:bodyDiv w:val="1"/>
      <w:marLeft w:val="0"/>
      <w:marRight w:val="0"/>
      <w:marTop w:val="0"/>
      <w:marBottom w:val="0"/>
      <w:divBdr>
        <w:top w:val="none" w:sz="0" w:space="0" w:color="auto"/>
        <w:left w:val="none" w:sz="0" w:space="0" w:color="auto"/>
        <w:bottom w:val="none" w:sz="0" w:space="0" w:color="auto"/>
        <w:right w:val="none" w:sz="0" w:space="0" w:color="auto"/>
      </w:divBdr>
    </w:div>
    <w:div w:id="2067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DF68-C920-46B6-A7C1-2EE4B2DD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6797</Words>
  <Characters>38746</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bayuni</cp:lastModifiedBy>
  <cp:revision>2</cp:revision>
  <cp:lastPrinted>2018-12-04T13:56:00Z</cp:lastPrinted>
  <dcterms:created xsi:type="dcterms:W3CDTF">2019-03-20T11:34:00Z</dcterms:created>
  <dcterms:modified xsi:type="dcterms:W3CDTF">2019-03-20T11:34:00Z</dcterms:modified>
</cp:coreProperties>
</file>