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C03" w:rsidRPr="00337F1A" w:rsidRDefault="000D5C03" w:rsidP="00337F1A">
      <w:pPr>
        <w:jc w:val="center"/>
        <w:rPr>
          <w:b/>
        </w:rPr>
      </w:pPr>
      <w:bookmarkStart w:id="0" w:name="_Hlk24890611"/>
      <w:r w:rsidRPr="00337F1A">
        <w:rPr>
          <w:b/>
        </w:rPr>
        <w:t>STEM Motivasyon Ölçeğinin Türkçeye Uyarlanması: Geçerlik ve Güvenirlik Çalışması</w:t>
      </w:r>
    </w:p>
    <w:bookmarkEnd w:id="0"/>
    <w:p w:rsidR="004C5CEB" w:rsidRDefault="004C5CEB" w:rsidP="004C5CEB">
      <w:pPr>
        <w:spacing w:line="360" w:lineRule="auto"/>
        <w:jc w:val="center"/>
        <w:rPr>
          <w:b/>
        </w:rPr>
      </w:pPr>
    </w:p>
    <w:p w:rsidR="004C5CEB" w:rsidRDefault="004C5CEB" w:rsidP="004C5CEB">
      <w:pPr>
        <w:spacing w:line="360" w:lineRule="auto"/>
        <w:jc w:val="center"/>
        <w:rPr>
          <w:b/>
          <w:vertAlign w:val="superscript"/>
        </w:rPr>
      </w:pPr>
      <w:r>
        <w:rPr>
          <w:b/>
        </w:rPr>
        <w:t>İsmail DÖNMEZ</w:t>
      </w:r>
      <w:r>
        <w:rPr>
          <w:rStyle w:val="DipnotBavurusu"/>
          <w:b/>
        </w:rPr>
        <w:footnoteReference w:id="1"/>
      </w:r>
    </w:p>
    <w:p w:rsidR="00E57E0E" w:rsidRPr="007F28CF" w:rsidRDefault="00E57E0E" w:rsidP="00604FE0">
      <w:pPr>
        <w:spacing w:line="360" w:lineRule="auto"/>
        <w:jc w:val="center"/>
        <w:rPr>
          <w:bCs/>
        </w:rPr>
      </w:pPr>
    </w:p>
    <w:p w:rsidR="000D5C03" w:rsidRDefault="00451A8E" w:rsidP="000D5C03">
      <w:pPr>
        <w:spacing w:line="360" w:lineRule="auto"/>
        <w:jc w:val="both"/>
      </w:pPr>
      <w:r w:rsidRPr="004D4696">
        <w:rPr>
          <w:b/>
        </w:rPr>
        <w:t>Öz</w:t>
      </w:r>
      <w:r>
        <w:rPr>
          <w:b/>
        </w:rPr>
        <w:t xml:space="preserve">: </w:t>
      </w:r>
      <w:r w:rsidR="000D5C03" w:rsidRPr="000D5C03">
        <w:t xml:space="preserve">Bu çalışmanın amacı </w:t>
      </w:r>
      <w:r w:rsidR="00CE0486">
        <w:t>orijinali</w:t>
      </w:r>
      <w:r w:rsidR="005F06E2">
        <w:t xml:space="preserve"> </w:t>
      </w:r>
      <w:r w:rsidR="00CE0486">
        <w:t>İngilizce</w:t>
      </w:r>
      <w:r w:rsidR="005F06E2">
        <w:t xml:space="preserve"> olan</w:t>
      </w:r>
      <w:r w:rsidR="000D5C03" w:rsidRPr="000D5C03">
        <w:t xml:space="preserve"> STEM </w:t>
      </w:r>
      <w:r w:rsidR="00266DD8">
        <w:t>(</w:t>
      </w:r>
      <w:r w:rsidR="00C2260B">
        <w:t>Bilim</w:t>
      </w:r>
      <w:r w:rsidR="00266DD8">
        <w:t xml:space="preserve">-Teknoloji-Mühendislik-Matematik) </w:t>
      </w:r>
      <w:r w:rsidR="00C2260B">
        <w:t>devam eden m</w:t>
      </w:r>
      <w:r w:rsidR="000D5C03" w:rsidRPr="000D5C03">
        <w:t xml:space="preserve">otivasyon ölçeğini Türkçeye </w:t>
      </w:r>
      <w:r w:rsidR="00243B14" w:rsidRPr="00266DD8">
        <w:t>uyarlayarak</w:t>
      </w:r>
      <w:r w:rsidR="000D5C03" w:rsidRPr="000D5C03">
        <w:t xml:space="preserve"> geçerlilik ve güvenirlik çalışmasını yapmaktır. İki </w:t>
      </w:r>
      <w:r w:rsidR="000934FD" w:rsidRPr="000D5C03">
        <w:t>İngilizce</w:t>
      </w:r>
      <w:r w:rsidR="000D5C03" w:rsidRPr="000D5C03">
        <w:t xml:space="preserve"> dil uzmanına ölçeği </w:t>
      </w:r>
      <w:r w:rsidR="000934FD" w:rsidRPr="000D5C03">
        <w:t>İngilizceden</w:t>
      </w:r>
      <w:r w:rsidR="000D5C03" w:rsidRPr="000D5C03">
        <w:t xml:space="preserve"> Türkçeye çevirmesi istenmiştir. Çev</w:t>
      </w:r>
      <w:r w:rsidR="00024958">
        <w:t>i</w:t>
      </w:r>
      <w:r w:rsidR="000D5C03" w:rsidRPr="000D5C03">
        <w:t xml:space="preserve">rinin Türkçeye uyarlanmasından sonra iki </w:t>
      </w:r>
      <w:r w:rsidR="00243B14" w:rsidRPr="00266DD8">
        <w:t>Türk</w:t>
      </w:r>
      <w:r w:rsidR="000D5C03" w:rsidRPr="00243B14">
        <w:rPr>
          <w:color w:val="FF0000"/>
        </w:rPr>
        <w:t xml:space="preserve"> </w:t>
      </w:r>
      <w:r w:rsidR="000D5C03" w:rsidRPr="000D5C03">
        <w:t xml:space="preserve">dil uzmanına ölçeğin Türkçe hali verilmiş, </w:t>
      </w:r>
      <w:proofErr w:type="spellStart"/>
      <w:r w:rsidR="000D5C03" w:rsidRPr="000D5C03">
        <w:t>anlaşırlığına</w:t>
      </w:r>
      <w:proofErr w:type="spellEnd"/>
      <w:r w:rsidR="000D5C03" w:rsidRPr="000D5C03">
        <w:t xml:space="preserve"> ilişkin yapılan düzenlemeden sonra karşılaştırılma yapılarak, geçerliliği sağlanmıştır. Örneklemi 438 (%54,1) kız, 372 (%45,9) ‘si erkek öğrenci oluşturmaktadır. Verilerin analizi için ölçeğin güvenirliği, doğrulayıcı faktör analizine, STEM motivasyon </w:t>
      </w:r>
      <w:r w:rsidR="007F28CF">
        <w:t>ö</w:t>
      </w:r>
      <w:r w:rsidR="000D5C03" w:rsidRPr="000D5C03">
        <w:t>lçeği ve alt boyutlarının ilişkisine yer</w:t>
      </w:r>
      <w:r w:rsidR="00F76AE8">
        <w:t xml:space="preserve"> </w:t>
      </w:r>
      <w:r w:rsidR="000D5C03" w:rsidRPr="000D5C03">
        <w:t xml:space="preserve">verilmiştir. Analiz sonuçlarına göre, kabul edilebilir uyum değerleri hesaplamıştır (RMSEA=0,076, SRMR=0,01, CFI=0.89). Ölçeğin </w:t>
      </w:r>
      <w:proofErr w:type="spellStart"/>
      <w:r w:rsidR="000D5C03" w:rsidRPr="000D5C03">
        <w:t>Cronbach</w:t>
      </w:r>
      <w:proofErr w:type="spellEnd"/>
      <w:r w:rsidR="000D5C03" w:rsidRPr="000D5C03">
        <w:t xml:space="preserve"> Alpha güvenirlik katsayısı 0,84 olarak hesaplanmıştır. Elde edilen sonuçlar bilim, teknoloji, mühendislik ve matematik olmak üzere 4 boyuttan ve 25 maddeden oluşan STEM motivasyon ölçeğinin ortaokul öğrencilerine yönelik motivasyon STEM alanları çalışmalarında kullanılabilecek geçerli ve güvenilir bir araç olduğuna işaret etmektedir.</w:t>
      </w:r>
    </w:p>
    <w:p w:rsidR="00451A8E" w:rsidRPr="002C0135" w:rsidRDefault="00451A8E" w:rsidP="00990694">
      <w:pPr>
        <w:spacing w:line="360" w:lineRule="auto"/>
        <w:ind w:firstLine="708"/>
        <w:jc w:val="both"/>
      </w:pPr>
      <w:r w:rsidRPr="002C0135">
        <w:rPr>
          <w:b/>
        </w:rPr>
        <w:t xml:space="preserve">Anahtar Kelimeler: </w:t>
      </w:r>
      <w:r w:rsidR="000D5C03" w:rsidRPr="000D5C03">
        <w:t xml:space="preserve">STEM, Motivasyon, Ölçek, Kariyer, </w:t>
      </w:r>
      <w:r w:rsidR="00024958">
        <w:t>O</w:t>
      </w:r>
      <w:r w:rsidR="000D5C03" w:rsidRPr="000D5C03">
        <w:t>rtaokul</w:t>
      </w:r>
    </w:p>
    <w:p w:rsidR="00451A8E" w:rsidRDefault="00451A8E" w:rsidP="00451A8E">
      <w:pPr>
        <w:tabs>
          <w:tab w:val="left" w:pos="0"/>
        </w:tabs>
        <w:spacing w:line="360" w:lineRule="auto"/>
        <w:jc w:val="center"/>
        <w:rPr>
          <w:b/>
          <w:lang w:val="en-US"/>
        </w:rPr>
      </w:pPr>
    </w:p>
    <w:p w:rsidR="00B976F3" w:rsidRPr="00B976F3" w:rsidRDefault="00B976F3" w:rsidP="002F7EBD">
      <w:pPr>
        <w:spacing w:line="360" w:lineRule="auto"/>
        <w:jc w:val="center"/>
        <w:rPr>
          <w:b/>
          <w:lang w:val="en-US"/>
        </w:rPr>
      </w:pPr>
      <w:r w:rsidRPr="00B976F3">
        <w:rPr>
          <w:b/>
          <w:lang w:val="en-US"/>
        </w:rPr>
        <w:t>Adaptation of STEM Motivation Scale into Turkish: Validity and Reliability Study</w:t>
      </w:r>
    </w:p>
    <w:p w:rsidR="00451A8E" w:rsidRPr="00B976F3" w:rsidRDefault="00451A8E" w:rsidP="00451A8E">
      <w:pPr>
        <w:spacing w:line="360" w:lineRule="auto"/>
        <w:jc w:val="both"/>
        <w:rPr>
          <w:lang w:val="en-US"/>
        </w:rPr>
      </w:pPr>
      <w:r w:rsidRPr="006D5532">
        <w:rPr>
          <w:b/>
          <w:lang w:val="en-GB"/>
        </w:rPr>
        <w:t xml:space="preserve">Abstract: </w:t>
      </w:r>
      <w:r w:rsidR="00B976F3" w:rsidRPr="00B976F3">
        <w:rPr>
          <w:lang w:val="en-US"/>
        </w:rPr>
        <w:t>The aim of this study is to make the validity and reliability study of STEM</w:t>
      </w:r>
      <w:r w:rsidR="00266DD8">
        <w:rPr>
          <w:lang w:val="en-US"/>
        </w:rPr>
        <w:t xml:space="preserve"> </w:t>
      </w:r>
      <w:r w:rsidR="00266DD8" w:rsidRPr="00266DD8">
        <w:rPr>
          <w:lang w:val="en-US"/>
        </w:rPr>
        <w:t>(Science-Technology-Engineering-Mathematics)</w:t>
      </w:r>
      <w:r w:rsidR="00B976F3" w:rsidRPr="00B976F3">
        <w:rPr>
          <w:lang w:val="en-US"/>
        </w:rPr>
        <w:t xml:space="preserve"> </w:t>
      </w:r>
      <w:r w:rsidR="00C2260B">
        <w:rPr>
          <w:lang w:val="en-US"/>
        </w:rPr>
        <w:t xml:space="preserve">Continuing </w:t>
      </w:r>
      <w:r w:rsidR="00B976F3" w:rsidRPr="00B976F3">
        <w:rPr>
          <w:lang w:val="en-US"/>
        </w:rPr>
        <w:t xml:space="preserve">Motivation Scale. Two English language experts were asked to translate the scale from English into Turkish. Following the adaptation of the translation into Turkish, two Turkish language experts were given the Turkish version of the scale, and after the arrangement regarding the agreement, the validity was achieved by comparing. The sample consisted of 438 (54.1%) </w:t>
      </w:r>
      <w:r w:rsidR="00B976F3" w:rsidRPr="00B976F3">
        <w:rPr>
          <w:lang w:val="en-US"/>
        </w:rPr>
        <w:lastRenderedPageBreak/>
        <w:t xml:space="preserve">girls and 372 (45.9%) boys. For the analysis of the data, reliability of the scale, exploratory and confirmatory factor analysis, STEM motivation scale and its sub-dimensions were included. </w:t>
      </w:r>
      <w:r w:rsidR="00CE0486" w:rsidRPr="00CE0486">
        <w:rPr>
          <w:lang w:val="en-US"/>
        </w:rPr>
        <w:t xml:space="preserve">According to the results of the analysis, it has calculated acceptable fit values </w:t>
      </w:r>
      <w:r w:rsidR="00B976F3" w:rsidRPr="00B976F3">
        <w:rPr>
          <w:lang w:val="en-US"/>
        </w:rPr>
        <w:t xml:space="preserve">(RMSEA = 0.076, SRMR = 0.01, CFI = 0.89). The Cronbach's alpha reliability coefficient of the scale was calculated as 0,84. The results indicate that the STEM motivation scale consisting of 4 items and 25 items, science, technology, engineering and mathematics, is a valid and reliable tool that can be used in the studies of motivation STEM fields for </w:t>
      </w:r>
      <w:r w:rsidR="00B976F3">
        <w:rPr>
          <w:lang w:val="en-US"/>
        </w:rPr>
        <w:t>middle</w:t>
      </w:r>
      <w:r w:rsidR="00B976F3" w:rsidRPr="00B976F3">
        <w:rPr>
          <w:lang w:val="en-US"/>
        </w:rPr>
        <w:t xml:space="preserve"> school students.</w:t>
      </w:r>
    </w:p>
    <w:p w:rsidR="00451A8E" w:rsidRPr="006D5532" w:rsidRDefault="00451A8E" w:rsidP="00451A8E">
      <w:pPr>
        <w:spacing w:line="360" w:lineRule="auto"/>
        <w:ind w:firstLine="708"/>
        <w:jc w:val="both"/>
        <w:rPr>
          <w:lang w:val="en-GB"/>
        </w:rPr>
      </w:pPr>
      <w:r w:rsidRPr="006D5532">
        <w:rPr>
          <w:b/>
          <w:lang w:val="en-GB"/>
        </w:rPr>
        <w:t>Keywords:</w:t>
      </w:r>
      <w:r w:rsidRPr="006D5532">
        <w:rPr>
          <w:lang w:val="en-GB"/>
        </w:rPr>
        <w:t xml:space="preserve"> </w:t>
      </w:r>
      <w:r w:rsidR="00B976F3" w:rsidRPr="00B976F3">
        <w:rPr>
          <w:i/>
          <w:lang w:val="en-US"/>
        </w:rPr>
        <w:t>STEM, Motivation, Scale, Career, Middle School</w:t>
      </w:r>
    </w:p>
    <w:p w:rsidR="00451A8E" w:rsidRDefault="00451A8E" w:rsidP="00451A8E">
      <w:pPr>
        <w:tabs>
          <w:tab w:val="left" w:pos="0"/>
        </w:tabs>
        <w:spacing w:line="360" w:lineRule="auto"/>
        <w:jc w:val="center"/>
        <w:rPr>
          <w:b/>
        </w:rPr>
      </w:pPr>
    </w:p>
    <w:p w:rsidR="00451A8E" w:rsidRPr="00131F0D" w:rsidRDefault="00451A8E" w:rsidP="00451A8E">
      <w:pPr>
        <w:tabs>
          <w:tab w:val="left" w:pos="0"/>
        </w:tabs>
        <w:spacing w:line="360" w:lineRule="auto"/>
        <w:jc w:val="center"/>
        <w:rPr>
          <w:b/>
        </w:rPr>
      </w:pPr>
      <w:r w:rsidRPr="00131F0D">
        <w:rPr>
          <w:b/>
        </w:rPr>
        <w:t>G</w:t>
      </w:r>
      <w:r w:rsidR="00604FE0">
        <w:rPr>
          <w:b/>
        </w:rPr>
        <w:t>iriş</w:t>
      </w:r>
    </w:p>
    <w:p w:rsidR="00B976F3" w:rsidRPr="00B976F3" w:rsidRDefault="00451A8E" w:rsidP="00C2260B">
      <w:pPr>
        <w:spacing w:line="360" w:lineRule="auto"/>
        <w:ind w:firstLine="709"/>
        <w:jc w:val="both"/>
      </w:pPr>
      <w:r w:rsidRPr="00131F0D">
        <w:t xml:space="preserve"> </w:t>
      </w:r>
      <w:bookmarkStart w:id="1" w:name="_Hlk24878735"/>
      <w:r w:rsidR="00B976F3" w:rsidRPr="00B976F3">
        <w:t>Modern toplumlardaki örgün eğitim kurumlarının temel amacı kültürel mirası ve sosyal hayatı iletmek, aracılık etmek ve dönüştürmektir (</w:t>
      </w:r>
      <w:proofErr w:type="spellStart"/>
      <w:r w:rsidR="00B976F3" w:rsidRPr="00B976F3">
        <w:t>Fred</w:t>
      </w:r>
      <w:proofErr w:type="spellEnd"/>
      <w:r w:rsidR="00B976F3" w:rsidRPr="00B976F3">
        <w:t xml:space="preserve">, 2006). Bu dönüşüm </w:t>
      </w:r>
      <w:r w:rsidR="000934FD">
        <w:t>s</w:t>
      </w:r>
      <w:r w:rsidR="00B976F3" w:rsidRPr="00B976F3">
        <w:t>ürecinde ülkeler eğitimi, ekonomik gelişmişliği</w:t>
      </w:r>
      <w:r w:rsidR="007F28CF">
        <w:t>n</w:t>
      </w:r>
      <w:r w:rsidR="00B976F3" w:rsidRPr="00B976F3">
        <w:t xml:space="preserve"> bir katma değer unsuru olarak görmektedir </w:t>
      </w:r>
      <w:r w:rsidR="00B976F3" w:rsidRPr="00B976F3">
        <w:rPr>
          <w:lang w:val="en-US"/>
        </w:rPr>
        <w:t>(</w:t>
      </w:r>
      <w:bookmarkStart w:id="2" w:name="_Hlk24843302"/>
      <w:proofErr w:type="spellStart"/>
      <w:r w:rsidR="00024958" w:rsidRPr="00024958">
        <w:t>National</w:t>
      </w:r>
      <w:proofErr w:type="spellEnd"/>
      <w:r w:rsidR="00024958" w:rsidRPr="00024958">
        <w:t xml:space="preserve"> </w:t>
      </w:r>
      <w:proofErr w:type="spellStart"/>
      <w:r w:rsidR="00024958" w:rsidRPr="00024958">
        <w:t>Research</w:t>
      </w:r>
      <w:proofErr w:type="spellEnd"/>
      <w:r w:rsidR="00024958" w:rsidRPr="00024958">
        <w:t xml:space="preserve"> </w:t>
      </w:r>
      <w:proofErr w:type="spellStart"/>
      <w:r w:rsidR="00024958" w:rsidRPr="00024958">
        <w:t>Council</w:t>
      </w:r>
      <w:proofErr w:type="spellEnd"/>
      <w:r w:rsidR="00024958" w:rsidRPr="00024958">
        <w:t xml:space="preserve"> [NRC]</w:t>
      </w:r>
      <w:r w:rsidR="00B976F3" w:rsidRPr="00B976F3">
        <w:rPr>
          <w:lang w:val="en-US"/>
        </w:rPr>
        <w:t xml:space="preserve">, 2011). </w:t>
      </w:r>
      <w:r w:rsidR="00953BEA" w:rsidRPr="00953BEA">
        <w:t xml:space="preserve">Ülkeler için </w:t>
      </w:r>
      <w:r w:rsidR="007F28CF">
        <w:t xml:space="preserve">ekonomik </w:t>
      </w:r>
      <w:r w:rsidR="00953BEA" w:rsidRPr="00953BEA">
        <w:t>g</w:t>
      </w:r>
      <w:r w:rsidR="00B976F3" w:rsidRPr="00953BEA">
        <w:t>elişmişliğin</w:t>
      </w:r>
      <w:r w:rsidR="00136519">
        <w:t xml:space="preserve"> </w:t>
      </w:r>
      <w:r w:rsidR="00B976F3" w:rsidRPr="00B976F3">
        <w:t>göstergelerinden biri de bilim, teknoloji alanında</w:t>
      </w:r>
      <w:r w:rsidR="00953BEA">
        <w:t xml:space="preserve"> </w:t>
      </w:r>
      <w:r w:rsidR="00921CDC">
        <w:t>söz sahibi olması</w:t>
      </w:r>
      <w:r w:rsidR="007F28CF">
        <w:t xml:space="preserve">dır. </w:t>
      </w:r>
      <w:r w:rsidR="00B976F3" w:rsidRPr="00B976F3">
        <w:t>Bilimsel ve teknolojik alanda söz sahibi olabilmek için STEM (</w:t>
      </w:r>
      <w:r w:rsidR="00C2260B">
        <w:t>bilim</w:t>
      </w:r>
      <w:r w:rsidR="00B976F3" w:rsidRPr="00B976F3">
        <w:t xml:space="preserve">, teknoloji, mühendislik ve matematik) eğitimi son yıllarda bir çözüm olarak görülmektedir. 21. </w:t>
      </w:r>
      <w:r w:rsidR="00024958">
        <w:t>Yüz</w:t>
      </w:r>
      <w:r w:rsidR="00024958" w:rsidRPr="00B976F3">
        <w:t>y</w:t>
      </w:r>
      <w:r w:rsidR="00024958">
        <w:t>ıl</w:t>
      </w:r>
      <w:r w:rsidR="00024958" w:rsidRPr="00B976F3">
        <w:t>’da</w:t>
      </w:r>
      <w:r w:rsidR="00B976F3" w:rsidRPr="00B976F3">
        <w:t xml:space="preserve"> gelişmiş ülkeler STEM okuryazarlığı ile bilimsel alanda önderlik</w:t>
      </w:r>
      <w:r w:rsidR="00266DD8">
        <w:rPr>
          <w:color w:val="FF0000"/>
        </w:rPr>
        <w:t xml:space="preserve"> </w:t>
      </w:r>
      <w:r w:rsidR="00243B14" w:rsidRPr="00266DD8">
        <w:t>ve</w:t>
      </w:r>
      <w:r w:rsidR="00243B14" w:rsidRPr="00243B14">
        <w:rPr>
          <w:color w:val="FF0000"/>
        </w:rPr>
        <w:t xml:space="preserve"> </w:t>
      </w:r>
      <w:r w:rsidR="00B976F3" w:rsidRPr="00B976F3">
        <w:t>ekonomik büyümeyi hedeflemektedir (</w:t>
      </w:r>
      <w:proofErr w:type="spellStart"/>
      <w:r w:rsidR="00B976F3" w:rsidRPr="00B976F3">
        <w:t>Lacey</w:t>
      </w:r>
      <w:proofErr w:type="spellEnd"/>
      <w:r w:rsidR="00B976F3" w:rsidRPr="00B976F3">
        <w:t xml:space="preserve"> </w:t>
      </w:r>
      <w:r w:rsidR="00921CDC">
        <w:t>&amp;</w:t>
      </w:r>
      <w:r w:rsidR="00B976F3" w:rsidRPr="00B976F3">
        <w:t xml:space="preserve"> Wright, 2009). </w:t>
      </w:r>
      <w:bookmarkEnd w:id="2"/>
      <w:proofErr w:type="spellStart"/>
      <w:r w:rsidR="00B976F3" w:rsidRPr="00B976F3">
        <w:t>STEM’in</w:t>
      </w:r>
      <w:proofErr w:type="spellEnd"/>
      <w:r w:rsidR="00B976F3" w:rsidRPr="00B976F3">
        <w:t xml:space="preserve"> fen, teknoloji, mühendislik ve matematik alanlarında akademik içerik ile gerçek dünya durumları arasında ilişki kuran, bu içeriği okul, toplum, iş ve küresel girişimleri de dâhil eden, STEM okuryazarlığı ile yeni ekonomik rekabet koşulların gelişimini sağlayan disiplinler arası bir yaklaşımdır (</w:t>
      </w:r>
      <w:proofErr w:type="spellStart"/>
      <w:r w:rsidR="00B976F3" w:rsidRPr="00B976F3">
        <w:t>Tsupros</w:t>
      </w:r>
      <w:proofErr w:type="spellEnd"/>
      <w:r w:rsidR="00B976F3" w:rsidRPr="00B976F3">
        <w:t xml:space="preserve">, </w:t>
      </w:r>
      <w:proofErr w:type="spellStart"/>
      <w:r w:rsidR="00B976F3" w:rsidRPr="00B976F3">
        <w:t>Kohler</w:t>
      </w:r>
      <w:proofErr w:type="spellEnd"/>
      <w:r w:rsidR="00B976F3" w:rsidRPr="00B976F3">
        <w:t xml:space="preserve"> </w:t>
      </w:r>
      <w:r w:rsidR="00921CDC">
        <w:t>&amp;</w:t>
      </w:r>
      <w:r w:rsidR="00B976F3" w:rsidRPr="00B976F3">
        <w:t xml:space="preserve"> </w:t>
      </w:r>
      <w:proofErr w:type="spellStart"/>
      <w:r w:rsidR="00B976F3" w:rsidRPr="00B976F3">
        <w:t>Hallinen</w:t>
      </w:r>
      <w:proofErr w:type="spellEnd"/>
      <w:r w:rsidR="00B976F3" w:rsidRPr="00B976F3">
        <w:t xml:space="preserve">, 2009). STEM okuryazarlığı öğrencilerin kişisel karar verme, sivil ve kültürel işlere katılım ve ekonomik verimlilik için gerekli bilimsel ve matematiksel kavramların ve süreçlerin bilgi ve anlayışı olarak tanımlanmaktadır (NRC, 2011). Bilim, teknoloji, mühendislik ve matematik (STEM) eğitimine yönelik dünya çapında artan bir ilgi olduğu görülmektedir. Özellikle son 10 yıl içerisinde Amerika’da STEM eğitimi bir devlet politikası haline gelmiş ve bunun neticesinde Amerika’da çoğu eyalette STEM okulları açılmış, bu </w:t>
      </w:r>
      <w:r w:rsidR="00B0250C" w:rsidRPr="00B976F3">
        <w:t>okullarda “</w:t>
      </w:r>
      <w:r w:rsidR="00024958" w:rsidRPr="00024958">
        <w:t xml:space="preserve">Yeni Nesil Bilim Standartları </w:t>
      </w:r>
      <w:r w:rsidR="00B976F3" w:rsidRPr="00B976F3">
        <w:t xml:space="preserve">STEM” öğretim programını uygulanmıştır. Bu okullarda proje tabanlı eğitim, mühendislik becerileri ve 21. </w:t>
      </w:r>
      <w:r w:rsidR="00B0250C">
        <w:t>y</w:t>
      </w:r>
      <w:r w:rsidR="00B976F3" w:rsidRPr="00B976F3">
        <w:t>üzyıl becerileri ön planda tutulmaktadır (</w:t>
      </w:r>
      <w:r w:rsidR="00B0250C" w:rsidRPr="00B0250C">
        <w:t xml:space="preserve">Akgündüz </w:t>
      </w:r>
      <w:r w:rsidR="00B0250C">
        <w:lastRenderedPageBreak/>
        <w:t>vd.</w:t>
      </w:r>
      <w:r w:rsidR="00B0250C" w:rsidRPr="00B0250C">
        <w:t>,</w:t>
      </w:r>
      <w:r w:rsidR="00B0250C">
        <w:t xml:space="preserve"> </w:t>
      </w:r>
      <w:r w:rsidR="00B0250C" w:rsidRPr="00B0250C">
        <w:t>2015)</w:t>
      </w:r>
      <w:r w:rsidR="00B976F3" w:rsidRPr="00B976F3">
        <w:t xml:space="preserve">. Yurtdışında yaşanan bu değişimlerin ülkemizde eğitim programlarına etki ettiği görülmektedir. 2018 yılında yenilenen fen eğitim programından STEM eğitimine atıf yapılmış, mühendislik becerilerine yer verilmiştir (MEB, 2018). </w:t>
      </w:r>
      <w:r w:rsidR="000934FD" w:rsidRPr="00B976F3">
        <w:t>Disiplinler arası</w:t>
      </w:r>
      <w:r w:rsidR="00B976F3" w:rsidRPr="00B976F3">
        <w:t xml:space="preserve"> bir eğitim ile STEM pedagojisinin öğretim programlarında yer alması (</w:t>
      </w:r>
      <w:proofErr w:type="spellStart"/>
      <w:r w:rsidR="00B976F3" w:rsidRPr="00B976F3">
        <w:t>Gomez</w:t>
      </w:r>
      <w:proofErr w:type="spellEnd"/>
      <w:r w:rsidR="00B976F3" w:rsidRPr="00B976F3">
        <w:t xml:space="preserve"> </w:t>
      </w:r>
      <w:r w:rsidR="00921CDC">
        <w:t>&amp;</w:t>
      </w:r>
      <w:r w:rsidR="00B976F3" w:rsidRPr="00B976F3">
        <w:t xml:space="preserve"> </w:t>
      </w:r>
      <w:proofErr w:type="spellStart"/>
      <w:r w:rsidR="00B976F3" w:rsidRPr="00B976F3">
        <w:t>Albrecht</w:t>
      </w:r>
      <w:proofErr w:type="spellEnd"/>
      <w:r w:rsidR="00B976F3" w:rsidRPr="00B976F3">
        <w:t>, 2013), gelecekte iş gücü ihtiyacını karşılayabilme ve toplumun tüm üyelerine STEM alanlarına yönelik iş imkânı sağlayabilmede anahtar rol oynayacaktır. Okul sistemi ilkokul ve ortaokul düzeyinde öğrencilerin STEM içeriklerine yönelik fırsatlar yaratırsa, öğrencilerin STEM alanlarında eğitimlerini sürdürmelerini, dahası ileride STEM alanlarında kariyer yapmalarını sağlayacaktır (</w:t>
      </w:r>
      <w:proofErr w:type="spellStart"/>
      <w:r w:rsidR="00B976F3" w:rsidRPr="00B976F3">
        <w:t>Reider</w:t>
      </w:r>
      <w:proofErr w:type="spellEnd"/>
      <w:r w:rsidR="00B976F3" w:rsidRPr="00B976F3">
        <w:t xml:space="preserve">, </w:t>
      </w:r>
      <w:proofErr w:type="spellStart"/>
      <w:r w:rsidR="00B976F3" w:rsidRPr="00B976F3">
        <w:t>Knestis</w:t>
      </w:r>
      <w:proofErr w:type="spellEnd"/>
      <w:r w:rsidR="00B976F3" w:rsidRPr="00B976F3">
        <w:t xml:space="preserve"> </w:t>
      </w:r>
      <w:r w:rsidR="00921CDC">
        <w:t>&amp;</w:t>
      </w:r>
      <w:r w:rsidR="00B976F3" w:rsidRPr="00B976F3">
        <w:t xml:space="preserve"> </w:t>
      </w:r>
      <w:proofErr w:type="spellStart"/>
      <w:r w:rsidR="00B976F3" w:rsidRPr="00B976F3">
        <w:t>Malyn</w:t>
      </w:r>
      <w:proofErr w:type="spellEnd"/>
      <w:r w:rsidR="00B976F3" w:rsidRPr="00B976F3">
        <w:t>-Smith, 2016). STEM eğitiminin amacı, STEM alanlarında eğitim görecek öğrencilerin ge</w:t>
      </w:r>
      <w:r w:rsidR="00243B14">
        <w:t>lecekte iş gücünü karşılamalar</w:t>
      </w:r>
      <w:r w:rsidR="00266DD8">
        <w:t>ı</w:t>
      </w:r>
      <w:r w:rsidR="00243B14">
        <w:t xml:space="preserve"> </w:t>
      </w:r>
      <w:r w:rsidR="00243B14" w:rsidRPr="00266DD8">
        <w:t>olarak</w:t>
      </w:r>
      <w:r w:rsidR="00243B14" w:rsidRPr="00243B14">
        <w:rPr>
          <w:color w:val="FF0000"/>
        </w:rPr>
        <w:t xml:space="preserve"> </w:t>
      </w:r>
      <w:r w:rsidR="00B976F3" w:rsidRPr="00B976F3">
        <w:t xml:space="preserve">düşünülmektedir. </w:t>
      </w:r>
    </w:p>
    <w:p w:rsidR="00B976F3" w:rsidRPr="00B976F3" w:rsidRDefault="00B976F3" w:rsidP="00B976F3">
      <w:pPr>
        <w:spacing w:line="360" w:lineRule="auto"/>
        <w:ind w:firstLine="709"/>
        <w:jc w:val="both"/>
      </w:pPr>
      <w:r w:rsidRPr="00B976F3">
        <w:t>Öğrencilerin ileriki yıllarda seçecekleri mesleklerin ilköğretim zamanında oluştuğu bilinmektedir (</w:t>
      </w:r>
      <w:proofErr w:type="spellStart"/>
      <w:r w:rsidRPr="00B976F3">
        <w:t>Auger</w:t>
      </w:r>
      <w:proofErr w:type="spellEnd"/>
      <w:r w:rsidRPr="00B976F3">
        <w:t xml:space="preserve">, </w:t>
      </w:r>
      <w:proofErr w:type="spellStart"/>
      <w:r w:rsidRPr="00B976F3">
        <w:t>Blackhurst</w:t>
      </w:r>
      <w:proofErr w:type="spellEnd"/>
      <w:r w:rsidRPr="00B976F3">
        <w:t xml:space="preserve"> </w:t>
      </w:r>
      <w:r w:rsidR="00921CDC">
        <w:t>&amp;</w:t>
      </w:r>
      <w:r w:rsidRPr="00B976F3">
        <w:t xml:space="preserve"> </w:t>
      </w:r>
      <w:proofErr w:type="spellStart"/>
      <w:r w:rsidRPr="00B976F3">
        <w:t>Herting</w:t>
      </w:r>
      <w:proofErr w:type="spellEnd"/>
      <w:r w:rsidRPr="00B976F3">
        <w:t xml:space="preserve"> 2005). Ancak bazı öğrenciler ilkokul dönemind</w:t>
      </w:r>
      <w:r w:rsidR="00B0250C">
        <w:t>e</w:t>
      </w:r>
      <w:r w:rsidRPr="00B976F3">
        <w:t xml:space="preserve"> bilime olan ilgisini kaybetmeye başlarlar (</w:t>
      </w:r>
      <w:proofErr w:type="spellStart"/>
      <w:r w:rsidRPr="00B976F3">
        <w:t>Baird</w:t>
      </w:r>
      <w:proofErr w:type="spellEnd"/>
      <w:r w:rsidRPr="00B976F3">
        <w:t xml:space="preserve"> </w:t>
      </w:r>
      <w:r w:rsidR="00921CDC">
        <w:t>&amp;</w:t>
      </w:r>
      <w:r w:rsidRPr="00B976F3">
        <w:t xml:space="preserve"> </w:t>
      </w:r>
      <w:proofErr w:type="spellStart"/>
      <w:r w:rsidRPr="00B976F3">
        <w:t>Penna</w:t>
      </w:r>
      <w:proofErr w:type="spellEnd"/>
      <w:r w:rsidRPr="00B976F3">
        <w:t xml:space="preserve"> 1992; </w:t>
      </w:r>
      <w:proofErr w:type="spellStart"/>
      <w:r w:rsidRPr="00B976F3">
        <w:t>Keeley</w:t>
      </w:r>
      <w:proofErr w:type="spellEnd"/>
      <w:r w:rsidRPr="00B976F3">
        <w:t>, 2009). 10-14 arası öğrencileri STEM faaliyetlerine (</w:t>
      </w:r>
      <w:proofErr w:type="spellStart"/>
      <w:r w:rsidRPr="00B976F3">
        <w:t>Maltese</w:t>
      </w:r>
      <w:proofErr w:type="spellEnd"/>
      <w:r w:rsidRPr="00B976F3">
        <w:t xml:space="preserve"> </w:t>
      </w:r>
      <w:r w:rsidR="00921CDC">
        <w:t>&amp;</w:t>
      </w:r>
      <w:r w:rsidRPr="00B976F3">
        <w:t xml:space="preserve"> </w:t>
      </w:r>
      <w:proofErr w:type="spellStart"/>
      <w:r w:rsidRPr="00B976F3">
        <w:t>Tai</w:t>
      </w:r>
      <w:proofErr w:type="spellEnd"/>
      <w:r w:rsidRPr="00B976F3">
        <w:t xml:space="preserve">, 2011; </w:t>
      </w:r>
      <w:proofErr w:type="spellStart"/>
      <w:r w:rsidRPr="00B976F3">
        <w:t>Christensen</w:t>
      </w:r>
      <w:proofErr w:type="spellEnd"/>
      <w:r w:rsidRPr="00B976F3">
        <w:t xml:space="preserve"> </w:t>
      </w:r>
      <w:r w:rsidR="00921CDC">
        <w:t>&amp;</w:t>
      </w:r>
      <w:r w:rsidRPr="00B976F3">
        <w:t xml:space="preserve"> </w:t>
      </w:r>
      <w:proofErr w:type="spellStart"/>
      <w:r w:rsidRPr="00B976F3">
        <w:t>Knezek</w:t>
      </w:r>
      <w:proofErr w:type="spellEnd"/>
      <w:r w:rsidRPr="00B976F3">
        <w:t>, 2013) katılım sağlamaları ve STEM alanlarındaki kariyer seçeneklerine (</w:t>
      </w:r>
      <w:proofErr w:type="spellStart"/>
      <w:r w:rsidRPr="00B976F3">
        <w:t>Super</w:t>
      </w:r>
      <w:proofErr w:type="spellEnd"/>
      <w:r w:rsidRPr="00B976F3">
        <w:t>, 1990) ilişkin tutum ve inançları geliştirme konusunda kritik bir aşamadır. Dolayısıyla bu süreçte öğrencilerin sınıf içi ve sınıf dışı uygulamalarla STEM alanlarına ilişkin deneyimler kazanması sağlanmalıdır (</w:t>
      </w:r>
      <w:proofErr w:type="spellStart"/>
      <w:r w:rsidRPr="00B976F3">
        <w:t>Maltese</w:t>
      </w:r>
      <w:proofErr w:type="spellEnd"/>
      <w:r w:rsidRPr="00B976F3">
        <w:t xml:space="preserve"> </w:t>
      </w:r>
      <w:r w:rsidR="00921CDC">
        <w:t>&amp;</w:t>
      </w:r>
      <w:r w:rsidRPr="00B976F3">
        <w:t xml:space="preserve"> </w:t>
      </w:r>
      <w:proofErr w:type="spellStart"/>
      <w:r w:rsidRPr="00B976F3">
        <w:t>Tai</w:t>
      </w:r>
      <w:proofErr w:type="spellEnd"/>
      <w:r w:rsidRPr="00B976F3">
        <w:t xml:space="preserve">, 2011). Yapılan araştırmalara rağmen </w:t>
      </w:r>
      <w:proofErr w:type="spellStart"/>
      <w:r w:rsidRPr="00B976F3">
        <w:t>STEM’in</w:t>
      </w:r>
      <w:proofErr w:type="spellEnd"/>
      <w:r w:rsidRPr="00B976F3">
        <w:t xml:space="preserve"> doğası ve STEM alanlarına olan ilginin artması için yapılan çalışmalar yetersizdir (</w:t>
      </w:r>
      <w:proofErr w:type="spellStart"/>
      <w:r w:rsidRPr="00B976F3">
        <w:t>Falk</w:t>
      </w:r>
      <w:proofErr w:type="spellEnd"/>
      <w:r w:rsidRPr="00B976F3">
        <w:t xml:space="preserve">, </w:t>
      </w:r>
      <w:proofErr w:type="spellStart"/>
      <w:r w:rsidRPr="00B976F3">
        <w:t>Staus</w:t>
      </w:r>
      <w:proofErr w:type="spellEnd"/>
      <w:r w:rsidRPr="00B976F3">
        <w:t xml:space="preserve">, </w:t>
      </w:r>
      <w:proofErr w:type="spellStart"/>
      <w:r w:rsidRPr="00B976F3">
        <w:t>Dierking</w:t>
      </w:r>
      <w:proofErr w:type="spellEnd"/>
      <w:r w:rsidRPr="00B976F3">
        <w:t xml:space="preserve">, </w:t>
      </w:r>
      <w:proofErr w:type="spellStart"/>
      <w:r w:rsidRPr="00B976F3">
        <w:t>Penuel</w:t>
      </w:r>
      <w:proofErr w:type="spellEnd"/>
      <w:r w:rsidRPr="00B976F3">
        <w:t xml:space="preserve">, </w:t>
      </w:r>
      <w:proofErr w:type="spellStart"/>
      <w:r w:rsidRPr="00B976F3">
        <w:t>Wyld</w:t>
      </w:r>
      <w:proofErr w:type="spellEnd"/>
      <w:r w:rsidRPr="00B976F3">
        <w:t xml:space="preserve"> </w:t>
      </w:r>
      <w:r w:rsidR="00921CDC">
        <w:t>&amp;</w:t>
      </w:r>
      <w:r w:rsidRPr="00B976F3">
        <w:t xml:space="preserve"> </w:t>
      </w:r>
      <w:proofErr w:type="spellStart"/>
      <w:r w:rsidRPr="00B976F3">
        <w:t>Bailey</w:t>
      </w:r>
      <w:proofErr w:type="spellEnd"/>
      <w:r w:rsidRPr="00B976F3">
        <w:t>, 2016).</w:t>
      </w:r>
    </w:p>
    <w:p w:rsidR="00B976F3" w:rsidRPr="00B976F3" w:rsidRDefault="00B976F3" w:rsidP="00B976F3">
      <w:pPr>
        <w:spacing w:line="360" w:lineRule="auto"/>
        <w:ind w:firstLine="709"/>
        <w:jc w:val="both"/>
      </w:pPr>
      <w:r w:rsidRPr="00B976F3">
        <w:t>Fen eğitimi literatüründe fen, teknoloji, mühendislik ve matematik (STEM)</w:t>
      </w:r>
      <w:r w:rsidR="00C2260B">
        <w:t xml:space="preserve"> alanlarında</w:t>
      </w:r>
      <w:r w:rsidRPr="00B976F3">
        <w:t xml:space="preserve"> derslerine katılımın düşük olduğu konusunda yaygın bir </w:t>
      </w:r>
      <w:r w:rsidR="007F28CF">
        <w:t>inanış</w:t>
      </w:r>
      <w:r w:rsidRPr="00B976F3">
        <w:t xml:space="preserve"> bulunmaktadır (</w:t>
      </w:r>
      <w:proofErr w:type="spellStart"/>
      <w:r w:rsidRPr="00B976F3">
        <w:t>Osborne</w:t>
      </w:r>
      <w:proofErr w:type="spellEnd"/>
      <w:r w:rsidRPr="00B976F3">
        <w:t xml:space="preserve">, </w:t>
      </w:r>
      <w:proofErr w:type="spellStart"/>
      <w:r w:rsidRPr="00B976F3">
        <w:t>Simon</w:t>
      </w:r>
      <w:proofErr w:type="spellEnd"/>
      <w:r w:rsidRPr="00B976F3">
        <w:t xml:space="preserve"> </w:t>
      </w:r>
      <w:r w:rsidR="00B0250C">
        <w:t>ve</w:t>
      </w:r>
      <w:r w:rsidRPr="00B976F3">
        <w:t xml:space="preserve"> </w:t>
      </w:r>
      <w:proofErr w:type="spellStart"/>
      <w:r w:rsidRPr="00B976F3">
        <w:t>Collins</w:t>
      </w:r>
      <w:proofErr w:type="spellEnd"/>
      <w:r w:rsidRPr="00B976F3">
        <w:t xml:space="preserve">, 2003; </w:t>
      </w:r>
      <w:proofErr w:type="spellStart"/>
      <w:r w:rsidRPr="00B976F3">
        <w:t>Osborne</w:t>
      </w:r>
      <w:proofErr w:type="spellEnd"/>
      <w:r w:rsidRPr="00B976F3">
        <w:t xml:space="preserve">, </w:t>
      </w:r>
      <w:proofErr w:type="spellStart"/>
      <w:r w:rsidRPr="00B976F3">
        <w:t>Simon</w:t>
      </w:r>
      <w:proofErr w:type="spellEnd"/>
      <w:r w:rsidRPr="00B976F3">
        <w:t xml:space="preserve"> </w:t>
      </w:r>
      <w:r w:rsidR="00B0250C">
        <w:t>ve</w:t>
      </w:r>
      <w:r w:rsidRPr="00B976F3">
        <w:t xml:space="preserve"> </w:t>
      </w:r>
      <w:proofErr w:type="spellStart"/>
      <w:r w:rsidRPr="00B976F3">
        <w:t>Tytler</w:t>
      </w:r>
      <w:proofErr w:type="spellEnd"/>
      <w:r w:rsidRPr="00B976F3">
        <w:t>, 2009). Bu katılımı sağlamada motivasyonun bir çözüm olduğu birçok araştırmada dile getirilmiştir (</w:t>
      </w:r>
      <w:proofErr w:type="spellStart"/>
      <w:r w:rsidRPr="00B976F3">
        <w:rPr>
          <w:lang w:val="en-US"/>
        </w:rPr>
        <w:t>Rosenzweig</w:t>
      </w:r>
      <w:proofErr w:type="spellEnd"/>
      <w:r w:rsidRPr="00B976F3">
        <w:rPr>
          <w:lang w:val="en-US"/>
        </w:rPr>
        <w:t xml:space="preserve"> </w:t>
      </w:r>
      <w:r w:rsidR="00FF2A11">
        <w:rPr>
          <w:lang w:val="en-US"/>
        </w:rPr>
        <w:t>&amp;</w:t>
      </w:r>
      <w:r w:rsidRPr="00B976F3">
        <w:rPr>
          <w:lang w:val="en-US"/>
        </w:rPr>
        <w:t xml:space="preserve"> </w:t>
      </w:r>
      <w:proofErr w:type="spellStart"/>
      <w:r w:rsidRPr="00B976F3">
        <w:rPr>
          <w:lang w:val="en-US"/>
        </w:rPr>
        <w:t>Wigfield</w:t>
      </w:r>
      <w:proofErr w:type="spellEnd"/>
      <w:r w:rsidRPr="00B976F3">
        <w:rPr>
          <w:lang w:val="en-US"/>
        </w:rPr>
        <w:t>, 2016;</w:t>
      </w:r>
      <w:r w:rsidRPr="00B976F3">
        <w:t xml:space="preserve"> Master, </w:t>
      </w:r>
      <w:proofErr w:type="spellStart"/>
      <w:r w:rsidRPr="00B976F3">
        <w:t>Cheryan</w:t>
      </w:r>
      <w:proofErr w:type="spellEnd"/>
      <w:r w:rsidRPr="00B976F3">
        <w:t xml:space="preserve">, </w:t>
      </w:r>
      <w:proofErr w:type="spellStart"/>
      <w:proofErr w:type="gramStart"/>
      <w:r w:rsidRPr="00B976F3">
        <w:t>Moscatelli</w:t>
      </w:r>
      <w:proofErr w:type="spellEnd"/>
      <w:r w:rsidRPr="00B976F3">
        <w:t>,</w:t>
      </w:r>
      <w:proofErr w:type="gramEnd"/>
      <w:r w:rsidRPr="00B976F3">
        <w:t xml:space="preserve"> </w:t>
      </w:r>
      <w:r w:rsidR="00B0250C">
        <w:t>ve</w:t>
      </w:r>
      <w:r w:rsidRPr="00B976F3">
        <w:t xml:space="preserve"> </w:t>
      </w:r>
      <w:proofErr w:type="spellStart"/>
      <w:r w:rsidRPr="00B976F3">
        <w:t>Meltzoff</w:t>
      </w:r>
      <w:proofErr w:type="spellEnd"/>
      <w:r w:rsidRPr="00B976F3">
        <w:t xml:space="preserve">, 2017; </w:t>
      </w:r>
      <w:proofErr w:type="spellStart"/>
      <w:r w:rsidRPr="00B976F3">
        <w:t>Restivo</w:t>
      </w:r>
      <w:proofErr w:type="spellEnd"/>
      <w:r w:rsidRPr="00B976F3">
        <w:t xml:space="preserve">, </w:t>
      </w:r>
      <w:proofErr w:type="spellStart"/>
      <w:r w:rsidRPr="00B976F3">
        <w:t>Chouzal</w:t>
      </w:r>
      <w:proofErr w:type="spellEnd"/>
      <w:r w:rsidRPr="00B976F3">
        <w:t xml:space="preserve">, </w:t>
      </w:r>
      <w:proofErr w:type="spellStart"/>
      <w:r w:rsidRPr="00B976F3">
        <w:t>Rodrigues</w:t>
      </w:r>
      <w:proofErr w:type="spellEnd"/>
      <w:r w:rsidRPr="00B976F3">
        <w:t xml:space="preserve">, </w:t>
      </w:r>
      <w:proofErr w:type="spellStart"/>
      <w:r w:rsidRPr="00B976F3">
        <w:t>Menezes</w:t>
      </w:r>
      <w:proofErr w:type="spellEnd"/>
      <w:r w:rsidRPr="00B976F3">
        <w:t xml:space="preserve">, </w:t>
      </w:r>
      <w:r w:rsidR="00B0250C">
        <w:t>ve</w:t>
      </w:r>
      <w:r w:rsidRPr="00B976F3">
        <w:t xml:space="preserve"> </w:t>
      </w:r>
      <w:proofErr w:type="spellStart"/>
      <w:r w:rsidRPr="00B976F3">
        <w:t>Bernardino</w:t>
      </w:r>
      <w:proofErr w:type="spellEnd"/>
      <w:r w:rsidRPr="00B976F3">
        <w:t xml:space="preserve"> </w:t>
      </w:r>
      <w:proofErr w:type="spellStart"/>
      <w:r w:rsidRPr="00B976F3">
        <w:t>Lopes</w:t>
      </w:r>
      <w:proofErr w:type="spellEnd"/>
      <w:r w:rsidRPr="00B976F3">
        <w:t>, 2014).</w:t>
      </w:r>
    </w:p>
    <w:p w:rsidR="00B976F3" w:rsidRPr="00B976F3" w:rsidRDefault="00B976F3" w:rsidP="00B976F3">
      <w:pPr>
        <w:spacing w:line="360" w:lineRule="auto"/>
        <w:ind w:firstLine="709"/>
        <w:jc w:val="both"/>
      </w:pPr>
      <w:r w:rsidRPr="00B976F3">
        <w:t>Motivasyon, davranışta bulunma niyeti olarak tanımlanmaktadır (</w:t>
      </w:r>
      <w:proofErr w:type="spellStart"/>
      <w:r w:rsidRPr="00B976F3">
        <w:t>Elliot</w:t>
      </w:r>
      <w:proofErr w:type="spellEnd"/>
      <w:r w:rsidRPr="00B976F3">
        <w:t xml:space="preserve"> </w:t>
      </w:r>
      <w:r w:rsidR="00921CDC">
        <w:t>&amp;</w:t>
      </w:r>
      <w:r w:rsidRPr="00B976F3">
        <w:t xml:space="preserve"> </w:t>
      </w:r>
      <w:proofErr w:type="spellStart"/>
      <w:r w:rsidRPr="00B976F3">
        <w:t>Covington</w:t>
      </w:r>
      <w:proofErr w:type="spellEnd"/>
      <w:r w:rsidRPr="00B976F3">
        <w:t>, 2001). Alan eğitimi</w:t>
      </w:r>
      <w:r w:rsidR="00B0250C">
        <w:t xml:space="preserve">nde </w:t>
      </w:r>
      <w:r w:rsidRPr="00B976F3">
        <w:t>farklı motivasyon teorileri geliştirilmiştir (</w:t>
      </w:r>
      <w:proofErr w:type="spellStart"/>
      <w:r w:rsidRPr="00B976F3">
        <w:t>Schunk</w:t>
      </w:r>
      <w:proofErr w:type="spellEnd"/>
      <w:r w:rsidRPr="00B976F3">
        <w:t xml:space="preserve">, </w:t>
      </w:r>
      <w:proofErr w:type="spellStart"/>
      <w:r w:rsidRPr="00B976F3">
        <w:t>Pintrich</w:t>
      </w:r>
      <w:proofErr w:type="spellEnd"/>
      <w:r w:rsidRPr="00B976F3">
        <w:t xml:space="preserve"> </w:t>
      </w:r>
      <w:r w:rsidR="00921CDC">
        <w:t>&amp;</w:t>
      </w:r>
      <w:r w:rsidRPr="00B976F3">
        <w:t xml:space="preserve"> </w:t>
      </w:r>
      <w:proofErr w:type="spellStart"/>
      <w:r w:rsidRPr="00B976F3">
        <w:t>Meece</w:t>
      </w:r>
      <w:proofErr w:type="spellEnd"/>
      <w:r w:rsidRPr="00B976F3">
        <w:t>, 2008), bazı çalışmalar öğretimde öz-yeterliliğe odaklanırken (</w:t>
      </w:r>
      <w:proofErr w:type="spellStart"/>
      <w:r w:rsidRPr="00B976F3">
        <w:t>Wang</w:t>
      </w:r>
      <w:proofErr w:type="spellEnd"/>
      <w:r w:rsidRPr="00B976F3">
        <w:t xml:space="preserve"> &amp; </w:t>
      </w:r>
      <w:proofErr w:type="spellStart"/>
      <w:r w:rsidRPr="00B976F3">
        <w:t>Tsai</w:t>
      </w:r>
      <w:proofErr w:type="spellEnd"/>
      <w:r w:rsidRPr="00B976F3">
        <w:t xml:space="preserve">, 2016) bazı çalışmalar ise motivasyon-başarı </w:t>
      </w:r>
      <w:r w:rsidR="007F28CF" w:rsidRPr="007F28CF">
        <w:t xml:space="preserve">(Abraham &amp; </w:t>
      </w:r>
      <w:proofErr w:type="spellStart"/>
      <w:r w:rsidR="007F28CF" w:rsidRPr="007F28CF">
        <w:t>Barker</w:t>
      </w:r>
      <w:proofErr w:type="spellEnd"/>
      <w:r w:rsidR="007F28CF" w:rsidRPr="007F28CF">
        <w:t>, 2014)</w:t>
      </w:r>
      <w:r w:rsidR="007F28CF">
        <w:t xml:space="preserve"> </w:t>
      </w:r>
      <w:r w:rsidRPr="00B976F3">
        <w:t xml:space="preserve">ilişkisine odaklanmıştır. </w:t>
      </w:r>
      <w:r w:rsidR="007F28CF">
        <w:t>Araştırmalar, ö</w:t>
      </w:r>
      <w:r w:rsidRPr="00B976F3">
        <w:t xml:space="preserve">ğrencilerin öğrenmeye yönelik motivasyonları </w:t>
      </w:r>
      <w:r w:rsidR="007F28CF">
        <w:t>ile</w:t>
      </w:r>
      <w:r w:rsidRPr="00B976F3">
        <w:t xml:space="preserve"> </w:t>
      </w:r>
      <w:r w:rsidRPr="00B976F3">
        <w:lastRenderedPageBreak/>
        <w:t>akademik başarıları arasında anlamlı bir ilişki olduğunu göstermiştir (</w:t>
      </w:r>
      <w:proofErr w:type="spellStart"/>
      <w:r w:rsidRPr="00B976F3">
        <w:t>Manolopoulou</w:t>
      </w:r>
      <w:proofErr w:type="spellEnd"/>
      <w:r w:rsidRPr="00B976F3">
        <w:t xml:space="preserve">-Sergi, 2004; </w:t>
      </w:r>
      <w:proofErr w:type="spellStart"/>
      <w:r w:rsidRPr="00B976F3">
        <w:t>Schick</w:t>
      </w:r>
      <w:proofErr w:type="spellEnd"/>
      <w:r w:rsidRPr="00B976F3">
        <w:t xml:space="preserve"> </w:t>
      </w:r>
      <w:r w:rsidR="00921CDC">
        <w:t>&amp;</w:t>
      </w:r>
      <w:r w:rsidRPr="00B976F3">
        <w:t xml:space="preserve"> </w:t>
      </w:r>
      <w:proofErr w:type="spellStart"/>
      <w:r w:rsidRPr="00B976F3">
        <w:t>Phillipson</w:t>
      </w:r>
      <w:proofErr w:type="spellEnd"/>
      <w:r w:rsidRPr="00B976F3">
        <w:t xml:space="preserve">, 2009). </w:t>
      </w:r>
      <w:r w:rsidR="00C2260B">
        <w:t>M</w:t>
      </w:r>
      <w:r w:rsidRPr="00B976F3">
        <w:t>otivasyonu yüksek olan öğrenciler genellikle iyi bir akademik başarı kazandıkları, düşük başarı gösterenlerin ise öğrenme sürecinde yeterli motivasyona sahip olmadıkları ifade edilmektedir (</w:t>
      </w:r>
      <w:proofErr w:type="spellStart"/>
      <w:r w:rsidRPr="00B976F3">
        <w:t>Linnenbrink</w:t>
      </w:r>
      <w:proofErr w:type="spellEnd"/>
      <w:r w:rsidRPr="00B976F3">
        <w:t xml:space="preserve"> </w:t>
      </w:r>
      <w:r w:rsidR="00921CDC">
        <w:t>&amp;</w:t>
      </w:r>
      <w:r w:rsidRPr="00B976F3">
        <w:t xml:space="preserve"> </w:t>
      </w:r>
      <w:proofErr w:type="spellStart"/>
      <w:r w:rsidRPr="00B976F3">
        <w:t>Pintrich</w:t>
      </w:r>
      <w:proofErr w:type="spellEnd"/>
      <w:r w:rsidRPr="00B976F3">
        <w:t xml:space="preserve">, 2002). </w:t>
      </w:r>
      <w:proofErr w:type="spellStart"/>
      <w:r w:rsidRPr="00B976F3">
        <w:t>Wu</w:t>
      </w:r>
      <w:proofErr w:type="spellEnd"/>
      <w:r w:rsidRPr="00B976F3">
        <w:t xml:space="preserve">, </w:t>
      </w:r>
      <w:proofErr w:type="spellStart"/>
      <w:r w:rsidRPr="00B976F3">
        <w:t>Tuan</w:t>
      </w:r>
      <w:proofErr w:type="spellEnd"/>
      <w:r w:rsidRPr="00B976F3">
        <w:t xml:space="preserve">, </w:t>
      </w:r>
      <w:proofErr w:type="spellStart"/>
      <w:r w:rsidRPr="00B976F3">
        <w:t>Hsieh</w:t>
      </w:r>
      <w:proofErr w:type="spellEnd"/>
      <w:r w:rsidRPr="00B976F3">
        <w:t xml:space="preserve"> </w:t>
      </w:r>
      <w:r w:rsidR="00921CDC">
        <w:t>&amp;</w:t>
      </w:r>
      <w:r w:rsidRPr="00B976F3">
        <w:t xml:space="preserve"> </w:t>
      </w:r>
      <w:proofErr w:type="spellStart"/>
      <w:r w:rsidRPr="00B976F3">
        <w:t>Chin</w:t>
      </w:r>
      <w:proofErr w:type="spellEnd"/>
      <w:r w:rsidRPr="00B976F3">
        <w:t xml:space="preserve"> (2013)</w:t>
      </w:r>
      <w:r w:rsidR="00243B14">
        <w:t>.</w:t>
      </w:r>
      <w:r w:rsidRPr="00B976F3">
        <w:t xml:space="preserve"> </w:t>
      </w:r>
      <w:r w:rsidR="00243B14" w:rsidRPr="00266DD8">
        <w:t>Ö</w:t>
      </w:r>
      <w:r w:rsidR="00B0250C">
        <w:t xml:space="preserve">ğrencilerin </w:t>
      </w:r>
      <w:r w:rsidRPr="00B976F3">
        <w:t>okulda fen öğrenme konusundaki motivasyonlarını araştırdıklarında; düşük başarı gösterenlerin beklenti, değer ve davranış yönünden düşük başarı gösterenlere göre anlamlı derecede düşük performans gösterdiği görülmüştür. Bir diğer araştırmada ise fen derslerinde öğrencilerin öğrenme motivasyonlarının okuldaki notları arttıkça azaldığını da belirtmektedir (</w:t>
      </w:r>
      <w:proofErr w:type="spellStart"/>
      <w:r w:rsidRPr="00B976F3">
        <w:t>Carreira</w:t>
      </w:r>
      <w:proofErr w:type="spellEnd"/>
      <w:r w:rsidRPr="00B976F3">
        <w:t xml:space="preserve">, 2011; </w:t>
      </w:r>
      <w:proofErr w:type="spellStart"/>
      <w:r w:rsidRPr="00B976F3">
        <w:t>Tuan</w:t>
      </w:r>
      <w:proofErr w:type="spellEnd"/>
      <w:r w:rsidRPr="00B976F3">
        <w:t xml:space="preserve">, </w:t>
      </w:r>
      <w:proofErr w:type="spellStart"/>
      <w:r w:rsidRPr="00B976F3">
        <w:t>Chin</w:t>
      </w:r>
      <w:proofErr w:type="spellEnd"/>
      <w:r w:rsidRPr="00B976F3">
        <w:t xml:space="preserve"> </w:t>
      </w:r>
      <w:r w:rsidR="00921CDC">
        <w:t>&amp;</w:t>
      </w:r>
      <w:r w:rsidRPr="00B976F3">
        <w:t xml:space="preserve"> </w:t>
      </w:r>
      <w:proofErr w:type="spellStart"/>
      <w:r w:rsidRPr="00B976F3">
        <w:t>Shieh</w:t>
      </w:r>
      <w:proofErr w:type="spellEnd"/>
      <w:r w:rsidRPr="00B976F3">
        <w:t>, 2005). Bu nedenle, fen eğitimcilerinin, özellikle düşük başarı gösterenler için öğrencilerin öğrenme motivasyonlarını etkili bir şekilde artırmanın bir yolunu bulmaları gerek</w:t>
      </w:r>
      <w:r w:rsidR="007F28CF">
        <w:t>mektedir.</w:t>
      </w:r>
    </w:p>
    <w:p w:rsidR="00B976F3" w:rsidRPr="00B976F3" w:rsidRDefault="00B0250C" w:rsidP="00B976F3">
      <w:pPr>
        <w:spacing w:line="360" w:lineRule="auto"/>
        <w:ind w:firstLine="709"/>
        <w:jc w:val="both"/>
      </w:pPr>
      <w:r>
        <w:t>Ortaöğretimden</w:t>
      </w:r>
      <w:r w:rsidR="00B976F3" w:rsidRPr="00B976F3">
        <w:t xml:space="preserve"> yükseköğretime geçişte, birçok öğrenci için zorlu bir süreç olduğundan (</w:t>
      </w:r>
      <w:proofErr w:type="spellStart"/>
      <w:r w:rsidR="00B976F3" w:rsidRPr="00B976F3">
        <w:t>Briggs</w:t>
      </w:r>
      <w:proofErr w:type="spellEnd"/>
      <w:r w:rsidR="00B976F3" w:rsidRPr="00B976F3">
        <w:t xml:space="preserve">, </w:t>
      </w:r>
      <w:proofErr w:type="spellStart"/>
      <w:r w:rsidR="00B976F3" w:rsidRPr="00B976F3">
        <w:t>Clark</w:t>
      </w:r>
      <w:proofErr w:type="spellEnd"/>
      <w:r w:rsidR="00B976F3" w:rsidRPr="00B976F3">
        <w:t xml:space="preserve"> </w:t>
      </w:r>
      <w:r w:rsidR="00921CDC">
        <w:t>&amp;</w:t>
      </w:r>
      <w:r w:rsidR="00B976F3" w:rsidRPr="00B976F3">
        <w:t xml:space="preserve"> 2012; </w:t>
      </w:r>
      <w:proofErr w:type="spellStart"/>
      <w:r w:rsidR="00B976F3" w:rsidRPr="00B976F3">
        <w:t>Christie</w:t>
      </w:r>
      <w:proofErr w:type="spellEnd"/>
      <w:r w:rsidR="00B976F3" w:rsidRPr="00B976F3">
        <w:t xml:space="preserve">, </w:t>
      </w:r>
      <w:proofErr w:type="spellStart"/>
      <w:r w:rsidR="00B976F3" w:rsidRPr="00B976F3">
        <w:t>Cree</w:t>
      </w:r>
      <w:proofErr w:type="spellEnd"/>
      <w:r w:rsidR="00B976F3" w:rsidRPr="00B976F3">
        <w:t xml:space="preserve">, </w:t>
      </w:r>
      <w:proofErr w:type="spellStart"/>
      <w:r w:rsidR="00B976F3" w:rsidRPr="00B976F3">
        <w:t>Hounsell</w:t>
      </w:r>
      <w:proofErr w:type="spellEnd"/>
      <w:r w:rsidR="00B976F3" w:rsidRPr="00B976F3">
        <w:t xml:space="preserve"> </w:t>
      </w:r>
      <w:r w:rsidR="00921CDC">
        <w:t>&amp;</w:t>
      </w:r>
      <w:r w:rsidR="00B976F3" w:rsidRPr="00B976F3">
        <w:t xml:space="preserve"> </w:t>
      </w:r>
      <w:proofErr w:type="spellStart"/>
      <w:r w:rsidR="00B976F3" w:rsidRPr="00B976F3">
        <w:t>McCune</w:t>
      </w:r>
      <w:proofErr w:type="spellEnd"/>
      <w:r w:rsidR="00B976F3" w:rsidRPr="00B976F3">
        <w:t>, 2008), öğrencilerin akademik motivasyonu ve orta öğretimden yüksek öğretime geçişte nasıl geliştiği çok önemlidir. Yapılan araştırmalar, öğrencilerin akademik motivasyonlarının süreklilik ile ilgili olduğunu göstermiştir (</w:t>
      </w:r>
      <w:proofErr w:type="spellStart"/>
      <w:r w:rsidR="00B976F3" w:rsidRPr="00B976F3">
        <w:t>Vansteenkiste</w:t>
      </w:r>
      <w:proofErr w:type="spellEnd"/>
      <w:r w:rsidR="00B976F3" w:rsidRPr="00B976F3">
        <w:t xml:space="preserve"> v</w:t>
      </w:r>
      <w:r w:rsidR="00487668">
        <w:t>d.</w:t>
      </w:r>
      <w:r w:rsidR="00B976F3" w:rsidRPr="00B976F3">
        <w:t xml:space="preserve">, 2010) ve motivasyon eksikliğinin </w:t>
      </w:r>
      <w:r w:rsidR="007F28CF">
        <w:t xml:space="preserve">eğitim </w:t>
      </w:r>
      <w:r w:rsidR="00B976F3" w:rsidRPr="00B976F3">
        <w:t xml:space="preserve">öğretim </w:t>
      </w:r>
      <w:r w:rsidR="007F28CF">
        <w:t>sürecinde</w:t>
      </w:r>
      <w:r w:rsidR="00B976F3" w:rsidRPr="00B976F3">
        <w:t xml:space="preserve"> okulu bırak</w:t>
      </w:r>
      <w:r w:rsidR="007F28CF">
        <w:t xml:space="preserve">mada da önemli </w:t>
      </w:r>
      <w:r w:rsidR="003070B9">
        <w:t>bir etken</w:t>
      </w:r>
      <w:r w:rsidR="00B976F3" w:rsidRPr="00B976F3">
        <w:t xml:space="preserve"> olduğu </w:t>
      </w:r>
      <w:r w:rsidR="003070B9">
        <w:t>ifade edilmektedir</w:t>
      </w:r>
      <w:r w:rsidR="00B976F3" w:rsidRPr="00B976F3">
        <w:t xml:space="preserve"> (</w:t>
      </w:r>
      <w:proofErr w:type="spellStart"/>
      <w:r w:rsidR="00B976F3" w:rsidRPr="00B976F3">
        <w:t>Vanthournout</w:t>
      </w:r>
      <w:proofErr w:type="spellEnd"/>
      <w:r w:rsidR="00B976F3" w:rsidRPr="00B976F3">
        <w:t xml:space="preserve"> </w:t>
      </w:r>
      <w:r w:rsidR="00921CDC">
        <w:t>&amp;</w:t>
      </w:r>
      <w:r w:rsidR="00B976F3" w:rsidRPr="00B976F3">
        <w:t xml:space="preserve"> ark. 2012). Ayrıca, motivasyon zaman içinde farklı bağlamlarda değişebilir (</w:t>
      </w:r>
      <w:proofErr w:type="spellStart"/>
      <w:r w:rsidR="00B976F3" w:rsidRPr="00B976F3">
        <w:t>Pan</w:t>
      </w:r>
      <w:proofErr w:type="spellEnd"/>
      <w:r w:rsidR="00B976F3" w:rsidRPr="00B976F3">
        <w:t xml:space="preserve"> &amp; </w:t>
      </w:r>
      <w:proofErr w:type="spellStart"/>
      <w:r w:rsidR="00B976F3" w:rsidRPr="00B976F3">
        <w:t>Gauvain</w:t>
      </w:r>
      <w:proofErr w:type="spellEnd"/>
      <w:r w:rsidR="00B976F3" w:rsidRPr="00B976F3">
        <w:t xml:space="preserve"> 2012; </w:t>
      </w:r>
      <w:proofErr w:type="spellStart"/>
      <w:r w:rsidR="00B976F3" w:rsidRPr="00B976F3">
        <w:t>Ratelle</w:t>
      </w:r>
      <w:proofErr w:type="spellEnd"/>
      <w:r w:rsidR="00B976F3" w:rsidRPr="00B976F3">
        <w:t xml:space="preserve"> vd.</w:t>
      </w:r>
      <w:r w:rsidR="00382C89">
        <w:t>,</w:t>
      </w:r>
      <w:r w:rsidR="00B976F3" w:rsidRPr="00B976F3">
        <w:t xml:space="preserve"> 2004) ve akademik başarıyı arttırmada önemli bir araç olabilir (</w:t>
      </w:r>
      <w:proofErr w:type="spellStart"/>
      <w:r w:rsidR="00B976F3" w:rsidRPr="00B976F3">
        <w:t>Cerasoli</w:t>
      </w:r>
      <w:proofErr w:type="spellEnd"/>
      <w:r w:rsidR="00B976F3" w:rsidRPr="00B976F3">
        <w:t xml:space="preserve">, </w:t>
      </w:r>
      <w:proofErr w:type="spellStart"/>
      <w:r w:rsidR="00B976F3" w:rsidRPr="00B976F3">
        <w:t>Nicklin</w:t>
      </w:r>
      <w:proofErr w:type="spellEnd"/>
      <w:r w:rsidR="00B976F3" w:rsidRPr="00B976F3">
        <w:t xml:space="preserve"> </w:t>
      </w:r>
      <w:r w:rsidR="00382C89">
        <w:t>ve</w:t>
      </w:r>
      <w:r w:rsidR="00B976F3" w:rsidRPr="00B976F3">
        <w:t xml:space="preserve"> Ford, 2014).</w:t>
      </w:r>
      <w:bookmarkStart w:id="3" w:name="_Hlk24844206"/>
      <w:r w:rsidR="00B976F3" w:rsidRPr="00B976F3">
        <w:t xml:space="preserve"> Öğrencilerin </w:t>
      </w:r>
      <w:proofErr w:type="spellStart"/>
      <w:r w:rsidR="00B976F3" w:rsidRPr="00B976F3">
        <w:t>STEM'e</w:t>
      </w:r>
      <w:proofErr w:type="spellEnd"/>
      <w:r w:rsidR="00B976F3" w:rsidRPr="00B976F3">
        <w:t xml:space="preserve"> yönelik tutumları, STEM konularını öğrenme ve STEM kariyeri (</w:t>
      </w:r>
      <w:proofErr w:type="spellStart"/>
      <w:r w:rsidR="00B976F3" w:rsidRPr="00B976F3">
        <w:t>Maltese</w:t>
      </w:r>
      <w:proofErr w:type="spellEnd"/>
      <w:r w:rsidR="00B976F3" w:rsidRPr="00B976F3">
        <w:t xml:space="preserve"> </w:t>
      </w:r>
      <w:r w:rsidR="00921CDC">
        <w:t>&amp;</w:t>
      </w:r>
      <w:r w:rsidR="00B976F3" w:rsidRPr="00B976F3">
        <w:t xml:space="preserve"> </w:t>
      </w:r>
      <w:proofErr w:type="spellStart"/>
      <w:r w:rsidR="00B976F3" w:rsidRPr="00B976F3">
        <w:t>Tai</w:t>
      </w:r>
      <w:proofErr w:type="spellEnd"/>
      <w:r w:rsidR="00B976F3" w:rsidRPr="00B976F3">
        <w:t xml:space="preserve">, 2011) belirmede motivasyon önemli bir faktördür. </w:t>
      </w:r>
      <w:bookmarkEnd w:id="3"/>
    </w:p>
    <w:p w:rsidR="004B4864" w:rsidRDefault="00B976F3" w:rsidP="009A7DDC">
      <w:pPr>
        <w:spacing w:line="360" w:lineRule="auto"/>
        <w:ind w:firstLine="709"/>
        <w:jc w:val="both"/>
      </w:pPr>
      <w:r w:rsidRPr="00B976F3">
        <w:t xml:space="preserve">Fen eğitimi </w:t>
      </w:r>
      <w:proofErr w:type="gramStart"/>
      <w:r w:rsidRPr="00B976F3">
        <w:t>literatüründeki</w:t>
      </w:r>
      <w:proofErr w:type="gramEnd"/>
      <w:r w:rsidRPr="00B976F3">
        <w:t xml:space="preserve"> ana tema</w:t>
      </w:r>
      <w:r w:rsidR="00487668">
        <w:t>lardan biri</w:t>
      </w:r>
      <w:r w:rsidRPr="00B976F3">
        <w:t>, öğrencilerin Fen, Teknoloji, Mühendislik ve Matematiğe (STEM) katılma konusundaki isteksizliğinin artmasıdır (</w:t>
      </w:r>
      <w:proofErr w:type="spellStart"/>
      <w:r w:rsidRPr="00B976F3">
        <w:t>Bøe</w:t>
      </w:r>
      <w:proofErr w:type="spellEnd"/>
      <w:r w:rsidRPr="00B976F3">
        <w:t xml:space="preserve">, </w:t>
      </w:r>
      <w:proofErr w:type="spellStart"/>
      <w:r w:rsidRPr="00B976F3">
        <w:t>Henriksen</w:t>
      </w:r>
      <w:proofErr w:type="spellEnd"/>
      <w:r w:rsidRPr="00B976F3">
        <w:t xml:space="preserve">, </w:t>
      </w:r>
      <w:proofErr w:type="spellStart"/>
      <w:r w:rsidRPr="00B976F3">
        <w:t>Lyons</w:t>
      </w:r>
      <w:proofErr w:type="spellEnd"/>
      <w:r w:rsidRPr="00B976F3">
        <w:t xml:space="preserve">, &amp; </w:t>
      </w:r>
      <w:proofErr w:type="spellStart"/>
      <w:r w:rsidRPr="00B976F3">
        <w:t>Schreiner</w:t>
      </w:r>
      <w:proofErr w:type="spellEnd"/>
      <w:r w:rsidRPr="00B976F3">
        <w:t xml:space="preserve">, 2011; </w:t>
      </w:r>
      <w:proofErr w:type="spellStart"/>
      <w:r w:rsidRPr="00B976F3">
        <w:t>Pinxten</w:t>
      </w:r>
      <w:proofErr w:type="spellEnd"/>
      <w:r w:rsidRPr="00B976F3">
        <w:t xml:space="preserve">, Van </w:t>
      </w:r>
      <w:proofErr w:type="spellStart"/>
      <w:r w:rsidRPr="00B976F3">
        <w:t>Soom</w:t>
      </w:r>
      <w:proofErr w:type="spellEnd"/>
      <w:r w:rsidRPr="00B976F3">
        <w:t xml:space="preserve">, </w:t>
      </w:r>
      <w:proofErr w:type="spellStart"/>
      <w:r w:rsidRPr="00B976F3">
        <w:t>Peeters</w:t>
      </w:r>
      <w:proofErr w:type="spellEnd"/>
      <w:r w:rsidRPr="00B976F3">
        <w:t xml:space="preserve">, De </w:t>
      </w:r>
      <w:proofErr w:type="spellStart"/>
      <w:r w:rsidRPr="00B976F3">
        <w:t>Laet</w:t>
      </w:r>
      <w:proofErr w:type="spellEnd"/>
      <w:r w:rsidRPr="00B976F3">
        <w:t xml:space="preserve">, </w:t>
      </w:r>
      <w:r w:rsidR="00921CDC">
        <w:t>&amp;</w:t>
      </w:r>
      <w:r w:rsidRPr="00B976F3">
        <w:t xml:space="preserve"> </w:t>
      </w:r>
      <w:proofErr w:type="spellStart"/>
      <w:r w:rsidRPr="00B976F3">
        <w:t>Langie</w:t>
      </w:r>
      <w:proofErr w:type="spellEnd"/>
      <w:r w:rsidRPr="00B976F3">
        <w:t xml:space="preserve"> (2017). Motivasyonu yüksek olan öğrenciler, yıllar geçtikçe STEM alanlarına katılımlarını sürdürürken, motivasyonu düşük öğrenciler zamanla daha fazla ayrılma eğilimindedir (</w:t>
      </w:r>
      <w:proofErr w:type="spellStart"/>
      <w:r w:rsidRPr="00B976F3">
        <w:t>Skinner</w:t>
      </w:r>
      <w:proofErr w:type="spellEnd"/>
      <w:r w:rsidRPr="00B976F3">
        <w:t xml:space="preserve">, </w:t>
      </w:r>
      <w:proofErr w:type="spellStart"/>
      <w:r w:rsidRPr="00B976F3">
        <w:t>Furrer</w:t>
      </w:r>
      <w:proofErr w:type="spellEnd"/>
      <w:r w:rsidRPr="00B976F3">
        <w:t xml:space="preserve">, </w:t>
      </w:r>
      <w:proofErr w:type="spellStart"/>
      <w:r w:rsidRPr="00B976F3">
        <w:t>Marchand</w:t>
      </w:r>
      <w:proofErr w:type="spellEnd"/>
      <w:r w:rsidRPr="00B976F3">
        <w:t xml:space="preserve"> </w:t>
      </w:r>
      <w:r w:rsidR="00921CDC">
        <w:t>&amp;</w:t>
      </w:r>
      <w:r w:rsidRPr="00B976F3">
        <w:t xml:space="preserve"> </w:t>
      </w:r>
      <w:proofErr w:type="spellStart"/>
      <w:r w:rsidRPr="00B976F3">
        <w:t>Kindermann</w:t>
      </w:r>
      <w:proofErr w:type="spellEnd"/>
      <w:r w:rsidRPr="00B976F3">
        <w:t xml:space="preserve">, 2008). Öğrencilerin </w:t>
      </w:r>
      <w:proofErr w:type="spellStart"/>
      <w:r w:rsidRPr="00B976F3">
        <w:t>STEM'e</w:t>
      </w:r>
      <w:proofErr w:type="spellEnd"/>
      <w:r w:rsidRPr="00B976F3">
        <w:t xml:space="preserve"> </w:t>
      </w:r>
      <w:r w:rsidR="003070B9">
        <w:t xml:space="preserve">yönelik </w:t>
      </w:r>
      <w:r w:rsidRPr="00B976F3">
        <w:t>motivasyonlarını</w:t>
      </w:r>
      <w:r w:rsidR="003070B9">
        <w:t xml:space="preserve">n </w:t>
      </w:r>
      <w:r w:rsidR="004B4864">
        <w:t>belirlenmesi</w:t>
      </w:r>
      <w:r w:rsidR="003070B9">
        <w:t xml:space="preserve"> ve motivasyonlarının devamının izlenmesi</w:t>
      </w:r>
      <w:r w:rsidRPr="00B976F3">
        <w:t xml:space="preserve"> </w:t>
      </w:r>
      <w:r w:rsidR="003070B9">
        <w:t>STEM alanlarında başarılarını açıklamada önemli bir faktör olarak</w:t>
      </w:r>
      <w:r w:rsidR="004B4864">
        <w:t xml:space="preserve"> görülebilir.</w:t>
      </w:r>
      <w:r w:rsidR="003070B9">
        <w:t xml:space="preserve"> </w:t>
      </w:r>
      <w:proofErr w:type="spellStart"/>
      <w:r w:rsidR="003070B9" w:rsidRPr="003070B9">
        <w:t>Maehr'e</w:t>
      </w:r>
      <w:proofErr w:type="spellEnd"/>
      <w:r w:rsidR="003070B9" w:rsidRPr="003070B9">
        <w:t xml:space="preserve"> göre </w:t>
      </w:r>
      <w:r w:rsidR="004B4864">
        <w:t>devam eden motivasyon</w:t>
      </w:r>
      <w:r w:rsidR="003070B9" w:rsidRPr="003070B9">
        <w:t xml:space="preserve">, (1) sonraki bir göreve (veya görev alanına) dönme; (2) </w:t>
      </w:r>
      <w:r w:rsidR="003070B9" w:rsidRPr="003070B9">
        <w:lastRenderedPageBreak/>
        <w:t>benzer veya değişen durumlar</w:t>
      </w:r>
      <w:r w:rsidR="004B4864">
        <w:t>a uyum</w:t>
      </w:r>
      <w:r w:rsidR="003070B9" w:rsidRPr="003070B9">
        <w:t xml:space="preserve">; (3) </w:t>
      </w:r>
      <w:r w:rsidR="00266DD8">
        <w:t>herhangi</w:t>
      </w:r>
      <w:r w:rsidR="004B4864">
        <w:t xml:space="preserve"> bir dış</w:t>
      </w:r>
      <w:r w:rsidR="003070B9" w:rsidRPr="003070B9">
        <w:t xml:space="preserve"> </w:t>
      </w:r>
      <w:r w:rsidR="004B4864">
        <w:t>etki</w:t>
      </w:r>
      <w:r w:rsidR="003070B9" w:rsidRPr="003070B9">
        <w:t xml:space="preserve"> </w:t>
      </w:r>
      <w:r w:rsidR="00C2260B" w:rsidRPr="003070B9">
        <w:t>olmadan</w:t>
      </w:r>
      <w:r w:rsidR="003070B9" w:rsidRPr="003070B9">
        <w:t xml:space="preserve"> ve (4) başka davranış alternatifleri mevcut olduğunda</w:t>
      </w:r>
      <w:r w:rsidR="004B4864">
        <w:t xml:space="preserve"> ortaya çıkan </w:t>
      </w:r>
      <w:r w:rsidR="004B4864" w:rsidRPr="003070B9">
        <w:t>bir dizi davranış örüntüsüdür</w:t>
      </w:r>
      <w:r w:rsidR="004B4864">
        <w:t xml:space="preserve">. </w:t>
      </w:r>
      <w:r w:rsidR="004B4864" w:rsidRPr="004B4864">
        <w:t xml:space="preserve">Örneğin, otomobillerden etkilenen bir öğrenci, otomobiller hakkındaki dergileri okumayı, motorlar hakkında bilgi almak için internette arama yapmayı, araba modelleri satın almayı ve inşa etmeyi veya ilgili bir kulübe katılmayı aktif olarak seçebilir </w:t>
      </w:r>
      <w:r w:rsidR="004B4864">
        <w:t>(</w:t>
      </w:r>
      <w:proofErr w:type="spellStart"/>
      <w:r w:rsidR="004B4864" w:rsidRPr="004B4864">
        <w:t>Luo</w:t>
      </w:r>
      <w:proofErr w:type="spellEnd"/>
      <w:r w:rsidR="004B4864" w:rsidRPr="004B4864">
        <w:t xml:space="preserve">, </w:t>
      </w:r>
      <w:proofErr w:type="spellStart"/>
      <w:r w:rsidR="004B4864" w:rsidRPr="004B4864">
        <w:t>Wang</w:t>
      </w:r>
      <w:proofErr w:type="spellEnd"/>
      <w:r w:rsidR="004B4864" w:rsidRPr="004B4864">
        <w:t xml:space="preserve">, </w:t>
      </w:r>
      <w:proofErr w:type="spellStart"/>
      <w:r w:rsidR="004B4864" w:rsidRPr="004B4864">
        <w:t>Liu</w:t>
      </w:r>
      <w:proofErr w:type="spellEnd"/>
      <w:r w:rsidR="004B4864" w:rsidRPr="004B4864">
        <w:t xml:space="preserve"> </w:t>
      </w:r>
      <w:r w:rsidR="004B4864">
        <w:t>&amp;</w:t>
      </w:r>
      <w:r w:rsidR="004B4864" w:rsidRPr="004B4864">
        <w:t xml:space="preserve"> </w:t>
      </w:r>
      <w:proofErr w:type="spellStart"/>
      <w:r w:rsidR="004B4864" w:rsidRPr="004B4864">
        <w:t>Zhou</w:t>
      </w:r>
      <w:proofErr w:type="spellEnd"/>
      <w:r w:rsidR="004B4864">
        <w:t xml:space="preserve">, </w:t>
      </w:r>
      <w:r w:rsidR="004B4864" w:rsidRPr="004B4864">
        <w:t>2019).</w:t>
      </w:r>
      <w:r w:rsidR="004B4864">
        <w:t xml:space="preserve"> Dolayısıyla öğrencilerin </w:t>
      </w:r>
      <w:proofErr w:type="spellStart"/>
      <w:r w:rsidR="004B4864">
        <w:t>STEM</w:t>
      </w:r>
      <w:r w:rsidR="009A7DDC">
        <w:t>’e</w:t>
      </w:r>
      <w:proofErr w:type="spellEnd"/>
      <w:r w:rsidR="009A7DDC">
        <w:t xml:space="preserve"> yönelik</w:t>
      </w:r>
      <w:r w:rsidR="004B4864">
        <w:t xml:space="preserve"> devam eden motivasyon</w:t>
      </w:r>
      <w:r w:rsidR="004B4864" w:rsidRPr="004B4864">
        <w:t>, öğrencilerin STEM faaliyetlerindeki</w:t>
      </w:r>
      <w:r w:rsidR="004B4864">
        <w:t>ndeki</w:t>
      </w:r>
      <w:r w:rsidR="004B4864" w:rsidRPr="004B4864">
        <w:t xml:space="preserve"> </w:t>
      </w:r>
      <w:r w:rsidR="001707BF">
        <w:t>rollerini</w:t>
      </w:r>
      <w:r w:rsidR="004B4864" w:rsidRPr="004B4864">
        <w:t xml:space="preserve"> yansıtan</w:t>
      </w:r>
      <w:r w:rsidR="009A7DDC">
        <w:t xml:space="preserve">, </w:t>
      </w:r>
      <w:r w:rsidR="004B4864" w:rsidRPr="004B4864">
        <w:t>ömür boyu STEM öğrenimlerini sürdürülmesine yardımcı olabilecek</w:t>
      </w:r>
      <w:r w:rsidR="001707BF">
        <w:t xml:space="preserve">, STEM alanlarında </w:t>
      </w:r>
      <w:r w:rsidR="004B4864" w:rsidRPr="004B4864">
        <w:t xml:space="preserve">seçimler </w:t>
      </w:r>
      <w:r w:rsidR="009A7DDC">
        <w:t>yapmasına ve</w:t>
      </w:r>
      <w:r w:rsidR="004B4864" w:rsidRPr="004B4864">
        <w:t xml:space="preserve"> STEM ile ilgili faaliyetlere aktif katılım</w:t>
      </w:r>
      <w:r w:rsidR="009A7DDC">
        <w:t xml:space="preserve"> sağlaması ile</w:t>
      </w:r>
      <w:r w:rsidR="004B4864" w:rsidRPr="004B4864">
        <w:t xml:space="preserve"> ilgili</w:t>
      </w:r>
      <w:r w:rsidR="001707BF">
        <w:t xml:space="preserve"> bir süreçtir.</w:t>
      </w:r>
      <w:r w:rsidR="009A7DDC" w:rsidRPr="009A7DDC">
        <w:t xml:space="preserve"> Sürekli motivasyon, genel motivasyon anlayışı ile </w:t>
      </w:r>
      <w:r w:rsidR="009A7DDC">
        <w:t xml:space="preserve">birebir aynı </w:t>
      </w:r>
      <w:r w:rsidR="009A7DDC" w:rsidRPr="009A7DDC">
        <w:t>değil</w:t>
      </w:r>
      <w:r w:rsidR="009A7DDC">
        <w:t>dir</w:t>
      </w:r>
      <w:r w:rsidR="009A7DDC" w:rsidRPr="009A7DDC">
        <w:t xml:space="preserve">, motivasyonun aktif davranış sergisi olarak düşünülmelidir. Dışsal ödül veya kontrol güdüsünden bağımsız, bireyin bir davranışı </w:t>
      </w:r>
      <w:r w:rsidR="009A7DDC">
        <w:t xml:space="preserve">göstermeye karşı </w:t>
      </w:r>
      <w:r w:rsidR="009A7DDC" w:rsidRPr="009A7DDC">
        <w:t>içsel motivasyonla ilgilidir (</w:t>
      </w:r>
      <w:proofErr w:type="spellStart"/>
      <w:r w:rsidR="009A7DDC" w:rsidRPr="009A7DDC">
        <w:t>Deci</w:t>
      </w:r>
      <w:proofErr w:type="spellEnd"/>
      <w:r w:rsidR="009A7DDC" w:rsidRPr="009A7DDC">
        <w:t xml:space="preserve"> ve </w:t>
      </w:r>
      <w:proofErr w:type="spellStart"/>
      <w:r w:rsidR="009A7DDC" w:rsidRPr="009A7DDC">
        <w:t>Ryan</w:t>
      </w:r>
      <w:proofErr w:type="spellEnd"/>
      <w:r w:rsidR="009A7DDC" w:rsidRPr="009A7DDC">
        <w:t>, 1985). STEM</w:t>
      </w:r>
      <w:r w:rsidR="009A7DDC">
        <w:t xml:space="preserve"> eğitiminde devam eden motivasyon</w:t>
      </w:r>
      <w:r w:rsidR="009A7DDC" w:rsidRPr="009A7DDC">
        <w:t>, bireyin görünür dış baskısı olmadan ve diğer davranışlar isteğe bağlı olduğunda, aynı veya değişken bağlamlarda dış kısıtlamalardan bağımsız olarak STEM ile ilgili belirli görevlere tekrar tekrar geri döndüğü davranış biçimleri olarak tanımlanır.</w:t>
      </w:r>
    </w:p>
    <w:p w:rsidR="00451A8E" w:rsidRDefault="00B976F3" w:rsidP="00604FE0">
      <w:pPr>
        <w:spacing w:line="360" w:lineRule="auto"/>
        <w:ind w:firstLine="709"/>
        <w:jc w:val="both"/>
      </w:pPr>
      <w:r w:rsidRPr="00B976F3">
        <w:t xml:space="preserve">Ancak her yeni kavram beraberinde o kavramın nasıl ölçüleceği konusunda bir tartışma getirir. </w:t>
      </w:r>
      <w:r w:rsidR="009A7DDC">
        <w:t>Ülkemiz bağlamında l</w:t>
      </w:r>
      <w:r w:rsidRPr="00B976F3">
        <w:t xml:space="preserve">iteratüründe </w:t>
      </w:r>
      <w:r w:rsidR="00C2260B">
        <w:t xml:space="preserve">devam eden </w:t>
      </w:r>
      <w:r w:rsidRPr="00B976F3">
        <w:t>STEM motivasyon ile ilgili çalışma bulunmaması</w:t>
      </w:r>
      <w:r w:rsidR="009A7DDC">
        <w:t>;</w:t>
      </w:r>
      <w:r w:rsidRPr="00B976F3">
        <w:t xml:space="preserve"> özellikle öğrencilerin STEM motivasyonlarının araştırılması için bir ölçek uyarlama çalışması</w:t>
      </w:r>
      <w:r w:rsidR="009A7DDC">
        <w:t>nın</w:t>
      </w:r>
      <w:r w:rsidRPr="00B976F3">
        <w:t xml:space="preserve"> </w:t>
      </w:r>
      <w:proofErr w:type="spellStart"/>
      <w:r w:rsidR="009A7DDC">
        <w:t>alanyazına</w:t>
      </w:r>
      <w:proofErr w:type="spellEnd"/>
      <w:r w:rsidR="009A7DDC">
        <w:t xml:space="preserve"> ve bu alanda yapılacak araştırmalara</w:t>
      </w:r>
      <w:r w:rsidRPr="00B976F3">
        <w:t xml:space="preserve"> katkı sağlayacağı düşünülmektedir. Bu araştırmanın amacı</w:t>
      </w:r>
      <w:r w:rsidR="0023324F">
        <w:t>,</w:t>
      </w:r>
      <w:r w:rsidRPr="00B976F3">
        <w:t xml:space="preserve"> </w:t>
      </w:r>
      <w:proofErr w:type="spellStart"/>
      <w:r w:rsidRPr="00B976F3">
        <w:t>Luo</w:t>
      </w:r>
      <w:proofErr w:type="spellEnd"/>
      <w:r w:rsidRPr="00B976F3">
        <w:t xml:space="preserve">, </w:t>
      </w:r>
      <w:proofErr w:type="spellStart"/>
      <w:r w:rsidRPr="00B976F3">
        <w:t>Wang</w:t>
      </w:r>
      <w:proofErr w:type="spellEnd"/>
      <w:r w:rsidRPr="00B976F3">
        <w:t xml:space="preserve">, </w:t>
      </w:r>
      <w:proofErr w:type="spellStart"/>
      <w:r w:rsidRPr="00B976F3">
        <w:t>Liu</w:t>
      </w:r>
      <w:proofErr w:type="spellEnd"/>
      <w:r>
        <w:t xml:space="preserve"> </w:t>
      </w:r>
      <w:r w:rsidR="00382C89">
        <w:t>ve</w:t>
      </w:r>
      <w:r w:rsidRPr="00B976F3">
        <w:t xml:space="preserve"> </w:t>
      </w:r>
      <w:proofErr w:type="spellStart"/>
      <w:r w:rsidRPr="00B976F3">
        <w:t>Zhou</w:t>
      </w:r>
      <w:proofErr w:type="spellEnd"/>
      <w:r>
        <w:t xml:space="preserve"> </w:t>
      </w:r>
      <w:r w:rsidRPr="00B976F3">
        <w:t xml:space="preserve">(2019) tarafından geliştirilen </w:t>
      </w:r>
      <w:r w:rsidR="00C2260B">
        <w:t xml:space="preserve">devam eden </w:t>
      </w:r>
      <w:r w:rsidRPr="00B976F3">
        <w:t>STEM motivasyon ölçeğinin Türkçeye uyarlanmasını yaparak geçerlik ve güvenirlik çalışmasını yapmaktır.</w:t>
      </w:r>
      <w:bookmarkEnd w:id="1"/>
    </w:p>
    <w:p w:rsidR="009A7DDC" w:rsidRPr="00604FE0" w:rsidRDefault="009A7DDC" w:rsidP="00604FE0">
      <w:pPr>
        <w:spacing w:line="360" w:lineRule="auto"/>
        <w:ind w:firstLine="709"/>
        <w:jc w:val="both"/>
      </w:pPr>
    </w:p>
    <w:p w:rsidR="00451A8E" w:rsidRPr="0071000C" w:rsidRDefault="00451A8E" w:rsidP="00B756D3">
      <w:pPr>
        <w:autoSpaceDE w:val="0"/>
        <w:autoSpaceDN w:val="0"/>
        <w:adjustRightInd w:val="0"/>
        <w:spacing w:line="360" w:lineRule="auto"/>
        <w:jc w:val="center"/>
        <w:rPr>
          <w:b/>
        </w:rPr>
      </w:pPr>
      <w:r w:rsidRPr="00C01A9F">
        <w:rPr>
          <w:b/>
        </w:rPr>
        <w:t>Y</w:t>
      </w:r>
      <w:r w:rsidR="00990694">
        <w:rPr>
          <w:b/>
        </w:rPr>
        <w:t>öntem</w:t>
      </w:r>
    </w:p>
    <w:p w:rsidR="00604FE0" w:rsidRDefault="00B976F3" w:rsidP="00604FE0">
      <w:pPr>
        <w:autoSpaceDE w:val="0"/>
        <w:autoSpaceDN w:val="0"/>
        <w:adjustRightInd w:val="0"/>
        <w:spacing w:line="360" w:lineRule="auto"/>
        <w:ind w:firstLine="709"/>
        <w:jc w:val="both"/>
        <w:rPr>
          <w:b/>
          <w:color w:val="000000"/>
          <w:lang w:eastAsia="tr-TR"/>
        </w:rPr>
      </w:pPr>
      <w:r w:rsidRPr="00B976F3">
        <w:rPr>
          <w:color w:val="000000"/>
          <w:lang w:eastAsia="tr-TR"/>
        </w:rPr>
        <w:t xml:space="preserve">Bu bölümde araştırmanın örneklemi, ölçme aracı ve verilerin analizine </w:t>
      </w:r>
      <w:r w:rsidR="00604FE0" w:rsidRPr="00B976F3">
        <w:rPr>
          <w:color w:val="000000"/>
          <w:lang w:eastAsia="tr-TR"/>
        </w:rPr>
        <w:t>yer</w:t>
      </w:r>
      <w:r w:rsidR="00604FE0">
        <w:rPr>
          <w:color w:val="000000"/>
          <w:lang w:eastAsia="tr-TR"/>
        </w:rPr>
        <w:t xml:space="preserve"> verilmiştir</w:t>
      </w:r>
      <w:r w:rsidRPr="00B976F3">
        <w:rPr>
          <w:color w:val="000000"/>
          <w:lang w:eastAsia="tr-TR"/>
        </w:rPr>
        <w:t>.</w:t>
      </w:r>
      <w:r w:rsidRPr="00B976F3">
        <w:rPr>
          <w:color w:val="000000"/>
          <w:lang w:eastAsia="tr-TR"/>
        </w:rPr>
        <w:br/>
      </w:r>
    </w:p>
    <w:p w:rsidR="00B976F3" w:rsidRPr="00B976F3" w:rsidRDefault="00B976F3" w:rsidP="00604FE0">
      <w:pPr>
        <w:autoSpaceDE w:val="0"/>
        <w:autoSpaceDN w:val="0"/>
        <w:adjustRightInd w:val="0"/>
        <w:spacing w:line="360" w:lineRule="auto"/>
        <w:ind w:firstLine="709"/>
        <w:jc w:val="both"/>
        <w:rPr>
          <w:color w:val="000000"/>
          <w:lang w:eastAsia="tr-TR"/>
        </w:rPr>
      </w:pPr>
      <w:r w:rsidRPr="00B976F3">
        <w:rPr>
          <w:b/>
          <w:color w:val="000000"/>
          <w:lang w:eastAsia="tr-TR"/>
        </w:rPr>
        <w:t>Evren ve Örneklem</w:t>
      </w:r>
    </w:p>
    <w:p w:rsidR="00B976F3" w:rsidRPr="00B976F3" w:rsidRDefault="00B976F3" w:rsidP="00AD3FDA">
      <w:pPr>
        <w:autoSpaceDE w:val="0"/>
        <w:autoSpaceDN w:val="0"/>
        <w:adjustRightInd w:val="0"/>
        <w:spacing w:line="360" w:lineRule="auto"/>
        <w:ind w:firstLine="709"/>
        <w:jc w:val="both"/>
        <w:rPr>
          <w:color w:val="000000"/>
          <w:lang w:eastAsia="tr-TR"/>
        </w:rPr>
      </w:pPr>
      <w:r w:rsidRPr="00B976F3">
        <w:rPr>
          <w:color w:val="000000"/>
          <w:lang w:eastAsia="tr-TR"/>
        </w:rPr>
        <w:t xml:space="preserve">Bu çalışmanın örneklemini Muş ilinde merkez, ilçe ve köy okulları oluşturmaktadır. </w:t>
      </w:r>
      <w:r w:rsidR="00AD3FDA" w:rsidRPr="00AD3FDA">
        <w:rPr>
          <w:color w:val="000000"/>
          <w:lang w:eastAsia="tr-TR"/>
        </w:rPr>
        <w:t xml:space="preserve">Muş’un merkez ilçelerinin nüfuslarına oranla belirlenen örneklem yaşa göre dağılım gösterecek şekilde seçilmiştir. </w:t>
      </w:r>
      <w:r w:rsidRPr="00B976F3">
        <w:rPr>
          <w:color w:val="000000"/>
          <w:lang w:eastAsia="tr-TR"/>
        </w:rPr>
        <w:t xml:space="preserve">Örneklemin seçiminde kolay ulaşılabilir </w:t>
      </w:r>
      <w:r w:rsidRPr="00B976F3">
        <w:rPr>
          <w:color w:val="000000"/>
          <w:lang w:eastAsia="tr-TR"/>
        </w:rPr>
        <w:lastRenderedPageBreak/>
        <w:t xml:space="preserve">olması nedeniyle </w:t>
      </w:r>
      <w:r w:rsidR="00AD3FDA">
        <w:rPr>
          <w:color w:val="000000"/>
          <w:lang w:eastAsia="tr-TR"/>
        </w:rPr>
        <w:t>tabakalı</w:t>
      </w:r>
      <w:r w:rsidRPr="00B976F3">
        <w:rPr>
          <w:color w:val="000000"/>
          <w:lang w:eastAsia="tr-TR"/>
        </w:rPr>
        <w:t xml:space="preserve"> örneklem grubu ile çalışma yürütülmüştür. </w:t>
      </w:r>
      <w:r w:rsidR="00AD3FDA" w:rsidRPr="00AD3FDA">
        <w:rPr>
          <w:color w:val="000000"/>
          <w:lang w:eastAsia="tr-TR"/>
        </w:rPr>
        <w:t>Bu örnekleme yöntemi, basit tesadüfî örneklemeye</w:t>
      </w:r>
      <w:r w:rsidR="00AD3FDA">
        <w:rPr>
          <w:color w:val="000000"/>
          <w:lang w:eastAsia="tr-TR"/>
        </w:rPr>
        <w:t xml:space="preserve"> </w:t>
      </w:r>
      <w:r w:rsidR="00AD3FDA" w:rsidRPr="00AD3FDA">
        <w:rPr>
          <w:color w:val="000000"/>
          <w:lang w:eastAsia="tr-TR"/>
        </w:rPr>
        <w:t>oranla daha küçük bir örneklem grubu ve daha düşük bir maliyetle, evreni daha</w:t>
      </w:r>
      <w:r w:rsidR="00AD3FDA">
        <w:rPr>
          <w:color w:val="000000"/>
          <w:lang w:eastAsia="tr-TR"/>
        </w:rPr>
        <w:t xml:space="preserve"> </w:t>
      </w:r>
      <w:r w:rsidR="00AD3FDA" w:rsidRPr="00AD3FDA">
        <w:rPr>
          <w:color w:val="000000"/>
          <w:lang w:eastAsia="tr-TR"/>
        </w:rPr>
        <w:t>yüksek derecede temsil etme olanağı sağlamaktadır (</w:t>
      </w:r>
      <w:proofErr w:type="spellStart"/>
      <w:r w:rsidR="00AD3FDA" w:rsidRPr="00AD3FDA">
        <w:rPr>
          <w:color w:val="000000"/>
          <w:lang w:eastAsia="tr-TR"/>
        </w:rPr>
        <w:t>Neuman</w:t>
      </w:r>
      <w:proofErr w:type="spellEnd"/>
      <w:r w:rsidR="00AD3FDA" w:rsidRPr="00AD3FDA">
        <w:rPr>
          <w:color w:val="000000"/>
          <w:lang w:eastAsia="tr-TR"/>
        </w:rPr>
        <w:t xml:space="preserve"> &amp; </w:t>
      </w:r>
      <w:proofErr w:type="spellStart"/>
      <w:r w:rsidR="00AD3FDA" w:rsidRPr="00AD3FDA">
        <w:rPr>
          <w:color w:val="000000"/>
          <w:lang w:eastAsia="tr-TR"/>
        </w:rPr>
        <w:t>Robson</w:t>
      </w:r>
      <w:proofErr w:type="spellEnd"/>
      <w:r w:rsidR="00AD3FDA" w:rsidRPr="00AD3FDA">
        <w:rPr>
          <w:color w:val="000000"/>
          <w:lang w:eastAsia="tr-TR"/>
        </w:rPr>
        <w:t xml:space="preserve">, 2014). </w:t>
      </w:r>
      <w:r w:rsidRPr="00B976F3">
        <w:rPr>
          <w:color w:val="000000"/>
          <w:lang w:eastAsia="tr-TR"/>
        </w:rPr>
        <w:t xml:space="preserve">Araştırmanın uygulanması için </w:t>
      </w:r>
      <w:r w:rsidR="00487668" w:rsidRPr="00B976F3">
        <w:rPr>
          <w:color w:val="000000"/>
          <w:lang w:eastAsia="tr-TR"/>
        </w:rPr>
        <w:t xml:space="preserve">İl Milli Eğitim Müdürlüğünden </w:t>
      </w:r>
      <w:r w:rsidRPr="00B976F3">
        <w:rPr>
          <w:color w:val="000000"/>
          <w:lang w:eastAsia="tr-TR"/>
        </w:rPr>
        <w:t xml:space="preserve">gerekli izinler alınmıştır. </w:t>
      </w:r>
      <w:r w:rsidR="000934FD" w:rsidRPr="00B976F3">
        <w:rPr>
          <w:color w:val="000000"/>
          <w:lang w:eastAsia="tr-TR"/>
        </w:rPr>
        <w:t>Orijinal</w:t>
      </w:r>
      <w:r w:rsidRPr="00B976F3">
        <w:rPr>
          <w:color w:val="000000"/>
          <w:lang w:eastAsia="tr-TR"/>
        </w:rPr>
        <w:t xml:space="preserve"> ölçek ortaokul öğrencilerine uygulandığından dolayı, ölçme aracı 5.,6.,7. ve 8. </w:t>
      </w:r>
      <w:r w:rsidR="00487668">
        <w:rPr>
          <w:color w:val="000000"/>
          <w:lang w:eastAsia="tr-TR"/>
        </w:rPr>
        <w:t>s</w:t>
      </w:r>
      <w:r w:rsidRPr="00B976F3">
        <w:rPr>
          <w:color w:val="000000"/>
          <w:lang w:eastAsia="tr-TR"/>
        </w:rPr>
        <w:t>ınıf öğrencilerine uygulanmıştır. Tablo 1.de görüldüğü üzere ölçme aracı 810 öğrenciye uygulanmıştır. Bu öğrencilerden 438 (%54,1) kız, 372 (%45,9) ‘si erkek öğrencidir. Katılımcı</w:t>
      </w:r>
      <w:r w:rsidR="00604FE0">
        <w:rPr>
          <w:color w:val="000000"/>
          <w:lang w:eastAsia="tr-TR"/>
        </w:rPr>
        <w:t xml:space="preserve">ların </w:t>
      </w:r>
      <w:r w:rsidRPr="00B976F3">
        <w:rPr>
          <w:color w:val="000000"/>
          <w:lang w:eastAsia="tr-TR"/>
        </w:rPr>
        <w:t>%8 ‘i 66 5. sınıf öğrencileri, %25 ‘i 210 6. sınıf öğrencileri, %20 ‘si 169 7. sınıf öğrencileri, %45 ‘i 365 8. sınıf öğrencisidir.</w:t>
      </w:r>
    </w:p>
    <w:p w:rsidR="00B976F3" w:rsidRPr="00990694" w:rsidRDefault="00B976F3" w:rsidP="00382C89">
      <w:pPr>
        <w:autoSpaceDE w:val="0"/>
        <w:autoSpaceDN w:val="0"/>
        <w:adjustRightInd w:val="0"/>
        <w:spacing w:line="360" w:lineRule="auto"/>
        <w:jc w:val="center"/>
        <w:rPr>
          <w:color w:val="000000"/>
          <w:lang w:eastAsia="tr-TR"/>
        </w:rPr>
      </w:pPr>
      <w:r w:rsidRPr="00953BEA">
        <w:rPr>
          <w:b/>
          <w:bCs/>
          <w:color w:val="000000"/>
          <w:lang w:eastAsia="tr-TR"/>
        </w:rPr>
        <w:t>Tablo 1.</w:t>
      </w:r>
      <w:r w:rsidRPr="00990694">
        <w:rPr>
          <w:color w:val="000000"/>
          <w:lang w:eastAsia="tr-TR"/>
        </w:rPr>
        <w:t xml:space="preserve"> Katılımcıların sınıf ve cinsiyete göre dağılımı</w:t>
      </w:r>
    </w:p>
    <w:tbl>
      <w:tblPr>
        <w:tblW w:w="0" w:type="auto"/>
        <w:tblBorders>
          <w:top w:val="single" w:sz="4" w:space="0" w:color="auto"/>
          <w:bottom w:val="single" w:sz="4" w:space="0" w:color="auto"/>
          <w:insideH w:val="single" w:sz="4" w:space="0" w:color="auto"/>
        </w:tblBorders>
        <w:tblLook w:val="04A0" w:firstRow="1" w:lastRow="0" w:firstColumn="1" w:lastColumn="0" w:noHBand="0" w:noVBand="1"/>
      </w:tblPr>
      <w:tblGrid>
        <w:gridCol w:w="1140"/>
        <w:gridCol w:w="1228"/>
        <w:gridCol w:w="1227"/>
        <w:gridCol w:w="1227"/>
        <w:gridCol w:w="1227"/>
        <w:gridCol w:w="1228"/>
        <w:gridCol w:w="1228"/>
      </w:tblGrid>
      <w:tr w:rsidR="00B976F3" w:rsidRPr="00B976F3" w:rsidTr="00A277BA">
        <w:trPr>
          <w:trHeight w:val="225"/>
        </w:trPr>
        <w:tc>
          <w:tcPr>
            <w:tcW w:w="1296" w:type="dxa"/>
            <w:tcBorders>
              <w:right w:val="nil"/>
            </w:tcBorders>
            <w:shd w:val="clear" w:color="auto" w:fill="auto"/>
          </w:tcPr>
          <w:p w:rsidR="00B976F3" w:rsidRPr="00B976F3" w:rsidRDefault="00B976F3" w:rsidP="00382C89">
            <w:pPr>
              <w:autoSpaceDE w:val="0"/>
              <w:autoSpaceDN w:val="0"/>
              <w:adjustRightInd w:val="0"/>
              <w:spacing w:before="100" w:beforeAutospacing="1" w:after="100" w:afterAutospacing="1"/>
              <w:ind w:firstLine="709"/>
              <w:jc w:val="center"/>
              <w:rPr>
                <w:color w:val="000000"/>
                <w:sz w:val="22"/>
                <w:szCs w:val="22"/>
                <w:lang w:eastAsia="tr-TR"/>
              </w:rPr>
            </w:pPr>
            <w:bookmarkStart w:id="4" w:name="_Hlk24880220"/>
          </w:p>
        </w:tc>
        <w:tc>
          <w:tcPr>
            <w:tcW w:w="2592" w:type="dxa"/>
            <w:gridSpan w:val="2"/>
            <w:tcBorders>
              <w:left w:val="nil"/>
              <w:right w:val="nil"/>
            </w:tcBorders>
            <w:shd w:val="clear" w:color="auto" w:fill="auto"/>
          </w:tcPr>
          <w:p w:rsidR="00B976F3" w:rsidRPr="00B976F3" w:rsidRDefault="00B976F3" w:rsidP="00382C89">
            <w:pPr>
              <w:autoSpaceDE w:val="0"/>
              <w:autoSpaceDN w:val="0"/>
              <w:adjustRightInd w:val="0"/>
              <w:spacing w:before="100" w:beforeAutospacing="1" w:after="100" w:afterAutospacing="1"/>
              <w:ind w:firstLine="709"/>
              <w:jc w:val="center"/>
              <w:rPr>
                <w:b/>
                <w:bCs/>
                <w:color w:val="000000"/>
                <w:sz w:val="22"/>
                <w:szCs w:val="22"/>
                <w:lang w:eastAsia="tr-TR"/>
              </w:rPr>
            </w:pPr>
            <w:r w:rsidRPr="00B976F3">
              <w:rPr>
                <w:b/>
                <w:bCs/>
                <w:color w:val="000000"/>
                <w:sz w:val="22"/>
                <w:szCs w:val="22"/>
                <w:lang w:eastAsia="tr-TR"/>
              </w:rPr>
              <w:t>Kız</w:t>
            </w:r>
          </w:p>
        </w:tc>
        <w:tc>
          <w:tcPr>
            <w:tcW w:w="2592" w:type="dxa"/>
            <w:gridSpan w:val="2"/>
            <w:tcBorders>
              <w:left w:val="nil"/>
              <w:right w:val="nil"/>
            </w:tcBorders>
            <w:shd w:val="clear" w:color="auto" w:fill="auto"/>
          </w:tcPr>
          <w:p w:rsidR="00B976F3" w:rsidRPr="00B976F3" w:rsidRDefault="00B976F3" w:rsidP="00382C89">
            <w:pPr>
              <w:autoSpaceDE w:val="0"/>
              <w:autoSpaceDN w:val="0"/>
              <w:adjustRightInd w:val="0"/>
              <w:spacing w:before="100" w:beforeAutospacing="1" w:after="100" w:afterAutospacing="1"/>
              <w:ind w:firstLine="709"/>
              <w:jc w:val="center"/>
              <w:rPr>
                <w:b/>
                <w:bCs/>
                <w:color w:val="000000"/>
                <w:sz w:val="22"/>
                <w:szCs w:val="22"/>
                <w:lang w:eastAsia="tr-TR"/>
              </w:rPr>
            </w:pPr>
            <w:r w:rsidRPr="00B976F3">
              <w:rPr>
                <w:b/>
                <w:bCs/>
                <w:color w:val="000000"/>
                <w:sz w:val="22"/>
                <w:szCs w:val="22"/>
                <w:lang w:eastAsia="tr-TR"/>
              </w:rPr>
              <w:t>Erkek</w:t>
            </w:r>
          </w:p>
        </w:tc>
        <w:tc>
          <w:tcPr>
            <w:tcW w:w="2594" w:type="dxa"/>
            <w:gridSpan w:val="2"/>
            <w:tcBorders>
              <w:left w:val="nil"/>
            </w:tcBorders>
            <w:shd w:val="clear" w:color="auto" w:fill="auto"/>
          </w:tcPr>
          <w:p w:rsidR="00B976F3" w:rsidRPr="00B976F3" w:rsidRDefault="00B976F3" w:rsidP="00382C89">
            <w:pPr>
              <w:autoSpaceDE w:val="0"/>
              <w:autoSpaceDN w:val="0"/>
              <w:adjustRightInd w:val="0"/>
              <w:spacing w:before="100" w:beforeAutospacing="1" w:after="100" w:afterAutospacing="1"/>
              <w:ind w:firstLine="709"/>
              <w:jc w:val="center"/>
              <w:rPr>
                <w:b/>
                <w:bCs/>
                <w:color w:val="000000"/>
                <w:sz w:val="22"/>
                <w:szCs w:val="22"/>
                <w:lang w:eastAsia="tr-TR"/>
              </w:rPr>
            </w:pPr>
            <w:r w:rsidRPr="00B976F3">
              <w:rPr>
                <w:b/>
                <w:bCs/>
                <w:color w:val="000000"/>
                <w:sz w:val="22"/>
                <w:szCs w:val="22"/>
                <w:lang w:eastAsia="tr-TR"/>
              </w:rPr>
              <w:t>Toplam</w:t>
            </w:r>
          </w:p>
        </w:tc>
      </w:tr>
      <w:tr w:rsidR="00B976F3" w:rsidRPr="00B976F3" w:rsidTr="00A277BA">
        <w:trPr>
          <w:trHeight w:val="260"/>
        </w:trPr>
        <w:tc>
          <w:tcPr>
            <w:tcW w:w="1296" w:type="dxa"/>
            <w:tcBorders>
              <w:bottom w:val="single" w:sz="4" w:space="0" w:color="auto"/>
              <w:right w:val="nil"/>
            </w:tcBorders>
            <w:shd w:val="clear" w:color="auto" w:fill="auto"/>
          </w:tcPr>
          <w:p w:rsidR="00B976F3" w:rsidRPr="00B976F3" w:rsidRDefault="00B976F3" w:rsidP="00382C89">
            <w:pPr>
              <w:autoSpaceDE w:val="0"/>
              <w:autoSpaceDN w:val="0"/>
              <w:adjustRightInd w:val="0"/>
              <w:spacing w:before="100" w:beforeAutospacing="1" w:after="100" w:afterAutospacing="1"/>
              <w:jc w:val="center"/>
              <w:rPr>
                <w:b/>
                <w:bCs/>
                <w:color w:val="000000"/>
                <w:sz w:val="22"/>
                <w:szCs w:val="22"/>
                <w:lang w:eastAsia="tr-TR"/>
              </w:rPr>
            </w:pPr>
            <w:r w:rsidRPr="00B976F3">
              <w:rPr>
                <w:b/>
                <w:bCs/>
                <w:color w:val="000000"/>
                <w:sz w:val="22"/>
                <w:szCs w:val="22"/>
                <w:lang w:eastAsia="tr-TR"/>
              </w:rPr>
              <w:t>Sınıf</w:t>
            </w:r>
          </w:p>
        </w:tc>
        <w:tc>
          <w:tcPr>
            <w:tcW w:w="1296" w:type="dxa"/>
            <w:tcBorders>
              <w:left w:val="nil"/>
              <w:bottom w:val="single" w:sz="4" w:space="0" w:color="auto"/>
              <w:right w:val="nil"/>
            </w:tcBorders>
            <w:shd w:val="clear" w:color="auto" w:fill="auto"/>
          </w:tcPr>
          <w:p w:rsidR="00B976F3" w:rsidRPr="00B976F3" w:rsidRDefault="00B976F3" w:rsidP="00382C89">
            <w:pPr>
              <w:autoSpaceDE w:val="0"/>
              <w:autoSpaceDN w:val="0"/>
              <w:adjustRightInd w:val="0"/>
              <w:spacing w:before="100" w:beforeAutospacing="1" w:after="100" w:afterAutospacing="1"/>
              <w:ind w:firstLine="709"/>
              <w:jc w:val="center"/>
              <w:rPr>
                <w:b/>
                <w:bCs/>
                <w:color w:val="000000"/>
                <w:sz w:val="22"/>
                <w:szCs w:val="22"/>
                <w:lang w:eastAsia="tr-TR"/>
              </w:rPr>
            </w:pPr>
            <w:proofErr w:type="gramStart"/>
            <w:r w:rsidRPr="00B976F3">
              <w:rPr>
                <w:b/>
                <w:bCs/>
                <w:color w:val="000000"/>
                <w:sz w:val="22"/>
                <w:szCs w:val="22"/>
                <w:lang w:eastAsia="tr-TR"/>
              </w:rPr>
              <w:t>f</w:t>
            </w:r>
            <w:proofErr w:type="gramEnd"/>
          </w:p>
        </w:tc>
        <w:tc>
          <w:tcPr>
            <w:tcW w:w="1296" w:type="dxa"/>
            <w:tcBorders>
              <w:left w:val="nil"/>
              <w:bottom w:val="single" w:sz="4" w:space="0" w:color="auto"/>
              <w:right w:val="nil"/>
            </w:tcBorders>
            <w:shd w:val="clear" w:color="auto" w:fill="auto"/>
          </w:tcPr>
          <w:p w:rsidR="00B976F3" w:rsidRPr="00B976F3" w:rsidRDefault="00B976F3" w:rsidP="00382C89">
            <w:pPr>
              <w:autoSpaceDE w:val="0"/>
              <w:autoSpaceDN w:val="0"/>
              <w:adjustRightInd w:val="0"/>
              <w:spacing w:before="100" w:beforeAutospacing="1" w:after="100" w:afterAutospacing="1"/>
              <w:ind w:firstLine="709"/>
              <w:jc w:val="center"/>
              <w:rPr>
                <w:b/>
                <w:bCs/>
                <w:color w:val="000000"/>
                <w:sz w:val="22"/>
                <w:szCs w:val="22"/>
                <w:lang w:eastAsia="tr-TR"/>
              </w:rPr>
            </w:pPr>
            <w:r w:rsidRPr="00B976F3">
              <w:rPr>
                <w:b/>
                <w:bCs/>
                <w:color w:val="000000"/>
                <w:sz w:val="22"/>
                <w:szCs w:val="22"/>
                <w:lang w:eastAsia="tr-TR"/>
              </w:rPr>
              <w:t>%</w:t>
            </w:r>
          </w:p>
        </w:tc>
        <w:tc>
          <w:tcPr>
            <w:tcW w:w="1296" w:type="dxa"/>
            <w:tcBorders>
              <w:left w:val="nil"/>
              <w:bottom w:val="single" w:sz="4" w:space="0" w:color="auto"/>
              <w:right w:val="nil"/>
            </w:tcBorders>
            <w:shd w:val="clear" w:color="auto" w:fill="auto"/>
          </w:tcPr>
          <w:p w:rsidR="00B976F3" w:rsidRPr="00B976F3" w:rsidRDefault="00B976F3" w:rsidP="00382C89">
            <w:pPr>
              <w:autoSpaceDE w:val="0"/>
              <w:autoSpaceDN w:val="0"/>
              <w:adjustRightInd w:val="0"/>
              <w:spacing w:before="100" w:beforeAutospacing="1" w:after="100" w:afterAutospacing="1"/>
              <w:ind w:firstLine="709"/>
              <w:jc w:val="center"/>
              <w:rPr>
                <w:b/>
                <w:bCs/>
                <w:color w:val="000000"/>
                <w:sz w:val="22"/>
                <w:szCs w:val="22"/>
                <w:lang w:eastAsia="tr-TR"/>
              </w:rPr>
            </w:pPr>
            <w:proofErr w:type="gramStart"/>
            <w:r w:rsidRPr="00B976F3">
              <w:rPr>
                <w:b/>
                <w:bCs/>
                <w:color w:val="000000"/>
                <w:sz w:val="22"/>
                <w:szCs w:val="22"/>
                <w:lang w:eastAsia="tr-TR"/>
              </w:rPr>
              <w:t>f</w:t>
            </w:r>
            <w:proofErr w:type="gramEnd"/>
          </w:p>
        </w:tc>
        <w:tc>
          <w:tcPr>
            <w:tcW w:w="1296" w:type="dxa"/>
            <w:tcBorders>
              <w:left w:val="nil"/>
              <w:bottom w:val="single" w:sz="4" w:space="0" w:color="auto"/>
              <w:right w:val="nil"/>
            </w:tcBorders>
            <w:shd w:val="clear" w:color="auto" w:fill="auto"/>
          </w:tcPr>
          <w:p w:rsidR="00B976F3" w:rsidRPr="00B976F3" w:rsidRDefault="00B976F3" w:rsidP="00382C89">
            <w:pPr>
              <w:autoSpaceDE w:val="0"/>
              <w:autoSpaceDN w:val="0"/>
              <w:adjustRightInd w:val="0"/>
              <w:spacing w:before="100" w:beforeAutospacing="1" w:after="100" w:afterAutospacing="1"/>
              <w:ind w:firstLine="709"/>
              <w:jc w:val="center"/>
              <w:rPr>
                <w:b/>
                <w:bCs/>
                <w:color w:val="000000"/>
                <w:sz w:val="22"/>
                <w:szCs w:val="22"/>
                <w:lang w:eastAsia="tr-TR"/>
              </w:rPr>
            </w:pPr>
            <w:r w:rsidRPr="00B976F3">
              <w:rPr>
                <w:b/>
                <w:bCs/>
                <w:color w:val="000000"/>
                <w:sz w:val="22"/>
                <w:szCs w:val="22"/>
                <w:lang w:eastAsia="tr-TR"/>
              </w:rPr>
              <w:t>%</w:t>
            </w:r>
          </w:p>
        </w:tc>
        <w:tc>
          <w:tcPr>
            <w:tcW w:w="1297" w:type="dxa"/>
            <w:tcBorders>
              <w:left w:val="nil"/>
              <w:bottom w:val="single" w:sz="4" w:space="0" w:color="auto"/>
              <w:right w:val="nil"/>
            </w:tcBorders>
            <w:shd w:val="clear" w:color="auto" w:fill="auto"/>
          </w:tcPr>
          <w:p w:rsidR="00B976F3" w:rsidRPr="00B976F3" w:rsidRDefault="00B976F3" w:rsidP="00382C89">
            <w:pPr>
              <w:autoSpaceDE w:val="0"/>
              <w:autoSpaceDN w:val="0"/>
              <w:adjustRightInd w:val="0"/>
              <w:spacing w:before="100" w:beforeAutospacing="1" w:after="100" w:afterAutospacing="1"/>
              <w:ind w:firstLine="709"/>
              <w:jc w:val="center"/>
              <w:rPr>
                <w:b/>
                <w:bCs/>
                <w:color w:val="000000"/>
                <w:sz w:val="22"/>
                <w:szCs w:val="22"/>
                <w:lang w:eastAsia="tr-TR"/>
              </w:rPr>
            </w:pPr>
            <w:proofErr w:type="gramStart"/>
            <w:r w:rsidRPr="00B976F3">
              <w:rPr>
                <w:b/>
                <w:bCs/>
                <w:color w:val="000000"/>
                <w:sz w:val="22"/>
                <w:szCs w:val="22"/>
                <w:lang w:eastAsia="tr-TR"/>
              </w:rPr>
              <w:t>f</w:t>
            </w:r>
            <w:proofErr w:type="gramEnd"/>
          </w:p>
        </w:tc>
        <w:tc>
          <w:tcPr>
            <w:tcW w:w="1297" w:type="dxa"/>
            <w:tcBorders>
              <w:left w:val="nil"/>
              <w:bottom w:val="single" w:sz="4" w:space="0" w:color="auto"/>
            </w:tcBorders>
            <w:shd w:val="clear" w:color="auto" w:fill="auto"/>
          </w:tcPr>
          <w:p w:rsidR="00B976F3" w:rsidRPr="00B976F3" w:rsidRDefault="00B976F3" w:rsidP="00382C89">
            <w:pPr>
              <w:autoSpaceDE w:val="0"/>
              <w:autoSpaceDN w:val="0"/>
              <w:adjustRightInd w:val="0"/>
              <w:spacing w:before="100" w:beforeAutospacing="1" w:after="100" w:afterAutospacing="1"/>
              <w:ind w:firstLine="709"/>
              <w:jc w:val="center"/>
              <w:rPr>
                <w:b/>
                <w:bCs/>
                <w:color w:val="000000"/>
                <w:sz w:val="22"/>
                <w:szCs w:val="22"/>
                <w:lang w:eastAsia="tr-TR"/>
              </w:rPr>
            </w:pPr>
            <w:r w:rsidRPr="00B976F3">
              <w:rPr>
                <w:b/>
                <w:bCs/>
                <w:color w:val="000000"/>
                <w:sz w:val="22"/>
                <w:szCs w:val="22"/>
                <w:lang w:eastAsia="tr-TR"/>
              </w:rPr>
              <w:t>%</w:t>
            </w:r>
          </w:p>
        </w:tc>
      </w:tr>
      <w:tr w:rsidR="00B976F3" w:rsidRPr="00B976F3" w:rsidTr="00A277BA">
        <w:tc>
          <w:tcPr>
            <w:tcW w:w="1296" w:type="dxa"/>
            <w:tcBorders>
              <w:bottom w:val="nil"/>
              <w:right w:val="nil"/>
            </w:tcBorders>
            <w:shd w:val="clear" w:color="auto" w:fill="auto"/>
          </w:tcPr>
          <w:p w:rsidR="00B976F3" w:rsidRPr="00B976F3" w:rsidRDefault="00B976F3" w:rsidP="00382C89">
            <w:pPr>
              <w:autoSpaceDE w:val="0"/>
              <w:autoSpaceDN w:val="0"/>
              <w:adjustRightInd w:val="0"/>
              <w:spacing w:before="100" w:beforeAutospacing="1" w:after="100" w:afterAutospacing="1"/>
              <w:jc w:val="center"/>
              <w:rPr>
                <w:b/>
                <w:bCs/>
                <w:color w:val="000000"/>
                <w:sz w:val="22"/>
                <w:szCs w:val="22"/>
                <w:lang w:eastAsia="tr-TR"/>
              </w:rPr>
            </w:pPr>
            <w:r w:rsidRPr="00B976F3">
              <w:rPr>
                <w:b/>
                <w:bCs/>
                <w:color w:val="000000"/>
                <w:sz w:val="22"/>
                <w:szCs w:val="22"/>
                <w:lang w:eastAsia="tr-TR"/>
              </w:rPr>
              <w:t>5.sınıf</w:t>
            </w:r>
          </w:p>
        </w:tc>
        <w:tc>
          <w:tcPr>
            <w:tcW w:w="1296" w:type="dxa"/>
            <w:tcBorders>
              <w:left w:val="nil"/>
              <w:bottom w:val="nil"/>
              <w:right w:val="nil"/>
            </w:tcBorders>
            <w:shd w:val="clear" w:color="auto" w:fill="auto"/>
          </w:tcPr>
          <w:p w:rsidR="00B976F3" w:rsidRPr="00B976F3" w:rsidRDefault="00B976F3" w:rsidP="00382C89">
            <w:pPr>
              <w:autoSpaceDE w:val="0"/>
              <w:autoSpaceDN w:val="0"/>
              <w:adjustRightInd w:val="0"/>
              <w:spacing w:before="100" w:beforeAutospacing="1" w:after="100" w:afterAutospacing="1"/>
              <w:ind w:firstLine="709"/>
              <w:jc w:val="center"/>
              <w:rPr>
                <w:color w:val="000000"/>
                <w:sz w:val="22"/>
                <w:szCs w:val="22"/>
                <w:lang w:eastAsia="tr-TR"/>
              </w:rPr>
            </w:pPr>
            <w:r w:rsidRPr="00B976F3">
              <w:rPr>
                <w:color w:val="000000"/>
                <w:sz w:val="22"/>
                <w:szCs w:val="22"/>
                <w:lang w:eastAsia="tr-TR"/>
              </w:rPr>
              <w:t>36</w:t>
            </w:r>
          </w:p>
        </w:tc>
        <w:tc>
          <w:tcPr>
            <w:tcW w:w="1296" w:type="dxa"/>
            <w:tcBorders>
              <w:left w:val="nil"/>
              <w:bottom w:val="nil"/>
              <w:right w:val="nil"/>
            </w:tcBorders>
            <w:shd w:val="clear" w:color="auto" w:fill="auto"/>
          </w:tcPr>
          <w:p w:rsidR="00B976F3" w:rsidRPr="00B976F3" w:rsidRDefault="00B976F3" w:rsidP="00382C89">
            <w:pPr>
              <w:autoSpaceDE w:val="0"/>
              <w:autoSpaceDN w:val="0"/>
              <w:adjustRightInd w:val="0"/>
              <w:spacing w:before="100" w:beforeAutospacing="1" w:after="100" w:afterAutospacing="1"/>
              <w:ind w:firstLine="709"/>
              <w:jc w:val="center"/>
              <w:rPr>
                <w:color w:val="000000"/>
                <w:sz w:val="22"/>
                <w:szCs w:val="22"/>
                <w:lang w:eastAsia="tr-TR"/>
              </w:rPr>
            </w:pPr>
            <w:r w:rsidRPr="00B976F3">
              <w:rPr>
                <w:color w:val="000000"/>
                <w:sz w:val="22"/>
                <w:szCs w:val="22"/>
                <w:lang w:eastAsia="tr-TR"/>
              </w:rPr>
              <w:t>8</w:t>
            </w:r>
          </w:p>
        </w:tc>
        <w:tc>
          <w:tcPr>
            <w:tcW w:w="1296" w:type="dxa"/>
            <w:tcBorders>
              <w:left w:val="nil"/>
              <w:bottom w:val="nil"/>
              <w:right w:val="nil"/>
            </w:tcBorders>
            <w:shd w:val="clear" w:color="auto" w:fill="auto"/>
          </w:tcPr>
          <w:p w:rsidR="00B976F3" w:rsidRPr="00B976F3" w:rsidRDefault="00B976F3" w:rsidP="00382C89">
            <w:pPr>
              <w:autoSpaceDE w:val="0"/>
              <w:autoSpaceDN w:val="0"/>
              <w:adjustRightInd w:val="0"/>
              <w:spacing w:before="100" w:beforeAutospacing="1" w:after="100" w:afterAutospacing="1"/>
              <w:ind w:firstLine="709"/>
              <w:jc w:val="center"/>
              <w:rPr>
                <w:color w:val="000000"/>
                <w:sz w:val="22"/>
                <w:szCs w:val="22"/>
                <w:lang w:eastAsia="tr-TR"/>
              </w:rPr>
            </w:pPr>
            <w:r w:rsidRPr="00B976F3">
              <w:rPr>
                <w:color w:val="000000"/>
                <w:sz w:val="22"/>
                <w:szCs w:val="22"/>
                <w:lang w:eastAsia="tr-TR"/>
              </w:rPr>
              <w:t>30</w:t>
            </w:r>
          </w:p>
        </w:tc>
        <w:tc>
          <w:tcPr>
            <w:tcW w:w="1296" w:type="dxa"/>
            <w:tcBorders>
              <w:left w:val="nil"/>
              <w:bottom w:val="nil"/>
              <w:right w:val="nil"/>
            </w:tcBorders>
            <w:shd w:val="clear" w:color="auto" w:fill="auto"/>
          </w:tcPr>
          <w:p w:rsidR="00B976F3" w:rsidRPr="00B976F3" w:rsidRDefault="00B976F3" w:rsidP="00382C89">
            <w:pPr>
              <w:autoSpaceDE w:val="0"/>
              <w:autoSpaceDN w:val="0"/>
              <w:adjustRightInd w:val="0"/>
              <w:spacing w:before="100" w:beforeAutospacing="1" w:after="100" w:afterAutospacing="1"/>
              <w:ind w:firstLine="709"/>
              <w:jc w:val="center"/>
              <w:rPr>
                <w:color w:val="000000"/>
                <w:sz w:val="22"/>
                <w:szCs w:val="22"/>
                <w:lang w:eastAsia="tr-TR"/>
              </w:rPr>
            </w:pPr>
            <w:r w:rsidRPr="00B976F3">
              <w:rPr>
                <w:color w:val="000000"/>
                <w:sz w:val="22"/>
                <w:szCs w:val="22"/>
                <w:lang w:eastAsia="tr-TR"/>
              </w:rPr>
              <w:t>8</w:t>
            </w:r>
          </w:p>
        </w:tc>
        <w:tc>
          <w:tcPr>
            <w:tcW w:w="1297" w:type="dxa"/>
            <w:tcBorders>
              <w:left w:val="nil"/>
              <w:bottom w:val="nil"/>
              <w:right w:val="nil"/>
            </w:tcBorders>
            <w:shd w:val="clear" w:color="auto" w:fill="auto"/>
          </w:tcPr>
          <w:p w:rsidR="00B976F3" w:rsidRPr="00B976F3" w:rsidRDefault="00B976F3" w:rsidP="00382C89">
            <w:pPr>
              <w:autoSpaceDE w:val="0"/>
              <w:autoSpaceDN w:val="0"/>
              <w:adjustRightInd w:val="0"/>
              <w:spacing w:before="100" w:beforeAutospacing="1" w:after="100" w:afterAutospacing="1"/>
              <w:ind w:firstLine="709"/>
              <w:jc w:val="center"/>
              <w:rPr>
                <w:color w:val="000000"/>
                <w:sz w:val="22"/>
                <w:szCs w:val="22"/>
                <w:lang w:eastAsia="tr-TR"/>
              </w:rPr>
            </w:pPr>
            <w:r w:rsidRPr="00B976F3">
              <w:rPr>
                <w:color w:val="000000"/>
                <w:sz w:val="22"/>
                <w:szCs w:val="22"/>
                <w:lang w:eastAsia="tr-TR"/>
              </w:rPr>
              <w:t>66</w:t>
            </w:r>
          </w:p>
        </w:tc>
        <w:tc>
          <w:tcPr>
            <w:tcW w:w="1297" w:type="dxa"/>
            <w:tcBorders>
              <w:left w:val="nil"/>
              <w:bottom w:val="nil"/>
            </w:tcBorders>
            <w:shd w:val="clear" w:color="auto" w:fill="auto"/>
          </w:tcPr>
          <w:p w:rsidR="00B976F3" w:rsidRPr="00B976F3" w:rsidRDefault="00B976F3" w:rsidP="00382C89">
            <w:pPr>
              <w:autoSpaceDE w:val="0"/>
              <w:autoSpaceDN w:val="0"/>
              <w:adjustRightInd w:val="0"/>
              <w:spacing w:before="100" w:beforeAutospacing="1" w:after="100" w:afterAutospacing="1"/>
              <w:ind w:firstLine="709"/>
              <w:jc w:val="center"/>
              <w:rPr>
                <w:color w:val="000000"/>
                <w:sz w:val="22"/>
                <w:szCs w:val="22"/>
                <w:lang w:eastAsia="tr-TR"/>
              </w:rPr>
            </w:pPr>
            <w:r w:rsidRPr="00B976F3">
              <w:rPr>
                <w:color w:val="000000"/>
                <w:sz w:val="22"/>
                <w:szCs w:val="22"/>
                <w:lang w:eastAsia="tr-TR"/>
              </w:rPr>
              <w:t>8</w:t>
            </w:r>
          </w:p>
        </w:tc>
      </w:tr>
      <w:tr w:rsidR="00B976F3" w:rsidRPr="00B976F3" w:rsidTr="00A277BA">
        <w:tc>
          <w:tcPr>
            <w:tcW w:w="1296" w:type="dxa"/>
            <w:tcBorders>
              <w:top w:val="nil"/>
              <w:bottom w:val="nil"/>
              <w:right w:val="nil"/>
            </w:tcBorders>
            <w:shd w:val="clear" w:color="auto" w:fill="auto"/>
          </w:tcPr>
          <w:p w:rsidR="00B976F3" w:rsidRPr="00B976F3" w:rsidRDefault="00B976F3" w:rsidP="00382C89">
            <w:pPr>
              <w:autoSpaceDE w:val="0"/>
              <w:autoSpaceDN w:val="0"/>
              <w:adjustRightInd w:val="0"/>
              <w:spacing w:before="100" w:beforeAutospacing="1" w:after="100" w:afterAutospacing="1"/>
              <w:jc w:val="center"/>
              <w:rPr>
                <w:b/>
                <w:bCs/>
                <w:color w:val="000000"/>
                <w:sz w:val="22"/>
                <w:szCs w:val="22"/>
                <w:lang w:eastAsia="tr-TR"/>
              </w:rPr>
            </w:pPr>
            <w:r w:rsidRPr="00B976F3">
              <w:rPr>
                <w:b/>
                <w:bCs/>
                <w:color w:val="000000"/>
                <w:sz w:val="22"/>
                <w:szCs w:val="22"/>
                <w:lang w:eastAsia="tr-TR"/>
              </w:rPr>
              <w:t>6.sınıf</w:t>
            </w:r>
          </w:p>
        </w:tc>
        <w:tc>
          <w:tcPr>
            <w:tcW w:w="1296" w:type="dxa"/>
            <w:tcBorders>
              <w:top w:val="nil"/>
              <w:left w:val="nil"/>
              <w:bottom w:val="nil"/>
              <w:right w:val="nil"/>
            </w:tcBorders>
            <w:shd w:val="clear" w:color="auto" w:fill="auto"/>
          </w:tcPr>
          <w:p w:rsidR="00B976F3" w:rsidRPr="00B976F3" w:rsidRDefault="00B976F3" w:rsidP="00382C89">
            <w:pPr>
              <w:autoSpaceDE w:val="0"/>
              <w:autoSpaceDN w:val="0"/>
              <w:adjustRightInd w:val="0"/>
              <w:spacing w:before="100" w:beforeAutospacing="1" w:after="100" w:afterAutospacing="1"/>
              <w:ind w:firstLine="709"/>
              <w:jc w:val="center"/>
              <w:rPr>
                <w:color w:val="000000"/>
                <w:sz w:val="22"/>
                <w:szCs w:val="22"/>
                <w:lang w:eastAsia="tr-TR"/>
              </w:rPr>
            </w:pPr>
            <w:r w:rsidRPr="00B976F3">
              <w:rPr>
                <w:color w:val="000000"/>
                <w:sz w:val="22"/>
                <w:szCs w:val="22"/>
                <w:lang w:eastAsia="tr-TR"/>
              </w:rPr>
              <w:t>19</w:t>
            </w:r>
          </w:p>
        </w:tc>
        <w:tc>
          <w:tcPr>
            <w:tcW w:w="1296" w:type="dxa"/>
            <w:tcBorders>
              <w:top w:val="nil"/>
              <w:left w:val="nil"/>
              <w:bottom w:val="nil"/>
              <w:right w:val="nil"/>
            </w:tcBorders>
            <w:shd w:val="clear" w:color="auto" w:fill="auto"/>
          </w:tcPr>
          <w:p w:rsidR="00B976F3" w:rsidRPr="00B976F3" w:rsidRDefault="00B976F3" w:rsidP="00382C89">
            <w:pPr>
              <w:autoSpaceDE w:val="0"/>
              <w:autoSpaceDN w:val="0"/>
              <w:adjustRightInd w:val="0"/>
              <w:spacing w:before="100" w:beforeAutospacing="1" w:after="100" w:afterAutospacing="1"/>
              <w:ind w:firstLine="709"/>
              <w:jc w:val="center"/>
              <w:rPr>
                <w:color w:val="000000"/>
                <w:sz w:val="22"/>
                <w:szCs w:val="22"/>
                <w:lang w:eastAsia="tr-TR"/>
              </w:rPr>
            </w:pPr>
            <w:r w:rsidRPr="00B976F3">
              <w:rPr>
                <w:color w:val="000000"/>
                <w:sz w:val="22"/>
                <w:szCs w:val="22"/>
                <w:lang w:eastAsia="tr-TR"/>
              </w:rPr>
              <w:t>24</w:t>
            </w:r>
          </w:p>
        </w:tc>
        <w:tc>
          <w:tcPr>
            <w:tcW w:w="1296" w:type="dxa"/>
            <w:tcBorders>
              <w:top w:val="nil"/>
              <w:left w:val="nil"/>
              <w:bottom w:val="nil"/>
              <w:right w:val="nil"/>
            </w:tcBorders>
            <w:shd w:val="clear" w:color="auto" w:fill="auto"/>
          </w:tcPr>
          <w:p w:rsidR="00B976F3" w:rsidRPr="00B976F3" w:rsidRDefault="00B976F3" w:rsidP="00382C89">
            <w:pPr>
              <w:autoSpaceDE w:val="0"/>
              <w:autoSpaceDN w:val="0"/>
              <w:adjustRightInd w:val="0"/>
              <w:spacing w:before="100" w:beforeAutospacing="1" w:after="100" w:afterAutospacing="1"/>
              <w:ind w:firstLine="709"/>
              <w:jc w:val="center"/>
              <w:rPr>
                <w:color w:val="000000"/>
                <w:sz w:val="22"/>
                <w:szCs w:val="22"/>
                <w:lang w:eastAsia="tr-TR"/>
              </w:rPr>
            </w:pPr>
            <w:r w:rsidRPr="00B976F3">
              <w:rPr>
                <w:color w:val="000000"/>
                <w:sz w:val="22"/>
                <w:szCs w:val="22"/>
                <w:lang w:eastAsia="tr-TR"/>
              </w:rPr>
              <w:t>11</w:t>
            </w:r>
          </w:p>
        </w:tc>
        <w:tc>
          <w:tcPr>
            <w:tcW w:w="1296" w:type="dxa"/>
            <w:tcBorders>
              <w:top w:val="nil"/>
              <w:left w:val="nil"/>
              <w:bottom w:val="nil"/>
              <w:right w:val="nil"/>
            </w:tcBorders>
            <w:shd w:val="clear" w:color="auto" w:fill="auto"/>
          </w:tcPr>
          <w:p w:rsidR="00B976F3" w:rsidRPr="00B976F3" w:rsidRDefault="00B976F3" w:rsidP="00382C89">
            <w:pPr>
              <w:autoSpaceDE w:val="0"/>
              <w:autoSpaceDN w:val="0"/>
              <w:adjustRightInd w:val="0"/>
              <w:spacing w:before="100" w:beforeAutospacing="1" w:after="100" w:afterAutospacing="1"/>
              <w:ind w:firstLine="709"/>
              <w:jc w:val="center"/>
              <w:rPr>
                <w:color w:val="000000"/>
                <w:sz w:val="22"/>
                <w:szCs w:val="22"/>
                <w:lang w:eastAsia="tr-TR"/>
              </w:rPr>
            </w:pPr>
            <w:r w:rsidRPr="00B976F3">
              <w:rPr>
                <w:color w:val="000000"/>
                <w:sz w:val="22"/>
                <w:szCs w:val="22"/>
                <w:lang w:eastAsia="tr-TR"/>
              </w:rPr>
              <w:t>27</w:t>
            </w:r>
          </w:p>
        </w:tc>
        <w:tc>
          <w:tcPr>
            <w:tcW w:w="1297" w:type="dxa"/>
            <w:tcBorders>
              <w:top w:val="nil"/>
              <w:left w:val="nil"/>
              <w:bottom w:val="nil"/>
              <w:right w:val="nil"/>
            </w:tcBorders>
            <w:shd w:val="clear" w:color="auto" w:fill="auto"/>
          </w:tcPr>
          <w:p w:rsidR="00B976F3" w:rsidRPr="00B976F3" w:rsidRDefault="00B976F3" w:rsidP="00382C89">
            <w:pPr>
              <w:autoSpaceDE w:val="0"/>
              <w:autoSpaceDN w:val="0"/>
              <w:adjustRightInd w:val="0"/>
              <w:spacing w:before="100" w:beforeAutospacing="1" w:after="100" w:afterAutospacing="1"/>
              <w:ind w:firstLine="709"/>
              <w:jc w:val="center"/>
              <w:rPr>
                <w:color w:val="000000"/>
                <w:sz w:val="22"/>
                <w:szCs w:val="22"/>
                <w:lang w:eastAsia="tr-TR"/>
              </w:rPr>
            </w:pPr>
            <w:r w:rsidRPr="00B976F3">
              <w:rPr>
                <w:color w:val="000000"/>
                <w:sz w:val="22"/>
                <w:szCs w:val="22"/>
                <w:lang w:eastAsia="tr-TR"/>
              </w:rPr>
              <w:t>20</w:t>
            </w:r>
          </w:p>
        </w:tc>
        <w:tc>
          <w:tcPr>
            <w:tcW w:w="1297" w:type="dxa"/>
            <w:tcBorders>
              <w:top w:val="nil"/>
              <w:left w:val="nil"/>
              <w:bottom w:val="nil"/>
            </w:tcBorders>
            <w:shd w:val="clear" w:color="auto" w:fill="auto"/>
          </w:tcPr>
          <w:p w:rsidR="00B976F3" w:rsidRPr="00B976F3" w:rsidRDefault="00B976F3" w:rsidP="00382C89">
            <w:pPr>
              <w:autoSpaceDE w:val="0"/>
              <w:autoSpaceDN w:val="0"/>
              <w:adjustRightInd w:val="0"/>
              <w:spacing w:before="100" w:beforeAutospacing="1" w:after="100" w:afterAutospacing="1"/>
              <w:ind w:firstLine="709"/>
              <w:jc w:val="center"/>
              <w:rPr>
                <w:color w:val="000000"/>
                <w:sz w:val="22"/>
                <w:szCs w:val="22"/>
                <w:lang w:eastAsia="tr-TR"/>
              </w:rPr>
            </w:pPr>
            <w:r w:rsidRPr="00B976F3">
              <w:rPr>
                <w:color w:val="000000"/>
                <w:sz w:val="22"/>
                <w:szCs w:val="22"/>
                <w:lang w:eastAsia="tr-TR"/>
              </w:rPr>
              <w:t>25</w:t>
            </w:r>
          </w:p>
        </w:tc>
      </w:tr>
      <w:tr w:rsidR="00B976F3" w:rsidRPr="00B976F3" w:rsidTr="00A277BA">
        <w:tc>
          <w:tcPr>
            <w:tcW w:w="1296" w:type="dxa"/>
            <w:tcBorders>
              <w:top w:val="nil"/>
              <w:bottom w:val="nil"/>
              <w:right w:val="nil"/>
            </w:tcBorders>
            <w:shd w:val="clear" w:color="auto" w:fill="auto"/>
          </w:tcPr>
          <w:p w:rsidR="00B976F3" w:rsidRPr="00B976F3" w:rsidRDefault="00B976F3" w:rsidP="00382C89">
            <w:pPr>
              <w:autoSpaceDE w:val="0"/>
              <w:autoSpaceDN w:val="0"/>
              <w:adjustRightInd w:val="0"/>
              <w:spacing w:before="100" w:beforeAutospacing="1" w:after="100" w:afterAutospacing="1"/>
              <w:jc w:val="center"/>
              <w:rPr>
                <w:b/>
                <w:bCs/>
                <w:color w:val="000000"/>
                <w:sz w:val="22"/>
                <w:szCs w:val="22"/>
                <w:lang w:eastAsia="tr-TR"/>
              </w:rPr>
            </w:pPr>
            <w:r w:rsidRPr="00B976F3">
              <w:rPr>
                <w:b/>
                <w:bCs/>
                <w:color w:val="000000"/>
                <w:sz w:val="22"/>
                <w:szCs w:val="22"/>
                <w:lang w:eastAsia="tr-TR"/>
              </w:rPr>
              <w:t>7.sınıf</w:t>
            </w:r>
          </w:p>
        </w:tc>
        <w:tc>
          <w:tcPr>
            <w:tcW w:w="1296" w:type="dxa"/>
            <w:tcBorders>
              <w:top w:val="nil"/>
              <w:left w:val="nil"/>
              <w:bottom w:val="nil"/>
              <w:right w:val="nil"/>
            </w:tcBorders>
            <w:shd w:val="clear" w:color="auto" w:fill="auto"/>
          </w:tcPr>
          <w:p w:rsidR="00B976F3" w:rsidRPr="00B976F3" w:rsidRDefault="00B976F3" w:rsidP="00382C89">
            <w:pPr>
              <w:autoSpaceDE w:val="0"/>
              <w:autoSpaceDN w:val="0"/>
              <w:adjustRightInd w:val="0"/>
              <w:spacing w:before="100" w:beforeAutospacing="1" w:after="100" w:afterAutospacing="1"/>
              <w:ind w:firstLine="709"/>
              <w:jc w:val="center"/>
              <w:rPr>
                <w:color w:val="000000"/>
                <w:sz w:val="22"/>
                <w:szCs w:val="22"/>
                <w:lang w:eastAsia="tr-TR"/>
              </w:rPr>
            </w:pPr>
            <w:r w:rsidRPr="00B976F3">
              <w:rPr>
                <w:color w:val="000000"/>
                <w:sz w:val="22"/>
                <w:szCs w:val="22"/>
                <w:lang w:eastAsia="tr-TR"/>
              </w:rPr>
              <w:t>94</w:t>
            </w:r>
          </w:p>
        </w:tc>
        <w:tc>
          <w:tcPr>
            <w:tcW w:w="1296" w:type="dxa"/>
            <w:tcBorders>
              <w:top w:val="nil"/>
              <w:left w:val="nil"/>
              <w:bottom w:val="nil"/>
              <w:right w:val="nil"/>
            </w:tcBorders>
            <w:shd w:val="clear" w:color="auto" w:fill="auto"/>
          </w:tcPr>
          <w:p w:rsidR="00B976F3" w:rsidRPr="00B976F3" w:rsidRDefault="00B976F3" w:rsidP="00382C89">
            <w:pPr>
              <w:autoSpaceDE w:val="0"/>
              <w:autoSpaceDN w:val="0"/>
              <w:adjustRightInd w:val="0"/>
              <w:spacing w:before="100" w:beforeAutospacing="1" w:after="100" w:afterAutospacing="1"/>
              <w:ind w:firstLine="709"/>
              <w:jc w:val="center"/>
              <w:rPr>
                <w:color w:val="000000"/>
                <w:sz w:val="22"/>
                <w:szCs w:val="22"/>
                <w:lang w:eastAsia="tr-TR"/>
              </w:rPr>
            </w:pPr>
            <w:r w:rsidRPr="00B976F3">
              <w:rPr>
                <w:color w:val="000000"/>
                <w:sz w:val="22"/>
                <w:szCs w:val="22"/>
                <w:lang w:eastAsia="tr-TR"/>
              </w:rPr>
              <w:t>21</w:t>
            </w:r>
          </w:p>
        </w:tc>
        <w:tc>
          <w:tcPr>
            <w:tcW w:w="1296" w:type="dxa"/>
            <w:tcBorders>
              <w:top w:val="nil"/>
              <w:left w:val="nil"/>
              <w:bottom w:val="nil"/>
              <w:right w:val="nil"/>
            </w:tcBorders>
            <w:shd w:val="clear" w:color="auto" w:fill="auto"/>
          </w:tcPr>
          <w:p w:rsidR="00B976F3" w:rsidRPr="00B976F3" w:rsidRDefault="00B976F3" w:rsidP="00382C89">
            <w:pPr>
              <w:autoSpaceDE w:val="0"/>
              <w:autoSpaceDN w:val="0"/>
              <w:adjustRightInd w:val="0"/>
              <w:spacing w:before="100" w:beforeAutospacing="1" w:after="100" w:afterAutospacing="1"/>
              <w:ind w:firstLine="709"/>
              <w:jc w:val="center"/>
              <w:rPr>
                <w:color w:val="000000"/>
                <w:sz w:val="22"/>
                <w:szCs w:val="22"/>
                <w:lang w:eastAsia="tr-TR"/>
              </w:rPr>
            </w:pPr>
            <w:r w:rsidRPr="00B976F3">
              <w:rPr>
                <w:color w:val="000000"/>
                <w:sz w:val="22"/>
                <w:szCs w:val="22"/>
                <w:lang w:eastAsia="tr-TR"/>
              </w:rPr>
              <w:t>75</w:t>
            </w:r>
          </w:p>
        </w:tc>
        <w:tc>
          <w:tcPr>
            <w:tcW w:w="1296" w:type="dxa"/>
            <w:tcBorders>
              <w:top w:val="nil"/>
              <w:left w:val="nil"/>
              <w:bottom w:val="nil"/>
              <w:right w:val="nil"/>
            </w:tcBorders>
            <w:shd w:val="clear" w:color="auto" w:fill="auto"/>
          </w:tcPr>
          <w:p w:rsidR="00B976F3" w:rsidRPr="00B976F3" w:rsidRDefault="00B976F3" w:rsidP="00382C89">
            <w:pPr>
              <w:autoSpaceDE w:val="0"/>
              <w:autoSpaceDN w:val="0"/>
              <w:adjustRightInd w:val="0"/>
              <w:spacing w:before="100" w:beforeAutospacing="1" w:after="100" w:afterAutospacing="1"/>
              <w:ind w:firstLine="709"/>
              <w:jc w:val="center"/>
              <w:rPr>
                <w:color w:val="000000"/>
                <w:sz w:val="22"/>
                <w:szCs w:val="22"/>
                <w:lang w:eastAsia="tr-TR"/>
              </w:rPr>
            </w:pPr>
            <w:r w:rsidRPr="00B976F3">
              <w:rPr>
                <w:color w:val="000000"/>
                <w:sz w:val="22"/>
                <w:szCs w:val="22"/>
                <w:lang w:eastAsia="tr-TR"/>
              </w:rPr>
              <w:t>20</w:t>
            </w:r>
          </w:p>
        </w:tc>
        <w:tc>
          <w:tcPr>
            <w:tcW w:w="1297" w:type="dxa"/>
            <w:tcBorders>
              <w:top w:val="nil"/>
              <w:left w:val="nil"/>
              <w:bottom w:val="nil"/>
              <w:right w:val="nil"/>
            </w:tcBorders>
            <w:shd w:val="clear" w:color="auto" w:fill="auto"/>
          </w:tcPr>
          <w:p w:rsidR="00B976F3" w:rsidRPr="00B976F3" w:rsidRDefault="00B976F3" w:rsidP="00382C89">
            <w:pPr>
              <w:autoSpaceDE w:val="0"/>
              <w:autoSpaceDN w:val="0"/>
              <w:adjustRightInd w:val="0"/>
              <w:spacing w:before="100" w:beforeAutospacing="1" w:after="100" w:afterAutospacing="1"/>
              <w:ind w:firstLine="709"/>
              <w:jc w:val="center"/>
              <w:rPr>
                <w:color w:val="000000"/>
                <w:sz w:val="22"/>
                <w:szCs w:val="22"/>
                <w:lang w:eastAsia="tr-TR"/>
              </w:rPr>
            </w:pPr>
            <w:r w:rsidRPr="00B976F3">
              <w:rPr>
                <w:color w:val="000000"/>
                <w:sz w:val="22"/>
                <w:szCs w:val="22"/>
                <w:lang w:eastAsia="tr-TR"/>
              </w:rPr>
              <w:t>19</w:t>
            </w:r>
          </w:p>
        </w:tc>
        <w:tc>
          <w:tcPr>
            <w:tcW w:w="1297" w:type="dxa"/>
            <w:tcBorders>
              <w:top w:val="nil"/>
              <w:left w:val="nil"/>
              <w:bottom w:val="nil"/>
            </w:tcBorders>
            <w:shd w:val="clear" w:color="auto" w:fill="auto"/>
          </w:tcPr>
          <w:p w:rsidR="00B976F3" w:rsidRPr="00B976F3" w:rsidRDefault="00B976F3" w:rsidP="00382C89">
            <w:pPr>
              <w:autoSpaceDE w:val="0"/>
              <w:autoSpaceDN w:val="0"/>
              <w:adjustRightInd w:val="0"/>
              <w:spacing w:before="100" w:beforeAutospacing="1" w:after="100" w:afterAutospacing="1"/>
              <w:ind w:firstLine="709"/>
              <w:jc w:val="center"/>
              <w:rPr>
                <w:color w:val="000000"/>
                <w:sz w:val="22"/>
                <w:szCs w:val="22"/>
                <w:lang w:eastAsia="tr-TR"/>
              </w:rPr>
            </w:pPr>
            <w:r w:rsidRPr="00B976F3">
              <w:rPr>
                <w:color w:val="000000"/>
                <w:sz w:val="22"/>
                <w:szCs w:val="22"/>
                <w:lang w:eastAsia="tr-TR"/>
              </w:rPr>
              <w:t>20</w:t>
            </w:r>
          </w:p>
        </w:tc>
      </w:tr>
      <w:tr w:rsidR="00B976F3" w:rsidRPr="00B976F3" w:rsidTr="00A277BA">
        <w:tc>
          <w:tcPr>
            <w:tcW w:w="1296" w:type="dxa"/>
            <w:tcBorders>
              <w:top w:val="nil"/>
              <w:right w:val="nil"/>
            </w:tcBorders>
            <w:shd w:val="clear" w:color="auto" w:fill="auto"/>
          </w:tcPr>
          <w:p w:rsidR="00B976F3" w:rsidRPr="00B976F3" w:rsidRDefault="00B976F3" w:rsidP="00382C89">
            <w:pPr>
              <w:autoSpaceDE w:val="0"/>
              <w:autoSpaceDN w:val="0"/>
              <w:adjustRightInd w:val="0"/>
              <w:spacing w:before="100" w:beforeAutospacing="1" w:after="100" w:afterAutospacing="1"/>
              <w:jc w:val="center"/>
              <w:rPr>
                <w:b/>
                <w:bCs/>
                <w:color w:val="000000"/>
                <w:sz w:val="22"/>
                <w:szCs w:val="22"/>
                <w:lang w:eastAsia="tr-TR"/>
              </w:rPr>
            </w:pPr>
            <w:r w:rsidRPr="00B976F3">
              <w:rPr>
                <w:b/>
                <w:bCs/>
                <w:color w:val="000000"/>
                <w:sz w:val="22"/>
                <w:szCs w:val="22"/>
                <w:lang w:eastAsia="tr-TR"/>
              </w:rPr>
              <w:t>8.sınıf</w:t>
            </w:r>
          </w:p>
        </w:tc>
        <w:tc>
          <w:tcPr>
            <w:tcW w:w="1296" w:type="dxa"/>
            <w:tcBorders>
              <w:top w:val="nil"/>
              <w:left w:val="nil"/>
              <w:right w:val="nil"/>
            </w:tcBorders>
            <w:shd w:val="clear" w:color="auto" w:fill="auto"/>
          </w:tcPr>
          <w:p w:rsidR="00B976F3" w:rsidRPr="00B976F3" w:rsidRDefault="00B976F3" w:rsidP="00382C89">
            <w:pPr>
              <w:autoSpaceDE w:val="0"/>
              <w:autoSpaceDN w:val="0"/>
              <w:adjustRightInd w:val="0"/>
              <w:spacing w:before="100" w:beforeAutospacing="1" w:after="100" w:afterAutospacing="1"/>
              <w:ind w:firstLine="709"/>
              <w:jc w:val="center"/>
              <w:rPr>
                <w:color w:val="000000"/>
                <w:sz w:val="22"/>
                <w:szCs w:val="22"/>
                <w:lang w:eastAsia="tr-TR"/>
              </w:rPr>
            </w:pPr>
            <w:r w:rsidRPr="00B976F3">
              <w:rPr>
                <w:color w:val="000000"/>
                <w:sz w:val="22"/>
                <w:szCs w:val="22"/>
                <w:lang w:eastAsia="tr-TR"/>
              </w:rPr>
              <w:t>19</w:t>
            </w:r>
          </w:p>
        </w:tc>
        <w:tc>
          <w:tcPr>
            <w:tcW w:w="1296" w:type="dxa"/>
            <w:tcBorders>
              <w:top w:val="nil"/>
              <w:left w:val="nil"/>
              <w:right w:val="nil"/>
            </w:tcBorders>
            <w:shd w:val="clear" w:color="auto" w:fill="auto"/>
          </w:tcPr>
          <w:p w:rsidR="00B976F3" w:rsidRPr="00B976F3" w:rsidRDefault="00B976F3" w:rsidP="00382C89">
            <w:pPr>
              <w:autoSpaceDE w:val="0"/>
              <w:autoSpaceDN w:val="0"/>
              <w:adjustRightInd w:val="0"/>
              <w:spacing w:before="100" w:beforeAutospacing="1" w:after="100" w:afterAutospacing="1"/>
              <w:ind w:firstLine="709"/>
              <w:jc w:val="center"/>
              <w:rPr>
                <w:color w:val="000000"/>
                <w:sz w:val="22"/>
                <w:szCs w:val="22"/>
                <w:lang w:eastAsia="tr-TR"/>
              </w:rPr>
            </w:pPr>
            <w:r w:rsidRPr="00B976F3">
              <w:rPr>
                <w:color w:val="000000"/>
                <w:sz w:val="22"/>
                <w:szCs w:val="22"/>
                <w:lang w:eastAsia="tr-TR"/>
              </w:rPr>
              <w:t>45</w:t>
            </w:r>
          </w:p>
        </w:tc>
        <w:tc>
          <w:tcPr>
            <w:tcW w:w="1296" w:type="dxa"/>
            <w:tcBorders>
              <w:top w:val="nil"/>
              <w:left w:val="nil"/>
              <w:right w:val="nil"/>
            </w:tcBorders>
            <w:shd w:val="clear" w:color="auto" w:fill="auto"/>
          </w:tcPr>
          <w:p w:rsidR="00B976F3" w:rsidRPr="00B976F3" w:rsidRDefault="00B976F3" w:rsidP="00382C89">
            <w:pPr>
              <w:autoSpaceDE w:val="0"/>
              <w:autoSpaceDN w:val="0"/>
              <w:adjustRightInd w:val="0"/>
              <w:spacing w:before="100" w:beforeAutospacing="1" w:after="100" w:afterAutospacing="1"/>
              <w:ind w:firstLine="709"/>
              <w:jc w:val="center"/>
              <w:rPr>
                <w:color w:val="000000"/>
                <w:sz w:val="22"/>
                <w:szCs w:val="22"/>
                <w:lang w:eastAsia="tr-TR"/>
              </w:rPr>
            </w:pPr>
            <w:r w:rsidRPr="00B976F3">
              <w:rPr>
                <w:color w:val="000000"/>
                <w:sz w:val="22"/>
                <w:szCs w:val="22"/>
                <w:lang w:eastAsia="tr-TR"/>
              </w:rPr>
              <w:t>16</w:t>
            </w:r>
          </w:p>
        </w:tc>
        <w:tc>
          <w:tcPr>
            <w:tcW w:w="1296" w:type="dxa"/>
            <w:tcBorders>
              <w:top w:val="nil"/>
              <w:left w:val="nil"/>
              <w:right w:val="nil"/>
            </w:tcBorders>
            <w:shd w:val="clear" w:color="auto" w:fill="auto"/>
          </w:tcPr>
          <w:p w:rsidR="00B976F3" w:rsidRPr="00B976F3" w:rsidRDefault="00B976F3" w:rsidP="00382C89">
            <w:pPr>
              <w:autoSpaceDE w:val="0"/>
              <w:autoSpaceDN w:val="0"/>
              <w:adjustRightInd w:val="0"/>
              <w:spacing w:before="100" w:beforeAutospacing="1" w:after="100" w:afterAutospacing="1"/>
              <w:ind w:firstLine="709"/>
              <w:jc w:val="center"/>
              <w:rPr>
                <w:color w:val="000000"/>
                <w:sz w:val="22"/>
                <w:szCs w:val="22"/>
                <w:lang w:eastAsia="tr-TR"/>
              </w:rPr>
            </w:pPr>
            <w:r w:rsidRPr="00B976F3">
              <w:rPr>
                <w:color w:val="000000"/>
                <w:sz w:val="22"/>
                <w:szCs w:val="22"/>
                <w:lang w:eastAsia="tr-TR"/>
              </w:rPr>
              <w:t>44</w:t>
            </w:r>
          </w:p>
        </w:tc>
        <w:tc>
          <w:tcPr>
            <w:tcW w:w="1297" w:type="dxa"/>
            <w:tcBorders>
              <w:top w:val="nil"/>
              <w:left w:val="nil"/>
              <w:right w:val="nil"/>
            </w:tcBorders>
            <w:shd w:val="clear" w:color="auto" w:fill="auto"/>
          </w:tcPr>
          <w:p w:rsidR="00B976F3" w:rsidRPr="00B976F3" w:rsidRDefault="00B976F3" w:rsidP="00382C89">
            <w:pPr>
              <w:autoSpaceDE w:val="0"/>
              <w:autoSpaceDN w:val="0"/>
              <w:adjustRightInd w:val="0"/>
              <w:spacing w:before="100" w:beforeAutospacing="1" w:after="100" w:afterAutospacing="1"/>
              <w:ind w:firstLine="709"/>
              <w:jc w:val="center"/>
              <w:rPr>
                <w:color w:val="000000"/>
                <w:sz w:val="22"/>
                <w:szCs w:val="22"/>
                <w:lang w:eastAsia="tr-TR"/>
              </w:rPr>
            </w:pPr>
            <w:r w:rsidRPr="00B976F3">
              <w:rPr>
                <w:color w:val="000000"/>
                <w:sz w:val="22"/>
                <w:szCs w:val="22"/>
                <w:lang w:eastAsia="tr-TR"/>
              </w:rPr>
              <w:t>35</w:t>
            </w:r>
          </w:p>
        </w:tc>
        <w:tc>
          <w:tcPr>
            <w:tcW w:w="1297" w:type="dxa"/>
            <w:tcBorders>
              <w:top w:val="nil"/>
              <w:left w:val="nil"/>
            </w:tcBorders>
            <w:shd w:val="clear" w:color="auto" w:fill="auto"/>
          </w:tcPr>
          <w:p w:rsidR="00B976F3" w:rsidRPr="00B976F3" w:rsidRDefault="00B976F3" w:rsidP="00382C89">
            <w:pPr>
              <w:autoSpaceDE w:val="0"/>
              <w:autoSpaceDN w:val="0"/>
              <w:adjustRightInd w:val="0"/>
              <w:spacing w:before="100" w:beforeAutospacing="1" w:after="100" w:afterAutospacing="1"/>
              <w:ind w:firstLine="709"/>
              <w:jc w:val="center"/>
              <w:rPr>
                <w:color w:val="000000"/>
                <w:sz w:val="22"/>
                <w:szCs w:val="22"/>
                <w:lang w:eastAsia="tr-TR"/>
              </w:rPr>
            </w:pPr>
            <w:r w:rsidRPr="00B976F3">
              <w:rPr>
                <w:color w:val="000000"/>
                <w:sz w:val="22"/>
                <w:szCs w:val="22"/>
                <w:lang w:eastAsia="tr-TR"/>
              </w:rPr>
              <w:t>45</w:t>
            </w:r>
          </w:p>
        </w:tc>
      </w:tr>
      <w:tr w:rsidR="00B976F3" w:rsidRPr="00B976F3" w:rsidTr="00A277BA">
        <w:tc>
          <w:tcPr>
            <w:tcW w:w="1296" w:type="dxa"/>
            <w:tcBorders>
              <w:right w:val="nil"/>
            </w:tcBorders>
            <w:shd w:val="clear" w:color="auto" w:fill="auto"/>
          </w:tcPr>
          <w:p w:rsidR="00B976F3" w:rsidRPr="00B976F3" w:rsidRDefault="00B976F3" w:rsidP="00382C89">
            <w:pPr>
              <w:autoSpaceDE w:val="0"/>
              <w:autoSpaceDN w:val="0"/>
              <w:adjustRightInd w:val="0"/>
              <w:spacing w:before="100" w:beforeAutospacing="1" w:after="100" w:afterAutospacing="1"/>
              <w:jc w:val="center"/>
              <w:rPr>
                <w:b/>
                <w:bCs/>
                <w:color w:val="000000"/>
                <w:sz w:val="22"/>
                <w:szCs w:val="22"/>
                <w:lang w:eastAsia="tr-TR"/>
              </w:rPr>
            </w:pPr>
            <w:r w:rsidRPr="00B976F3">
              <w:rPr>
                <w:b/>
                <w:bCs/>
                <w:color w:val="000000"/>
                <w:sz w:val="22"/>
                <w:szCs w:val="22"/>
                <w:lang w:eastAsia="tr-TR"/>
              </w:rPr>
              <w:t>Toplam</w:t>
            </w:r>
          </w:p>
        </w:tc>
        <w:tc>
          <w:tcPr>
            <w:tcW w:w="1296" w:type="dxa"/>
            <w:tcBorders>
              <w:left w:val="nil"/>
              <w:right w:val="nil"/>
            </w:tcBorders>
            <w:shd w:val="clear" w:color="auto" w:fill="auto"/>
          </w:tcPr>
          <w:p w:rsidR="00B976F3" w:rsidRPr="00B976F3" w:rsidRDefault="00382C89" w:rsidP="00382C89">
            <w:pPr>
              <w:autoSpaceDE w:val="0"/>
              <w:autoSpaceDN w:val="0"/>
              <w:adjustRightInd w:val="0"/>
              <w:spacing w:before="100" w:beforeAutospacing="1" w:after="100" w:afterAutospacing="1"/>
              <w:jc w:val="center"/>
              <w:rPr>
                <w:color w:val="000000"/>
                <w:sz w:val="22"/>
                <w:szCs w:val="22"/>
                <w:lang w:eastAsia="tr-TR"/>
              </w:rPr>
            </w:pPr>
            <w:r>
              <w:rPr>
                <w:color w:val="000000"/>
                <w:sz w:val="22"/>
                <w:szCs w:val="22"/>
                <w:lang w:eastAsia="tr-TR"/>
              </w:rPr>
              <w:t xml:space="preserve">            </w:t>
            </w:r>
            <w:r w:rsidR="00B976F3" w:rsidRPr="00B976F3">
              <w:rPr>
                <w:color w:val="000000"/>
                <w:sz w:val="22"/>
                <w:szCs w:val="22"/>
                <w:lang w:eastAsia="tr-TR"/>
              </w:rPr>
              <w:t>438</w:t>
            </w:r>
          </w:p>
        </w:tc>
        <w:tc>
          <w:tcPr>
            <w:tcW w:w="1296" w:type="dxa"/>
            <w:tcBorders>
              <w:left w:val="nil"/>
              <w:right w:val="nil"/>
            </w:tcBorders>
            <w:shd w:val="clear" w:color="auto" w:fill="auto"/>
          </w:tcPr>
          <w:p w:rsidR="00B976F3" w:rsidRPr="00B976F3" w:rsidRDefault="00382C89" w:rsidP="00382C89">
            <w:pPr>
              <w:autoSpaceDE w:val="0"/>
              <w:autoSpaceDN w:val="0"/>
              <w:adjustRightInd w:val="0"/>
              <w:spacing w:before="100" w:beforeAutospacing="1" w:after="100" w:afterAutospacing="1"/>
              <w:jc w:val="center"/>
              <w:rPr>
                <w:color w:val="000000"/>
                <w:sz w:val="22"/>
                <w:szCs w:val="22"/>
                <w:lang w:eastAsia="tr-TR"/>
              </w:rPr>
            </w:pPr>
            <w:r>
              <w:rPr>
                <w:color w:val="000000"/>
                <w:sz w:val="22"/>
                <w:szCs w:val="22"/>
                <w:lang w:eastAsia="tr-TR"/>
              </w:rPr>
              <w:t xml:space="preserve">           </w:t>
            </w:r>
            <w:r w:rsidR="00B976F3" w:rsidRPr="00B976F3">
              <w:rPr>
                <w:color w:val="000000"/>
                <w:sz w:val="22"/>
                <w:szCs w:val="22"/>
                <w:lang w:eastAsia="tr-TR"/>
              </w:rPr>
              <w:t>100</w:t>
            </w:r>
          </w:p>
        </w:tc>
        <w:tc>
          <w:tcPr>
            <w:tcW w:w="1296" w:type="dxa"/>
            <w:tcBorders>
              <w:left w:val="nil"/>
              <w:right w:val="nil"/>
            </w:tcBorders>
            <w:shd w:val="clear" w:color="auto" w:fill="auto"/>
          </w:tcPr>
          <w:p w:rsidR="00B976F3" w:rsidRPr="00B976F3" w:rsidRDefault="00382C89" w:rsidP="00382C89">
            <w:pPr>
              <w:autoSpaceDE w:val="0"/>
              <w:autoSpaceDN w:val="0"/>
              <w:adjustRightInd w:val="0"/>
              <w:spacing w:before="100" w:beforeAutospacing="1" w:after="100" w:afterAutospacing="1"/>
              <w:jc w:val="center"/>
              <w:rPr>
                <w:color w:val="000000"/>
                <w:sz w:val="22"/>
                <w:szCs w:val="22"/>
                <w:lang w:eastAsia="tr-TR"/>
              </w:rPr>
            </w:pPr>
            <w:r>
              <w:rPr>
                <w:color w:val="000000"/>
                <w:sz w:val="22"/>
                <w:szCs w:val="22"/>
                <w:lang w:eastAsia="tr-TR"/>
              </w:rPr>
              <w:t xml:space="preserve">            </w:t>
            </w:r>
            <w:r w:rsidR="00B976F3" w:rsidRPr="00B976F3">
              <w:rPr>
                <w:color w:val="000000"/>
                <w:sz w:val="22"/>
                <w:szCs w:val="22"/>
                <w:lang w:eastAsia="tr-TR"/>
              </w:rPr>
              <w:t>372</w:t>
            </w:r>
          </w:p>
        </w:tc>
        <w:tc>
          <w:tcPr>
            <w:tcW w:w="1296" w:type="dxa"/>
            <w:tcBorders>
              <w:left w:val="nil"/>
              <w:right w:val="nil"/>
            </w:tcBorders>
            <w:shd w:val="clear" w:color="auto" w:fill="auto"/>
          </w:tcPr>
          <w:p w:rsidR="00B976F3" w:rsidRPr="00B976F3" w:rsidRDefault="00382C89" w:rsidP="00382C89">
            <w:pPr>
              <w:autoSpaceDE w:val="0"/>
              <w:autoSpaceDN w:val="0"/>
              <w:adjustRightInd w:val="0"/>
              <w:spacing w:before="100" w:beforeAutospacing="1" w:after="100" w:afterAutospacing="1"/>
              <w:jc w:val="center"/>
              <w:rPr>
                <w:color w:val="000000"/>
                <w:sz w:val="22"/>
                <w:szCs w:val="22"/>
                <w:lang w:eastAsia="tr-TR"/>
              </w:rPr>
            </w:pPr>
            <w:r>
              <w:rPr>
                <w:color w:val="000000"/>
                <w:sz w:val="22"/>
                <w:szCs w:val="22"/>
                <w:lang w:eastAsia="tr-TR"/>
              </w:rPr>
              <w:t xml:space="preserve">            </w:t>
            </w:r>
            <w:r w:rsidR="00B976F3" w:rsidRPr="00B976F3">
              <w:rPr>
                <w:color w:val="000000"/>
                <w:sz w:val="22"/>
                <w:szCs w:val="22"/>
                <w:lang w:eastAsia="tr-TR"/>
              </w:rPr>
              <w:t>100</w:t>
            </w:r>
          </w:p>
        </w:tc>
        <w:tc>
          <w:tcPr>
            <w:tcW w:w="1297" w:type="dxa"/>
            <w:tcBorders>
              <w:left w:val="nil"/>
              <w:right w:val="nil"/>
            </w:tcBorders>
            <w:shd w:val="clear" w:color="auto" w:fill="auto"/>
          </w:tcPr>
          <w:p w:rsidR="00B976F3" w:rsidRPr="00B976F3" w:rsidRDefault="00953BEA" w:rsidP="00382C89">
            <w:pPr>
              <w:autoSpaceDE w:val="0"/>
              <w:autoSpaceDN w:val="0"/>
              <w:adjustRightInd w:val="0"/>
              <w:spacing w:before="100" w:beforeAutospacing="1" w:after="100" w:afterAutospacing="1"/>
              <w:jc w:val="center"/>
              <w:rPr>
                <w:color w:val="000000"/>
                <w:sz w:val="22"/>
                <w:szCs w:val="22"/>
                <w:lang w:eastAsia="tr-TR"/>
              </w:rPr>
            </w:pPr>
            <w:r>
              <w:rPr>
                <w:color w:val="000000"/>
                <w:sz w:val="22"/>
                <w:szCs w:val="22"/>
                <w:lang w:eastAsia="tr-TR"/>
              </w:rPr>
              <w:t xml:space="preserve">            </w:t>
            </w:r>
            <w:r w:rsidR="00B976F3" w:rsidRPr="00B976F3">
              <w:rPr>
                <w:color w:val="000000"/>
                <w:sz w:val="22"/>
                <w:szCs w:val="22"/>
                <w:lang w:eastAsia="tr-TR"/>
              </w:rPr>
              <w:t>810</w:t>
            </w:r>
          </w:p>
        </w:tc>
        <w:tc>
          <w:tcPr>
            <w:tcW w:w="1297" w:type="dxa"/>
            <w:tcBorders>
              <w:left w:val="nil"/>
            </w:tcBorders>
            <w:shd w:val="clear" w:color="auto" w:fill="auto"/>
          </w:tcPr>
          <w:p w:rsidR="00B976F3" w:rsidRPr="00B976F3" w:rsidRDefault="00953BEA" w:rsidP="00382C89">
            <w:pPr>
              <w:autoSpaceDE w:val="0"/>
              <w:autoSpaceDN w:val="0"/>
              <w:adjustRightInd w:val="0"/>
              <w:spacing w:before="100" w:beforeAutospacing="1" w:after="100" w:afterAutospacing="1"/>
              <w:jc w:val="center"/>
              <w:rPr>
                <w:color w:val="000000"/>
                <w:sz w:val="22"/>
                <w:szCs w:val="22"/>
                <w:lang w:eastAsia="tr-TR"/>
              </w:rPr>
            </w:pPr>
            <w:r>
              <w:rPr>
                <w:color w:val="000000"/>
                <w:sz w:val="22"/>
                <w:szCs w:val="22"/>
                <w:lang w:eastAsia="tr-TR"/>
              </w:rPr>
              <w:t xml:space="preserve">            </w:t>
            </w:r>
            <w:r w:rsidR="00B976F3" w:rsidRPr="00B976F3">
              <w:rPr>
                <w:color w:val="000000"/>
                <w:sz w:val="22"/>
                <w:szCs w:val="22"/>
                <w:lang w:eastAsia="tr-TR"/>
              </w:rPr>
              <w:t>100</w:t>
            </w:r>
          </w:p>
        </w:tc>
      </w:tr>
      <w:bookmarkEnd w:id="4"/>
    </w:tbl>
    <w:p w:rsidR="00B976F3" w:rsidRPr="00B976F3" w:rsidRDefault="00B976F3" w:rsidP="00B976F3">
      <w:pPr>
        <w:autoSpaceDE w:val="0"/>
        <w:autoSpaceDN w:val="0"/>
        <w:adjustRightInd w:val="0"/>
        <w:spacing w:line="360" w:lineRule="auto"/>
        <w:ind w:firstLine="709"/>
        <w:jc w:val="both"/>
        <w:rPr>
          <w:color w:val="000000"/>
          <w:lang w:eastAsia="tr-TR"/>
        </w:rPr>
      </w:pPr>
    </w:p>
    <w:p w:rsidR="00B976F3" w:rsidRPr="00B976F3" w:rsidRDefault="00B976F3" w:rsidP="00B976F3">
      <w:pPr>
        <w:autoSpaceDE w:val="0"/>
        <w:autoSpaceDN w:val="0"/>
        <w:adjustRightInd w:val="0"/>
        <w:spacing w:line="360" w:lineRule="auto"/>
        <w:ind w:firstLine="709"/>
        <w:jc w:val="both"/>
        <w:rPr>
          <w:b/>
          <w:bCs/>
          <w:color w:val="000000"/>
          <w:lang w:eastAsia="tr-TR"/>
        </w:rPr>
      </w:pPr>
      <w:r w:rsidRPr="00B976F3">
        <w:rPr>
          <w:b/>
          <w:bCs/>
          <w:color w:val="000000"/>
          <w:lang w:eastAsia="tr-TR"/>
        </w:rPr>
        <w:t>Ölçme Aracı</w:t>
      </w:r>
    </w:p>
    <w:p w:rsidR="00B976F3" w:rsidRPr="00B976F3" w:rsidRDefault="00B976F3" w:rsidP="00B976F3">
      <w:pPr>
        <w:autoSpaceDE w:val="0"/>
        <w:autoSpaceDN w:val="0"/>
        <w:adjustRightInd w:val="0"/>
        <w:spacing w:line="360" w:lineRule="auto"/>
        <w:ind w:firstLine="709"/>
        <w:jc w:val="both"/>
        <w:rPr>
          <w:color w:val="000000"/>
          <w:lang w:eastAsia="tr-TR"/>
        </w:rPr>
      </w:pPr>
      <w:r w:rsidRPr="00B976F3">
        <w:rPr>
          <w:color w:val="000000"/>
          <w:lang w:eastAsia="tr-TR"/>
        </w:rPr>
        <w:t xml:space="preserve">STEM </w:t>
      </w:r>
      <w:proofErr w:type="gramStart"/>
      <w:r w:rsidRPr="00B976F3">
        <w:rPr>
          <w:color w:val="000000"/>
          <w:lang w:eastAsia="tr-TR"/>
        </w:rPr>
        <w:t>motivasyon</w:t>
      </w:r>
      <w:proofErr w:type="gramEnd"/>
      <w:r w:rsidRPr="00B976F3">
        <w:rPr>
          <w:color w:val="000000"/>
          <w:lang w:eastAsia="tr-TR"/>
        </w:rPr>
        <w:t xml:space="preserve"> ölçeği </w:t>
      </w:r>
      <w:bookmarkStart w:id="5" w:name="_Hlk24757749"/>
      <w:proofErr w:type="spellStart"/>
      <w:r w:rsidRPr="00B976F3">
        <w:rPr>
          <w:color w:val="000000"/>
          <w:lang w:eastAsia="tr-TR"/>
        </w:rPr>
        <w:t>Luo</w:t>
      </w:r>
      <w:proofErr w:type="spellEnd"/>
      <w:r w:rsidRPr="00B976F3">
        <w:rPr>
          <w:color w:val="000000"/>
          <w:lang w:eastAsia="tr-TR"/>
        </w:rPr>
        <w:t xml:space="preserve">, </w:t>
      </w:r>
      <w:proofErr w:type="spellStart"/>
      <w:r w:rsidRPr="00B976F3">
        <w:rPr>
          <w:color w:val="000000"/>
          <w:lang w:eastAsia="tr-TR"/>
        </w:rPr>
        <w:t>Wang</w:t>
      </w:r>
      <w:proofErr w:type="spellEnd"/>
      <w:r w:rsidRPr="00B976F3">
        <w:rPr>
          <w:color w:val="000000"/>
          <w:lang w:eastAsia="tr-TR"/>
        </w:rPr>
        <w:t xml:space="preserve">, </w:t>
      </w:r>
      <w:proofErr w:type="spellStart"/>
      <w:r w:rsidRPr="00B976F3">
        <w:rPr>
          <w:color w:val="000000"/>
          <w:lang w:eastAsia="tr-TR"/>
        </w:rPr>
        <w:t>Liu</w:t>
      </w:r>
      <w:proofErr w:type="spellEnd"/>
      <w:r w:rsidRPr="00B976F3">
        <w:rPr>
          <w:color w:val="000000"/>
          <w:lang w:eastAsia="tr-TR"/>
        </w:rPr>
        <w:t xml:space="preserve">, </w:t>
      </w:r>
      <w:r w:rsidR="00921CDC">
        <w:rPr>
          <w:color w:val="000000"/>
          <w:lang w:eastAsia="tr-TR"/>
        </w:rPr>
        <w:t>ve</w:t>
      </w:r>
      <w:r w:rsidRPr="00B976F3">
        <w:rPr>
          <w:color w:val="000000"/>
          <w:lang w:eastAsia="tr-TR"/>
        </w:rPr>
        <w:t xml:space="preserve"> </w:t>
      </w:r>
      <w:proofErr w:type="spellStart"/>
      <w:r w:rsidRPr="00B976F3">
        <w:rPr>
          <w:color w:val="000000"/>
          <w:lang w:eastAsia="tr-TR"/>
        </w:rPr>
        <w:t>Zhou</w:t>
      </w:r>
      <w:proofErr w:type="spellEnd"/>
      <w:r w:rsidRPr="00B976F3">
        <w:rPr>
          <w:color w:val="000000"/>
          <w:lang w:eastAsia="tr-TR"/>
        </w:rPr>
        <w:t xml:space="preserve"> (2019) tarafından </w:t>
      </w:r>
      <w:bookmarkEnd w:id="5"/>
      <w:r w:rsidRPr="00B976F3">
        <w:rPr>
          <w:color w:val="000000"/>
          <w:lang w:eastAsia="tr-TR"/>
        </w:rPr>
        <w:t xml:space="preserve">geliştirilmiştir. Ölçek ortaokul öğrencilerinin bilim, teknoloji, mühendislik ve matematik alanlarına ilişkin devam eden motivasyonlarını belirlemek için geliştirilmiştir. Ölçek, 28 maddeden ve 4’lü </w:t>
      </w:r>
      <w:proofErr w:type="spellStart"/>
      <w:r w:rsidRPr="00B976F3">
        <w:rPr>
          <w:color w:val="000000"/>
          <w:lang w:eastAsia="tr-TR"/>
        </w:rPr>
        <w:t>likert</w:t>
      </w:r>
      <w:proofErr w:type="spellEnd"/>
      <w:r w:rsidRPr="00B976F3">
        <w:rPr>
          <w:color w:val="000000"/>
          <w:lang w:eastAsia="tr-TR"/>
        </w:rPr>
        <w:t xml:space="preserve"> tipte geliştirilmiştir. Maddeler Sıklıkla (4), Bazen (3), çok az (2), asla (1) olarak derecelendirilmiştir. Ölçekten en fazla 112, en az 28 puan alınabilmektedir. Ölçekte dört boyut bulunmaktadır. 1,2,3,4,5,6,7,8. maddeler bilim boyutu, 9,10,11,12,13,14,15. </w:t>
      </w:r>
      <w:r w:rsidR="00487668">
        <w:rPr>
          <w:color w:val="000000"/>
          <w:lang w:eastAsia="tr-TR"/>
        </w:rPr>
        <w:t>m</w:t>
      </w:r>
      <w:r w:rsidRPr="00B976F3">
        <w:rPr>
          <w:color w:val="000000"/>
          <w:lang w:eastAsia="tr-TR"/>
        </w:rPr>
        <w:t xml:space="preserve">addeler teknoloji boyutunu, 16,17,18,19,20. </w:t>
      </w:r>
      <w:r w:rsidR="00487668">
        <w:rPr>
          <w:color w:val="000000"/>
          <w:lang w:eastAsia="tr-TR"/>
        </w:rPr>
        <w:t>m</w:t>
      </w:r>
      <w:r w:rsidRPr="00B976F3">
        <w:rPr>
          <w:color w:val="000000"/>
          <w:lang w:eastAsia="tr-TR"/>
        </w:rPr>
        <w:t xml:space="preserve">addeler mühendislik boyutu, 21,22,23,24,25,26,27,28. </w:t>
      </w:r>
      <w:r w:rsidR="00487668">
        <w:rPr>
          <w:color w:val="000000"/>
          <w:lang w:eastAsia="tr-TR"/>
        </w:rPr>
        <w:t>m</w:t>
      </w:r>
      <w:r w:rsidRPr="00B976F3">
        <w:rPr>
          <w:color w:val="000000"/>
          <w:lang w:eastAsia="tr-TR"/>
        </w:rPr>
        <w:t>addeler matematik boyutunu te</w:t>
      </w:r>
      <w:r w:rsidR="00487668">
        <w:rPr>
          <w:color w:val="000000"/>
          <w:lang w:eastAsia="tr-TR"/>
        </w:rPr>
        <w:t>m</w:t>
      </w:r>
      <w:r w:rsidRPr="00B976F3">
        <w:rPr>
          <w:color w:val="000000"/>
          <w:lang w:eastAsia="tr-TR"/>
        </w:rPr>
        <w:t xml:space="preserve">sil etmektedir.  </w:t>
      </w:r>
      <w:r w:rsidR="000033A5">
        <w:rPr>
          <w:color w:val="000000"/>
          <w:lang w:eastAsia="tr-TR"/>
        </w:rPr>
        <w:t>Ölçeği geliştiren a</w:t>
      </w:r>
      <w:r w:rsidRPr="00B976F3">
        <w:rPr>
          <w:color w:val="000000"/>
          <w:lang w:eastAsia="tr-TR"/>
        </w:rPr>
        <w:t>raştırmacılar ölçeğin güvenirlik katsayısını (</w:t>
      </w:r>
      <w:proofErr w:type="spellStart"/>
      <w:r w:rsidR="000033A5" w:rsidRPr="000033A5">
        <w:rPr>
          <w:color w:val="000000"/>
          <w:lang w:eastAsia="tr-TR"/>
        </w:rPr>
        <w:t>Cronbach</w:t>
      </w:r>
      <w:proofErr w:type="spellEnd"/>
      <w:r w:rsidR="000033A5" w:rsidRPr="000033A5">
        <w:rPr>
          <w:color w:val="000000"/>
          <w:lang w:eastAsia="tr-TR"/>
        </w:rPr>
        <w:t xml:space="preserve"> alfa (α</w:t>
      </w:r>
      <w:r w:rsidR="000033A5">
        <w:rPr>
          <w:color w:val="000000"/>
          <w:lang w:eastAsia="tr-TR"/>
        </w:rPr>
        <w:t xml:space="preserve">) </w:t>
      </w:r>
      <w:r w:rsidRPr="00B976F3">
        <w:rPr>
          <w:color w:val="000000"/>
          <w:lang w:eastAsia="tr-TR"/>
        </w:rPr>
        <w:t>katsayısı) 0,91 olarak hes</w:t>
      </w:r>
      <w:r w:rsidR="000934FD">
        <w:rPr>
          <w:color w:val="000000"/>
          <w:lang w:eastAsia="tr-TR"/>
        </w:rPr>
        <w:t>a</w:t>
      </w:r>
      <w:r w:rsidRPr="00B976F3">
        <w:rPr>
          <w:color w:val="000000"/>
          <w:lang w:eastAsia="tr-TR"/>
        </w:rPr>
        <w:t xml:space="preserve">plamışlardır. </w:t>
      </w:r>
    </w:p>
    <w:p w:rsidR="00B976F3" w:rsidRDefault="00B976F3" w:rsidP="00B976F3">
      <w:pPr>
        <w:autoSpaceDE w:val="0"/>
        <w:autoSpaceDN w:val="0"/>
        <w:adjustRightInd w:val="0"/>
        <w:spacing w:line="360" w:lineRule="auto"/>
        <w:ind w:firstLine="709"/>
        <w:jc w:val="both"/>
        <w:rPr>
          <w:color w:val="000000"/>
          <w:lang w:eastAsia="tr-TR"/>
        </w:rPr>
      </w:pPr>
      <w:r w:rsidRPr="00B976F3">
        <w:rPr>
          <w:color w:val="000000"/>
          <w:lang w:eastAsia="tr-TR"/>
        </w:rPr>
        <w:t xml:space="preserve">Yazarlarla elektronik posta aracılığı ile iletişime geçilerek ölçeğin uygulanması için izin istenmiştir. Alınan izinden sonra, iki </w:t>
      </w:r>
      <w:r w:rsidR="000934FD" w:rsidRPr="00B976F3">
        <w:rPr>
          <w:color w:val="000000"/>
          <w:lang w:eastAsia="tr-TR"/>
        </w:rPr>
        <w:t>İngilizce</w:t>
      </w:r>
      <w:r w:rsidRPr="00B976F3">
        <w:rPr>
          <w:color w:val="000000"/>
          <w:lang w:eastAsia="tr-TR"/>
        </w:rPr>
        <w:t xml:space="preserve"> dil uzmanına ölçeği </w:t>
      </w:r>
      <w:r w:rsidR="000934FD" w:rsidRPr="00B976F3">
        <w:rPr>
          <w:color w:val="000000"/>
          <w:lang w:eastAsia="tr-TR"/>
        </w:rPr>
        <w:t>İngilizceden</w:t>
      </w:r>
      <w:r w:rsidRPr="00B976F3">
        <w:rPr>
          <w:color w:val="000000"/>
          <w:lang w:eastAsia="tr-TR"/>
        </w:rPr>
        <w:t xml:space="preserve"> Türkçeye çevirmesi istenmiştir. Çevrinin Türkçeye uyarlanmasından sonra iki Türk dil uzmanına ölçeğin Türkçe hali verilmiş, </w:t>
      </w:r>
      <w:proofErr w:type="spellStart"/>
      <w:r w:rsidRPr="00B976F3">
        <w:rPr>
          <w:color w:val="000000"/>
          <w:lang w:eastAsia="tr-TR"/>
        </w:rPr>
        <w:t>anlaşırlığına</w:t>
      </w:r>
      <w:proofErr w:type="spellEnd"/>
      <w:r w:rsidRPr="00B976F3">
        <w:rPr>
          <w:color w:val="000000"/>
          <w:lang w:eastAsia="tr-TR"/>
        </w:rPr>
        <w:t xml:space="preserve"> ilişkin yapılan düzenlemeden sonra karşılaştırılma yapılarak, ölçeğin geçerliliği sağlanmıştır. </w:t>
      </w:r>
      <w:r w:rsidR="000934FD" w:rsidRPr="00B976F3">
        <w:rPr>
          <w:color w:val="000000"/>
          <w:lang w:eastAsia="tr-TR"/>
        </w:rPr>
        <w:t>Orijinal</w:t>
      </w:r>
      <w:r w:rsidRPr="00B976F3">
        <w:rPr>
          <w:color w:val="000000"/>
          <w:lang w:eastAsia="tr-TR"/>
        </w:rPr>
        <w:t xml:space="preserve"> ölçekte boş</w:t>
      </w:r>
      <w:r w:rsidR="000033A5">
        <w:rPr>
          <w:color w:val="000000"/>
          <w:lang w:eastAsia="tr-TR"/>
        </w:rPr>
        <w:t>luk doldurma şeklinde</w:t>
      </w:r>
      <w:r w:rsidRPr="00B976F3">
        <w:rPr>
          <w:color w:val="000000"/>
          <w:lang w:eastAsia="tr-TR"/>
        </w:rPr>
        <w:t xml:space="preserve"> </w:t>
      </w:r>
      <w:r w:rsidR="000033A5">
        <w:rPr>
          <w:color w:val="000000"/>
          <w:lang w:eastAsia="tr-TR"/>
        </w:rPr>
        <w:t>maddelere karşılık</w:t>
      </w:r>
      <w:r w:rsidRPr="00B976F3">
        <w:rPr>
          <w:color w:val="000000"/>
          <w:lang w:eastAsia="tr-TR"/>
        </w:rPr>
        <w:t xml:space="preserve"> </w:t>
      </w:r>
      <w:proofErr w:type="spellStart"/>
      <w:r w:rsidRPr="00B976F3">
        <w:rPr>
          <w:color w:val="000000"/>
          <w:lang w:eastAsia="tr-TR"/>
        </w:rPr>
        <w:t>likert</w:t>
      </w:r>
      <w:proofErr w:type="spellEnd"/>
      <w:r w:rsidRPr="00B976F3">
        <w:rPr>
          <w:color w:val="000000"/>
          <w:lang w:eastAsia="tr-TR"/>
        </w:rPr>
        <w:t xml:space="preserve"> ölçekte karşılık gelen ifadeler </w:t>
      </w:r>
      <w:r w:rsidR="000033A5">
        <w:rPr>
          <w:color w:val="000000"/>
          <w:lang w:eastAsia="tr-TR"/>
        </w:rPr>
        <w:lastRenderedPageBreak/>
        <w:t>işaretlenmektedir</w:t>
      </w:r>
      <w:r w:rsidRPr="00B976F3">
        <w:rPr>
          <w:color w:val="000000"/>
          <w:lang w:eastAsia="tr-TR"/>
        </w:rPr>
        <w:t xml:space="preserve">. Ancak </w:t>
      </w:r>
      <w:r w:rsidR="00E57E0E">
        <w:rPr>
          <w:color w:val="000000"/>
          <w:lang w:eastAsia="tr-TR"/>
        </w:rPr>
        <w:t>u</w:t>
      </w:r>
      <w:r w:rsidR="000033A5">
        <w:rPr>
          <w:color w:val="000000"/>
          <w:lang w:eastAsia="tr-TR"/>
        </w:rPr>
        <w:t xml:space="preserve">zman görüşleri doğrultusunda, maddelerin </w:t>
      </w:r>
      <w:r w:rsidRPr="00B976F3">
        <w:rPr>
          <w:color w:val="000000"/>
          <w:lang w:eastAsia="tr-TR"/>
        </w:rPr>
        <w:t xml:space="preserve">Türkçede </w:t>
      </w:r>
      <w:proofErr w:type="spellStart"/>
      <w:r w:rsidRPr="00B976F3">
        <w:rPr>
          <w:color w:val="000000"/>
          <w:lang w:eastAsia="tr-TR"/>
        </w:rPr>
        <w:t>anlaşılabilirliği</w:t>
      </w:r>
      <w:proofErr w:type="spellEnd"/>
      <w:r w:rsidRPr="00B976F3">
        <w:rPr>
          <w:color w:val="000000"/>
          <w:lang w:eastAsia="tr-TR"/>
        </w:rPr>
        <w:t xml:space="preserve"> arttırmak için ifadeler boşluk verilmeden cümle olarak sunulmasına kara</w:t>
      </w:r>
      <w:r w:rsidR="00487668">
        <w:rPr>
          <w:color w:val="000000"/>
          <w:lang w:eastAsia="tr-TR"/>
        </w:rPr>
        <w:t>r</w:t>
      </w:r>
      <w:r w:rsidRPr="00B976F3">
        <w:rPr>
          <w:color w:val="000000"/>
          <w:lang w:eastAsia="tr-TR"/>
        </w:rPr>
        <w:t xml:space="preserve"> verilmiştir. Ölçek, iki Türkçe öğretmenine inceletilmiş, 20 okul öncesi öğretmen adayına </w:t>
      </w:r>
      <w:r w:rsidR="00A51800">
        <w:rPr>
          <w:color w:val="000000"/>
          <w:lang w:eastAsia="tr-TR"/>
        </w:rPr>
        <w:t xml:space="preserve">uygulatılmış, </w:t>
      </w:r>
      <w:proofErr w:type="spellStart"/>
      <w:r w:rsidR="0023324F">
        <w:rPr>
          <w:color w:val="000000"/>
          <w:lang w:eastAsia="tr-TR"/>
        </w:rPr>
        <w:t>anlaşılabilirlik</w:t>
      </w:r>
      <w:proofErr w:type="spellEnd"/>
      <w:r w:rsidR="0023324F">
        <w:rPr>
          <w:color w:val="000000"/>
          <w:lang w:eastAsia="tr-TR"/>
        </w:rPr>
        <w:t xml:space="preserve"> ve</w:t>
      </w:r>
      <w:r w:rsidR="00A51800">
        <w:rPr>
          <w:color w:val="000000"/>
          <w:lang w:eastAsia="tr-TR"/>
        </w:rPr>
        <w:t xml:space="preserve"> </w:t>
      </w:r>
      <w:r w:rsidRPr="00B976F3">
        <w:rPr>
          <w:color w:val="000000"/>
          <w:lang w:eastAsia="tr-TR"/>
        </w:rPr>
        <w:t>şablondaki hatalar düzeltilmiştir. Son olarak 25</w:t>
      </w:r>
      <w:r w:rsidR="00487668">
        <w:rPr>
          <w:color w:val="000000"/>
          <w:lang w:eastAsia="tr-TR"/>
        </w:rPr>
        <w:t xml:space="preserve"> kişiden oluşan </w:t>
      </w:r>
      <w:r w:rsidRPr="00B976F3">
        <w:rPr>
          <w:color w:val="000000"/>
          <w:lang w:eastAsia="tr-TR"/>
        </w:rPr>
        <w:t xml:space="preserve">8. </w:t>
      </w:r>
      <w:r w:rsidR="00487668">
        <w:rPr>
          <w:color w:val="000000"/>
          <w:lang w:eastAsia="tr-TR"/>
        </w:rPr>
        <w:t>s</w:t>
      </w:r>
      <w:r w:rsidRPr="00B976F3">
        <w:rPr>
          <w:color w:val="000000"/>
          <w:lang w:eastAsia="tr-TR"/>
        </w:rPr>
        <w:t xml:space="preserve">ınıf öğrencisine ön uygulama yapılmış ve ölçeğe son şekli verilmiştir. </w:t>
      </w:r>
    </w:p>
    <w:p w:rsidR="000033A5" w:rsidRPr="00B976F3" w:rsidRDefault="000033A5" w:rsidP="00B976F3">
      <w:pPr>
        <w:autoSpaceDE w:val="0"/>
        <w:autoSpaceDN w:val="0"/>
        <w:adjustRightInd w:val="0"/>
        <w:spacing w:line="360" w:lineRule="auto"/>
        <w:ind w:firstLine="709"/>
        <w:jc w:val="both"/>
        <w:rPr>
          <w:color w:val="000000"/>
          <w:lang w:eastAsia="tr-TR"/>
        </w:rPr>
      </w:pPr>
    </w:p>
    <w:p w:rsidR="00B976F3" w:rsidRPr="00B976F3" w:rsidRDefault="00B976F3" w:rsidP="00B976F3">
      <w:pPr>
        <w:autoSpaceDE w:val="0"/>
        <w:autoSpaceDN w:val="0"/>
        <w:adjustRightInd w:val="0"/>
        <w:spacing w:line="360" w:lineRule="auto"/>
        <w:ind w:firstLine="709"/>
        <w:jc w:val="both"/>
        <w:rPr>
          <w:b/>
          <w:bCs/>
          <w:color w:val="000000"/>
          <w:lang w:eastAsia="tr-TR"/>
        </w:rPr>
      </w:pPr>
      <w:r w:rsidRPr="00B976F3">
        <w:rPr>
          <w:b/>
          <w:bCs/>
          <w:color w:val="000000"/>
          <w:lang w:eastAsia="tr-TR"/>
        </w:rPr>
        <w:t>Verilerin analizi</w:t>
      </w:r>
    </w:p>
    <w:p w:rsidR="00B976F3" w:rsidRPr="00B976F3" w:rsidRDefault="00B976F3" w:rsidP="00B976F3">
      <w:pPr>
        <w:autoSpaceDE w:val="0"/>
        <w:autoSpaceDN w:val="0"/>
        <w:adjustRightInd w:val="0"/>
        <w:spacing w:line="360" w:lineRule="auto"/>
        <w:ind w:firstLine="709"/>
        <w:jc w:val="both"/>
        <w:rPr>
          <w:color w:val="000000"/>
          <w:lang w:eastAsia="tr-TR"/>
        </w:rPr>
      </w:pPr>
      <w:r w:rsidRPr="00B976F3">
        <w:rPr>
          <w:color w:val="000000"/>
          <w:lang w:eastAsia="tr-TR"/>
        </w:rPr>
        <w:t>Ölçeğin güvenirliğini belirlemek için tüm alanlar ve boyutlar için SPSS 22.0 paket program kullanılarak güvenirlik analizi yapılmıştır. Ardından maddelerin or</w:t>
      </w:r>
      <w:r w:rsidR="000934FD">
        <w:rPr>
          <w:color w:val="000000"/>
          <w:lang w:eastAsia="tr-TR"/>
        </w:rPr>
        <w:t>ij</w:t>
      </w:r>
      <w:r w:rsidRPr="00B976F3">
        <w:rPr>
          <w:color w:val="000000"/>
          <w:lang w:eastAsia="tr-TR"/>
        </w:rPr>
        <w:t>inal ölçekle ilişkisini incelemek AMOS 22.0 program ile doğrulayıcı faktör analizi (DFA) yapılmıştır. Bunun yanı sıra büyük örneklemlerde DFA sonucunun yorumlanmasında, büyüyen örneklemle birlikte ki-kare değeri ve serbestlik derecesi etkilenmekte, bu durum yanlış yorumların yapılmasına neden olabilmektedir (Çokluk, Şekercioğlu ve Büyüköztürk, 2012: 268). Bu nedenle DFA sonucunun yorumlanmasında ki-kare değerinin serbestlik derecesine bölümü yerine RMSEA, AGFI, SRMR, GFI uyum indekslerine yer verilmiştir.</w:t>
      </w:r>
    </w:p>
    <w:p w:rsidR="00990694" w:rsidRDefault="00B976F3" w:rsidP="006527FB">
      <w:pPr>
        <w:autoSpaceDE w:val="0"/>
        <w:autoSpaceDN w:val="0"/>
        <w:adjustRightInd w:val="0"/>
        <w:spacing w:line="360" w:lineRule="auto"/>
        <w:ind w:firstLine="709"/>
        <w:jc w:val="both"/>
        <w:rPr>
          <w:color w:val="000000"/>
          <w:lang w:eastAsia="tr-TR"/>
        </w:rPr>
      </w:pPr>
      <w:r w:rsidRPr="00B976F3">
        <w:rPr>
          <w:color w:val="000000"/>
          <w:lang w:eastAsia="tr-TR"/>
        </w:rPr>
        <w:t xml:space="preserve">Tablo 2.’de Ölçeğin güvenirliğine ilişkin 25 maddeden oluşan bilim, teknoloji, mühendislik, matematik boyutlarının </w:t>
      </w:r>
      <w:proofErr w:type="spellStart"/>
      <w:r w:rsidR="004B7E70">
        <w:rPr>
          <w:color w:val="000000"/>
          <w:lang w:eastAsia="tr-TR"/>
        </w:rPr>
        <w:t>C</w:t>
      </w:r>
      <w:r w:rsidRPr="00B976F3">
        <w:rPr>
          <w:color w:val="000000"/>
          <w:lang w:eastAsia="tr-TR"/>
        </w:rPr>
        <w:t>ronbach</w:t>
      </w:r>
      <w:proofErr w:type="spellEnd"/>
      <w:r w:rsidRPr="00B976F3">
        <w:rPr>
          <w:color w:val="000000"/>
          <w:lang w:eastAsia="tr-TR"/>
        </w:rPr>
        <w:t xml:space="preserve"> </w:t>
      </w:r>
      <w:r w:rsidR="004B7E70">
        <w:rPr>
          <w:color w:val="000000"/>
          <w:lang w:eastAsia="tr-TR"/>
        </w:rPr>
        <w:t>A</w:t>
      </w:r>
      <w:r w:rsidRPr="00B976F3">
        <w:rPr>
          <w:color w:val="000000"/>
          <w:lang w:eastAsia="tr-TR"/>
        </w:rPr>
        <w:t xml:space="preserve">lpha güvenirlik katsayısı 0,84 hesaplanmıştır. </w:t>
      </w:r>
      <w:bookmarkStart w:id="6" w:name="_Hlk24727664"/>
      <w:r w:rsidRPr="00B976F3">
        <w:rPr>
          <w:color w:val="000000"/>
          <w:lang w:eastAsia="tr-TR"/>
        </w:rPr>
        <w:t xml:space="preserve">Bilim boyutunda güvenirlik katsayısı </w:t>
      </w:r>
      <w:bookmarkEnd w:id="6"/>
      <w:r w:rsidRPr="00B976F3">
        <w:rPr>
          <w:color w:val="000000"/>
          <w:lang w:eastAsia="tr-TR"/>
        </w:rPr>
        <w:t xml:space="preserve">(5. </w:t>
      </w:r>
      <w:r w:rsidR="00487668">
        <w:rPr>
          <w:color w:val="000000"/>
          <w:lang w:eastAsia="tr-TR"/>
        </w:rPr>
        <w:t>m</w:t>
      </w:r>
      <w:r w:rsidRPr="00B976F3">
        <w:rPr>
          <w:color w:val="000000"/>
          <w:lang w:eastAsia="tr-TR"/>
        </w:rPr>
        <w:t>adde çıkartılmıştır) 0,69</w:t>
      </w:r>
      <w:r w:rsidR="00260EEF">
        <w:rPr>
          <w:color w:val="000000"/>
          <w:lang w:eastAsia="tr-TR"/>
        </w:rPr>
        <w:t>6</w:t>
      </w:r>
      <w:r w:rsidRPr="00B976F3">
        <w:rPr>
          <w:color w:val="000000"/>
          <w:lang w:eastAsia="tr-TR"/>
        </w:rPr>
        <w:t xml:space="preserve"> olarak hesaplanmıştır</w:t>
      </w:r>
      <w:r w:rsidR="00260EEF">
        <w:rPr>
          <w:color w:val="000000"/>
          <w:lang w:eastAsia="tr-TR"/>
        </w:rPr>
        <w:t xml:space="preserve"> (değer 0.70’e yakın olduğunda başka madde çıkarılmamıştır)</w:t>
      </w:r>
      <w:r w:rsidRPr="00B976F3">
        <w:rPr>
          <w:color w:val="000000"/>
          <w:lang w:eastAsia="tr-TR"/>
        </w:rPr>
        <w:t>. Teknoloji boyutunda güvenirlik katsayısı 0,75, mühendislik boyutunda (21. madde çıkarılmıştır) güvenirlik katsayısı 0,72, matematik boyutunda güvenirlik katsayısı (27. madde çıkarılmıştır) 0,80</w:t>
      </w:r>
      <w:r w:rsidR="00487668">
        <w:rPr>
          <w:color w:val="000000"/>
          <w:lang w:eastAsia="tr-TR"/>
        </w:rPr>
        <w:t xml:space="preserve"> olduğu belirlenmiştir.</w:t>
      </w:r>
      <w:r w:rsidRPr="00B976F3">
        <w:rPr>
          <w:color w:val="000000"/>
          <w:lang w:eastAsia="tr-TR"/>
        </w:rPr>
        <w:t xml:space="preserve"> Tüm boyutlar için güvenirlik katsayısının 0.70 ve üzerinde olması ölçeğin güvenirliği için yeterli olduğu ifade edilmektedir</w:t>
      </w:r>
      <w:r w:rsidR="00382C89" w:rsidRPr="00382C89">
        <w:t xml:space="preserve"> </w:t>
      </w:r>
      <w:r w:rsidR="00382C89" w:rsidRPr="00382C89">
        <w:rPr>
          <w:color w:val="000000"/>
          <w:lang w:eastAsia="tr-TR"/>
        </w:rPr>
        <w:t>(Büyüköztürk, 2011)</w:t>
      </w:r>
      <w:r w:rsidRPr="00B976F3">
        <w:rPr>
          <w:color w:val="000000"/>
          <w:lang w:eastAsia="tr-TR"/>
        </w:rPr>
        <w:t>. Matematik ve bilim boyutunda güvenirlik katsayısının 0.70’e çok yakın olduğu görülmektedir</w:t>
      </w:r>
      <w:r w:rsidR="00856270">
        <w:rPr>
          <w:color w:val="000000"/>
          <w:lang w:eastAsia="tr-TR"/>
        </w:rPr>
        <w:t>. Ori</w:t>
      </w:r>
      <w:r w:rsidR="00050655">
        <w:rPr>
          <w:color w:val="000000"/>
          <w:lang w:eastAsia="tr-TR"/>
        </w:rPr>
        <w:t>j</w:t>
      </w:r>
      <w:r w:rsidR="00856270">
        <w:rPr>
          <w:color w:val="000000"/>
          <w:lang w:eastAsia="tr-TR"/>
        </w:rPr>
        <w:t xml:space="preserve">inal ölçekte ise güvenirlik katsayıları bilim boyutu </w:t>
      </w:r>
      <w:r w:rsidR="00856270" w:rsidRPr="00856270">
        <w:rPr>
          <w:color w:val="000000"/>
          <w:lang w:eastAsia="tr-TR"/>
        </w:rPr>
        <w:t>için 0.838, Te</w:t>
      </w:r>
      <w:r w:rsidR="00856270">
        <w:rPr>
          <w:color w:val="000000"/>
          <w:lang w:eastAsia="tr-TR"/>
        </w:rPr>
        <w:t>k</w:t>
      </w:r>
      <w:r w:rsidR="00856270" w:rsidRPr="00856270">
        <w:rPr>
          <w:color w:val="000000"/>
          <w:lang w:eastAsia="tr-TR"/>
        </w:rPr>
        <w:t>nolo</w:t>
      </w:r>
      <w:r w:rsidR="00856270">
        <w:rPr>
          <w:color w:val="000000"/>
          <w:lang w:eastAsia="tr-TR"/>
        </w:rPr>
        <w:t xml:space="preserve">ji boyutu </w:t>
      </w:r>
      <w:r w:rsidR="00856270" w:rsidRPr="00856270">
        <w:rPr>
          <w:color w:val="000000"/>
          <w:lang w:eastAsia="tr-TR"/>
        </w:rPr>
        <w:t xml:space="preserve">için 0.793, </w:t>
      </w:r>
      <w:r w:rsidR="00856270">
        <w:rPr>
          <w:color w:val="000000"/>
          <w:lang w:eastAsia="tr-TR"/>
        </w:rPr>
        <w:t xml:space="preserve">Mühendislik boyutu </w:t>
      </w:r>
      <w:r w:rsidR="00856270" w:rsidRPr="00856270">
        <w:rPr>
          <w:color w:val="000000"/>
          <w:lang w:eastAsia="tr-TR"/>
        </w:rPr>
        <w:t xml:space="preserve">için 0.863 ve </w:t>
      </w:r>
      <w:r w:rsidR="00856270">
        <w:rPr>
          <w:color w:val="000000"/>
          <w:lang w:eastAsia="tr-TR"/>
        </w:rPr>
        <w:t>Matematik boyutu</w:t>
      </w:r>
      <w:r w:rsidR="00856270" w:rsidRPr="00856270">
        <w:rPr>
          <w:color w:val="000000"/>
          <w:lang w:eastAsia="tr-TR"/>
        </w:rPr>
        <w:t xml:space="preserve"> için 0.757</w:t>
      </w:r>
      <w:r w:rsidR="00856270">
        <w:rPr>
          <w:color w:val="000000"/>
          <w:lang w:eastAsia="tr-TR"/>
        </w:rPr>
        <w:t xml:space="preserve"> olarak hesaplanmıştır. Tüm ölçeğin güvenirlik katsayısı 0,91 olarak bulunmuştur. Dolayısıyla orijinal ölçek ile </w:t>
      </w:r>
      <w:r w:rsidR="00857DD5">
        <w:rPr>
          <w:color w:val="000000"/>
          <w:lang w:eastAsia="tr-TR"/>
        </w:rPr>
        <w:t>Türkçe ’ye</w:t>
      </w:r>
      <w:r w:rsidR="00856270">
        <w:rPr>
          <w:color w:val="000000"/>
          <w:lang w:eastAsia="tr-TR"/>
        </w:rPr>
        <w:t xml:space="preserve"> uyarlanan ölçek arasında yakın değerlere ulaşıldığı görülmektedir.</w:t>
      </w:r>
    </w:p>
    <w:p w:rsidR="00857DD5" w:rsidRDefault="00857DD5" w:rsidP="006527FB">
      <w:pPr>
        <w:autoSpaceDE w:val="0"/>
        <w:autoSpaceDN w:val="0"/>
        <w:adjustRightInd w:val="0"/>
        <w:spacing w:line="360" w:lineRule="auto"/>
        <w:ind w:firstLine="709"/>
        <w:jc w:val="both"/>
        <w:rPr>
          <w:color w:val="000000"/>
          <w:lang w:eastAsia="tr-TR"/>
        </w:rPr>
      </w:pPr>
    </w:p>
    <w:p w:rsidR="00857DD5" w:rsidRDefault="00857DD5" w:rsidP="006527FB">
      <w:pPr>
        <w:autoSpaceDE w:val="0"/>
        <w:autoSpaceDN w:val="0"/>
        <w:adjustRightInd w:val="0"/>
        <w:spacing w:line="360" w:lineRule="auto"/>
        <w:ind w:firstLine="709"/>
        <w:jc w:val="both"/>
        <w:rPr>
          <w:color w:val="000000"/>
          <w:lang w:eastAsia="tr-TR"/>
        </w:rPr>
      </w:pPr>
    </w:p>
    <w:p w:rsidR="00E57E0E" w:rsidRPr="006527FB" w:rsidRDefault="00E57E0E" w:rsidP="00266DD8">
      <w:pPr>
        <w:autoSpaceDE w:val="0"/>
        <w:autoSpaceDN w:val="0"/>
        <w:adjustRightInd w:val="0"/>
        <w:spacing w:line="360" w:lineRule="auto"/>
        <w:jc w:val="both"/>
        <w:rPr>
          <w:color w:val="000000"/>
          <w:lang w:eastAsia="tr-TR"/>
        </w:rPr>
      </w:pPr>
    </w:p>
    <w:p w:rsidR="00B976F3" w:rsidRPr="00990694" w:rsidRDefault="00B976F3" w:rsidP="00921CDC">
      <w:pPr>
        <w:autoSpaceDE w:val="0"/>
        <w:autoSpaceDN w:val="0"/>
        <w:adjustRightInd w:val="0"/>
        <w:spacing w:line="360" w:lineRule="auto"/>
        <w:jc w:val="center"/>
        <w:rPr>
          <w:color w:val="000000"/>
          <w:lang w:eastAsia="tr-TR"/>
        </w:rPr>
      </w:pPr>
      <w:r w:rsidRPr="00921CDC">
        <w:rPr>
          <w:b/>
          <w:bCs/>
          <w:color w:val="000000"/>
          <w:lang w:eastAsia="tr-TR"/>
        </w:rPr>
        <w:lastRenderedPageBreak/>
        <w:t>Tablo 2.</w:t>
      </w:r>
      <w:r w:rsidRPr="00990694">
        <w:rPr>
          <w:color w:val="000000"/>
          <w:lang w:eastAsia="tr-TR"/>
        </w:rPr>
        <w:t xml:space="preserve"> Ölçeğin güvenirlik katsayıları</w:t>
      </w:r>
    </w:p>
    <w:tbl>
      <w:tblPr>
        <w:tblW w:w="0" w:type="auto"/>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2896"/>
        <w:gridCol w:w="2826"/>
        <w:gridCol w:w="2783"/>
      </w:tblGrid>
      <w:tr w:rsidR="00B976F3" w:rsidRPr="00B976F3" w:rsidTr="00A277BA">
        <w:trPr>
          <w:jc w:val="center"/>
        </w:trPr>
        <w:tc>
          <w:tcPr>
            <w:tcW w:w="3024" w:type="dxa"/>
            <w:tcBorders>
              <w:bottom w:val="single" w:sz="4" w:space="0" w:color="auto"/>
            </w:tcBorders>
            <w:shd w:val="clear" w:color="auto" w:fill="auto"/>
          </w:tcPr>
          <w:p w:rsidR="00B976F3" w:rsidRPr="00B976F3" w:rsidRDefault="00B976F3" w:rsidP="00A277BA">
            <w:pPr>
              <w:autoSpaceDE w:val="0"/>
              <w:autoSpaceDN w:val="0"/>
              <w:adjustRightInd w:val="0"/>
              <w:ind w:firstLine="709"/>
              <w:jc w:val="center"/>
              <w:rPr>
                <w:b/>
                <w:bCs/>
                <w:color w:val="000000"/>
                <w:lang w:eastAsia="tr-TR"/>
              </w:rPr>
            </w:pPr>
            <w:bookmarkStart w:id="7" w:name="_Hlk24880753"/>
            <w:r w:rsidRPr="00B976F3">
              <w:rPr>
                <w:b/>
                <w:bCs/>
                <w:color w:val="000000"/>
                <w:lang w:eastAsia="tr-TR"/>
              </w:rPr>
              <w:t>Boyut</w:t>
            </w:r>
          </w:p>
        </w:tc>
        <w:tc>
          <w:tcPr>
            <w:tcW w:w="3025" w:type="dxa"/>
            <w:tcBorders>
              <w:bottom w:val="single" w:sz="4" w:space="0" w:color="auto"/>
            </w:tcBorders>
            <w:shd w:val="clear" w:color="auto" w:fill="auto"/>
          </w:tcPr>
          <w:p w:rsidR="00B976F3" w:rsidRPr="00B976F3" w:rsidRDefault="00B976F3" w:rsidP="00A277BA">
            <w:pPr>
              <w:autoSpaceDE w:val="0"/>
              <w:autoSpaceDN w:val="0"/>
              <w:adjustRightInd w:val="0"/>
              <w:ind w:firstLine="709"/>
              <w:jc w:val="center"/>
              <w:rPr>
                <w:b/>
                <w:bCs/>
                <w:color w:val="000000"/>
                <w:lang w:eastAsia="tr-TR"/>
              </w:rPr>
            </w:pPr>
            <w:r w:rsidRPr="00B976F3">
              <w:rPr>
                <w:b/>
                <w:bCs/>
                <w:color w:val="000000"/>
                <w:lang w:eastAsia="tr-TR"/>
              </w:rPr>
              <w:t>Madde Sayısı</w:t>
            </w:r>
          </w:p>
        </w:tc>
        <w:tc>
          <w:tcPr>
            <w:tcW w:w="3025" w:type="dxa"/>
            <w:tcBorders>
              <w:bottom w:val="single" w:sz="4" w:space="0" w:color="auto"/>
            </w:tcBorders>
            <w:shd w:val="clear" w:color="auto" w:fill="auto"/>
          </w:tcPr>
          <w:p w:rsidR="00B976F3" w:rsidRPr="00B976F3" w:rsidRDefault="00B976F3" w:rsidP="00A277BA">
            <w:pPr>
              <w:autoSpaceDE w:val="0"/>
              <w:autoSpaceDN w:val="0"/>
              <w:adjustRightInd w:val="0"/>
              <w:jc w:val="center"/>
              <w:rPr>
                <w:b/>
                <w:bCs/>
                <w:color w:val="000000"/>
                <w:lang w:eastAsia="tr-TR"/>
              </w:rPr>
            </w:pPr>
            <w:r w:rsidRPr="00B976F3">
              <w:rPr>
                <w:b/>
                <w:bCs/>
                <w:color w:val="000000"/>
                <w:lang w:eastAsia="tr-TR"/>
              </w:rPr>
              <w:t>Güvenirlik katsayısı</w:t>
            </w:r>
          </w:p>
        </w:tc>
      </w:tr>
      <w:tr w:rsidR="00B976F3" w:rsidRPr="00B976F3" w:rsidTr="00A277BA">
        <w:trPr>
          <w:jc w:val="center"/>
        </w:trPr>
        <w:tc>
          <w:tcPr>
            <w:tcW w:w="3024" w:type="dxa"/>
            <w:tcBorders>
              <w:bottom w:val="nil"/>
            </w:tcBorders>
            <w:shd w:val="clear" w:color="auto" w:fill="auto"/>
          </w:tcPr>
          <w:p w:rsidR="00B976F3" w:rsidRPr="00B976F3" w:rsidRDefault="00B976F3" w:rsidP="00A277BA">
            <w:pPr>
              <w:autoSpaceDE w:val="0"/>
              <w:autoSpaceDN w:val="0"/>
              <w:adjustRightInd w:val="0"/>
              <w:ind w:firstLine="709"/>
              <w:jc w:val="center"/>
              <w:rPr>
                <w:color w:val="000000"/>
                <w:lang w:eastAsia="tr-TR"/>
              </w:rPr>
            </w:pPr>
            <w:r w:rsidRPr="00B976F3">
              <w:rPr>
                <w:color w:val="000000"/>
                <w:lang w:eastAsia="tr-TR"/>
              </w:rPr>
              <w:t>Bilim</w:t>
            </w:r>
          </w:p>
        </w:tc>
        <w:tc>
          <w:tcPr>
            <w:tcW w:w="3025" w:type="dxa"/>
            <w:tcBorders>
              <w:bottom w:val="nil"/>
            </w:tcBorders>
            <w:shd w:val="clear" w:color="auto" w:fill="auto"/>
          </w:tcPr>
          <w:p w:rsidR="00B976F3" w:rsidRPr="00B976F3" w:rsidRDefault="00B976F3" w:rsidP="00A277BA">
            <w:pPr>
              <w:autoSpaceDE w:val="0"/>
              <w:autoSpaceDN w:val="0"/>
              <w:adjustRightInd w:val="0"/>
              <w:ind w:firstLine="709"/>
              <w:jc w:val="center"/>
              <w:rPr>
                <w:color w:val="000000"/>
                <w:lang w:eastAsia="tr-TR"/>
              </w:rPr>
            </w:pPr>
            <w:r w:rsidRPr="00B976F3">
              <w:rPr>
                <w:color w:val="000000"/>
                <w:lang w:eastAsia="tr-TR"/>
              </w:rPr>
              <w:t>6</w:t>
            </w:r>
          </w:p>
        </w:tc>
        <w:tc>
          <w:tcPr>
            <w:tcW w:w="3025" w:type="dxa"/>
            <w:tcBorders>
              <w:bottom w:val="nil"/>
            </w:tcBorders>
            <w:shd w:val="clear" w:color="auto" w:fill="auto"/>
          </w:tcPr>
          <w:p w:rsidR="00B976F3" w:rsidRPr="00B976F3" w:rsidRDefault="00B976F3" w:rsidP="00A277BA">
            <w:pPr>
              <w:autoSpaceDE w:val="0"/>
              <w:autoSpaceDN w:val="0"/>
              <w:adjustRightInd w:val="0"/>
              <w:ind w:firstLine="709"/>
              <w:jc w:val="center"/>
              <w:rPr>
                <w:color w:val="000000"/>
                <w:lang w:eastAsia="tr-TR"/>
              </w:rPr>
            </w:pPr>
            <w:r w:rsidRPr="00B976F3">
              <w:rPr>
                <w:color w:val="000000"/>
                <w:lang w:eastAsia="tr-TR"/>
              </w:rPr>
              <w:t>0,69</w:t>
            </w:r>
          </w:p>
        </w:tc>
      </w:tr>
      <w:tr w:rsidR="00B976F3" w:rsidRPr="00B976F3" w:rsidTr="00A277BA">
        <w:trPr>
          <w:jc w:val="center"/>
        </w:trPr>
        <w:tc>
          <w:tcPr>
            <w:tcW w:w="3024" w:type="dxa"/>
            <w:tcBorders>
              <w:top w:val="nil"/>
              <w:bottom w:val="nil"/>
            </w:tcBorders>
            <w:shd w:val="clear" w:color="auto" w:fill="auto"/>
          </w:tcPr>
          <w:p w:rsidR="00B976F3" w:rsidRPr="00B976F3" w:rsidRDefault="00B976F3" w:rsidP="00A277BA">
            <w:pPr>
              <w:autoSpaceDE w:val="0"/>
              <w:autoSpaceDN w:val="0"/>
              <w:adjustRightInd w:val="0"/>
              <w:ind w:firstLine="709"/>
              <w:jc w:val="center"/>
              <w:rPr>
                <w:color w:val="000000"/>
                <w:lang w:eastAsia="tr-TR"/>
              </w:rPr>
            </w:pPr>
            <w:r w:rsidRPr="00B976F3">
              <w:rPr>
                <w:color w:val="000000"/>
                <w:lang w:eastAsia="tr-TR"/>
              </w:rPr>
              <w:t>Teknoloji</w:t>
            </w:r>
          </w:p>
        </w:tc>
        <w:tc>
          <w:tcPr>
            <w:tcW w:w="3025" w:type="dxa"/>
            <w:tcBorders>
              <w:top w:val="nil"/>
              <w:bottom w:val="nil"/>
            </w:tcBorders>
            <w:shd w:val="clear" w:color="auto" w:fill="auto"/>
          </w:tcPr>
          <w:p w:rsidR="00B976F3" w:rsidRPr="00B976F3" w:rsidRDefault="00B976F3" w:rsidP="00A277BA">
            <w:pPr>
              <w:autoSpaceDE w:val="0"/>
              <w:autoSpaceDN w:val="0"/>
              <w:adjustRightInd w:val="0"/>
              <w:ind w:firstLine="709"/>
              <w:jc w:val="center"/>
              <w:rPr>
                <w:color w:val="000000"/>
                <w:lang w:eastAsia="tr-TR"/>
              </w:rPr>
            </w:pPr>
            <w:r w:rsidRPr="00B976F3">
              <w:rPr>
                <w:color w:val="000000"/>
                <w:lang w:eastAsia="tr-TR"/>
              </w:rPr>
              <w:t>7</w:t>
            </w:r>
          </w:p>
        </w:tc>
        <w:tc>
          <w:tcPr>
            <w:tcW w:w="3025" w:type="dxa"/>
            <w:tcBorders>
              <w:top w:val="nil"/>
              <w:bottom w:val="nil"/>
            </w:tcBorders>
            <w:shd w:val="clear" w:color="auto" w:fill="auto"/>
          </w:tcPr>
          <w:p w:rsidR="00B976F3" w:rsidRPr="00B976F3" w:rsidRDefault="00B976F3" w:rsidP="00A277BA">
            <w:pPr>
              <w:autoSpaceDE w:val="0"/>
              <w:autoSpaceDN w:val="0"/>
              <w:adjustRightInd w:val="0"/>
              <w:ind w:firstLine="709"/>
              <w:jc w:val="center"/>
              <w:rPr>
                <w:color w:val="000000"/>
                <w:lang w:eastAsia="tr-TR"/>
              </w:rPr>
            </w:pPr>
            <w:r w:rsidRPr="00B976F3">
              <w:rPr>
                <w:color w:val="000000"/>
                <w:lang w:eastAsia="tr-TR"/>
              </w:rPr>
              <w:t>0,7</w:t>
            </w:r>
            <w:r w:rsidR="00857DD5">
              <w:rPr>
                <w:color w:val="000000"/>
                <w:lang w:eastAsia="tr-TR"/>
              </w:rPr>
              <w:t>2</w:t>
            </w:r>
          </w:p>
        </w:tc>
      </w:tr>
      <w:tr w:rsidR="00B976F3" w:rsidRPr="00B976F3" w:rsidTr="00A277BA">
        <w:trPr>
          <w:jc w:val="center"/>
        </w:trPr>
        <w:tc>
          <w:tcPr>
            <w:tcW w:w="3024" w:type="dxa"/>
            <w:tcBorders>
              <w:top w:val="nil"/>
              <w:bottom w:val="nil"/>
            </w:tcBorders>
            <w:shd w:val="clear" w:color="auto" w:fill="auto"/>
          </w:tcPr>
          <w:p w:rsidR="00B976F3" w:rsidRPr="00B976F3" w:rsidRDefault="00B976F3" w:rsidP="00A277BA">
            <w:pPr>
              <w:autoSpaceDE w:val="0"/>
              <w:autoSpaceDN w:val="0"/>
              <w:adjustRightInd w:val="0"/>
              <w:ind w:firstLine="709"/>
              <w:jc w:val="center"/>
              <w:rPr>
                <w:color w:val="000000"/>
                <w:lang w:eastAsia="tr-TR"/>
              </w:rPr>
            </w:pPr>
            <w:r w:rsidRPr="00B976F3">
              <w:rPr>
                <w:color w:val="000000"/>
                <w:lang w:eastAsia="tr-TR"/>
              </w:rPr>
              <w:t>Mühendislik</w:t>
            </w:r>
          </w:p>
        </w:tc>
        <w:tc>
          <w:tcPr>
            <w:tcW w:w="3025" w:type="dxa"/>
            <w:tcBorders>
              <w:top w:val="nil"/>
              <w:bottom w:val="nil"/>
            </w:tcBorders>
            <w:shd w:val="clear" w:color="auto" w:fill="auto"/>
          </w:tcPr>
          <w:p w:rsidR="00B976F3" w:rsidRPr="00B976F3" w:rsidRDefault="00B976F3" w:rsidP="00A277BA">
            <w:pPr>
              <w:autoSpaceDE w:val="0"/>
              <w:autoSpaceDN w:val="0"/>
              <w:adjustRightInd w:val="0"/>
              <w:ind w:firstLine="709"/>
              <w:jc w:val="center"/>
              <w:rPr>
                <w:color w:val="000000"/>
                <w:lang w:eastAsia="tr-TR"/>
              </w:rPr>
            </w:pPr>
            <w:r w:rsidRPr="00B976F3">
              <w:rPr>
                <w:color w:val="000000"/>
                <w:lang w:eastAsia="tr-TR"/>
              </w:rPr>
              <w:t>5</w:t>
            </w:r>
          </w:p>
        </w:tc>
        <w:tc>
          <w:tcPr>
            <w:tcW w:w="3025" w:type="dxa"/>
            <w:tcBorders>
              <w:top w:val="nil"/>
              <w:bottom w:val="nil"/>
            </w:tcBorders>
            <w:shd w:val="clear" w:color="auto" w:fill="auto"/>
          </w:tcPr>
          <w:p w:rsidR="00B976F3" w:rsidRPr="00B976F3" w:rsidRDefault="00B976F3" w:rsidP="00A277BA">
            <w:pPr>
              <w:autoSpaceDE w:val="0"/>
              <w:autoSpaceDN w:val="0"/>
              <w:adjustRightInd w:val="0"/>
              <w:ind w:firstLine="709"/>
              <w:jc w:val="center"/>
              <w:rPr>
                <w:color w:val="000000"/>
                <w:lang w:eastAsia="tr-TR"/>
              </w:rPr>
            </w:pPr>
            <w:r w:rsidRPr="00B976F3">
              <w:rPr>
                <w:color w:val="000000"/>
                <w:lang w:eastAsia="tr-TR"/>
              </w:rPr>
              <w:t>0,72</w:t>
            </w:r>
          </w:p>
        </w:tc>
      </w:tr>
      <w:tr w:rsidR="00B976F3" w:rsidRPr="00B976F3" w:rsidTr="00A277BA">
        <w:trPr>
          <w:jc w:val="center"/>
        </w:trPr>
        <w:tc>
          <w:tcPr>
            <w:tcW w:w="3024" w:type="dxa"/>
            <w:tcBorders>
              <w:top w:val="nil"/>
              <w:bottom w:val="nil"/>
            </w:tcBorders>
            <w:shd w:val="clear" w:color="auto" w:fill="auto"/>
          </w:tcPr>
          <w:p w:rsidR="00B976F3" w:rsidRPr="00B976F3" w:rsidRDefault="00B976F3" w:rsidP="00A277BA">
            <w:pPr>
              <w:autoSpaceDE w:val="0"/>
              <w:autoSpaceDN w:val="0"/>
              <w:adjustRightInd w:val="0"/>
              <w:ind w:firstLine="709"/>
              <w:jc w:val="center"/>
              <w:rPr>
                <w:color w:val="000000"/>
                <w:lang w:eastAsia="tr-TR"/>
              </w:rPr>
            </w:pPr>
            <w:r w:rsidRPr="00B976F3">
              <w:rPr>
                <w:color w:val="000000"/>
                <w:lang w:eastAsia="tr-TR"/>
              </w:rPr>
              <w:t>Matematik</w:t>
            </w:r>
          </w:p>
        </w:tc>
        <w:tc>
          <w:tcPr>
            <w:tcW w:w="3025" w:type="dxa"/>
            <w:tcBorders>
              <w:top w:val="nil"/>
              <w:bottom w:val="nil"/>
            </w:tcBorders>
            <w:shd w:val="clear" w:color="auto" w:fill="auto"/>
          </w:tcPr>
          <w:p w:rsidR="00B976F3" w:rsidRPr="00B976F3" w:rsidRDefault="00B976F3" w:rsidP="00A277BA">
            <w:pPr>
              <w:autoSpaceDE w:val="0"/>
              <w:autoSpaceDN w:val="0"/>
              <w:adjustRightInd w:val="0"/>
              <w:ind w:firstLine="709"/>
              <w:jc w:val="center"/>
              <w:rPr>
                <w:color w:val="000000"/>
                <w:lang w:eastAsia="tr-TR"/>
              </w:rPr>
            </w:pPr>
            <w:r w:rsidRPr="00B976F3">
              <w:rPr>
                <w:color w:val="000000"/>
                <w:lang w:eastAsia="tr-TR"/>
              </w:rPr>
              <w:t>7</w:t>
            </w:r>
          </w:p>
        </w:tc>
        <w:tc>
          <w:tcPr>
            <w:tcW w:w="3025" w:type="dxa"/>
            <w:tcBorders>
              <w:top w:val="nil"/>
              <w:bottom w:val="nil"/>
            </w:tcBorders>
            <w:shd w:val="clear" w:color="auto" w:fill="auto"/>
          </w:tcPr>
          <w:p w:rsidR="00B976F3" w:rsidRPr="00B976F3" w:rsidRDefault="00B976F3" w:rsidP="00A277BA">
            <w:pPr>
              <w:autoSpaceDE w:val="0"/>
              <w:autoSpaceDN w:val="0"/>
              <w:adjustRightInd w:val="0"/>
              <w:ind w:firstLine="709"/>
              <w:jc w:val="center"/>
              <w:rPr>
                <w:color w:val="000000"/>
                <w:lang w:eastAsia="tr-TR"/>
              </w:rPr>
            </w:pPr>
            <w:r w:rsidRPr="00B976F3">
              <w:rPr>
                <w:color w:val="000000"/>
                <w:lang w:eastAsia="tr-TR"/>
              </w:rPr>
              <w:t>0,</w:t>
            </w:r>
            <w:r w:rsidR="00857DD5">
              <w:rPr>
                <w:color w:val="000000"/>
                <w:lang w:eastAsia="tr-TR"/>
              </w:rPr>
              <w:t>80</w:t>
            </w:r>
          </w:p>
        </w:tc>
      </w:tr>
      <w:tr w:rsidR="00B976F3" w:rsidRPr="00B976F3" w:rsidTr="00A277BA">
        <w:trPr>
          <w:jc w:val="center"/>
        </w:trPr>
        <w:tc>
          <w:tcPr>
            <w:tcW w:w="3024" w:type="dxa"/>
            <w:tcBorders>
              <w:top w:val="nil"/>
            </w:tcBorders>
            <w:shd w:val="clear" w:color="auto" w:fill="auto"/>
          </w:tcPr>
          <w:p w:rsidR="00B976F3" w:rsidRPr="00B976F3" w:rsidRDefault="00B976F3" w:rsidP="00A277BA">
            <w:pPr>
              <w:autoSpaceDE w:val="0"/>
              <w:autoSpaceDN w:val="0"/>
              <w:adjustRightInd w:val="0"/>
              <w:ind w:firstLine="709"/>
              <w:jc w:val="center"/>
              <w:rPr>
                <w:color w:val="000000"/>
                <w:lang w:eastAsia="tr-TR"/>
              </w:rPr>
            </w:pPr>
            <w:r w:rsidRPr="00B976F3">
              <w:rPr>
                <w:color w:val="000000"/>
                <w:lang w:eastAsia="tr-TR"/>
              </w:rPr>
              <w:t>STEM Motivasyon</w:t>
            </w:r>
          </w:p>
        </w:tc>
        <w:tc>
          <w:tcPr>
            <w:tcW w:w="3025" w:type="dxa"/>
            <w:tcBorders>
              <w:top w:val="nil"/>
            </w:tcBorders>
            <w:shd w:val="clear" w:color="auto" w:fill="auto"/>
          </w:tcPr>
          <w:p w:rsidR="00B976F3" w:rsidRPr="00B976F3" w:rsidRDefault="00B976F3" w:rsidP="00A277BA">
            <w:pPr>
              <w:autoSpaceDE w:val="0"/>
              <w:autoSpaceDN w:val="0"/>
              <w:adjustRightInd w:val="0"/>
              <w:ind w:firstLine="709"/>
              <w:jc w:val="center"/>
              <w:rPr>
                <w:color w:val="000000"/>
                <w:lang w:eastAsia="tr-TR"/>
              </w:rPr>
            </w:pPr>
            <w:r w:rsidRPr="00B976F3">
              <w:rPr>
                <w:color w:val="000000"/>
                <w:lang w:eastAsia="tr-TR"/>
              </w:rPr>
              <w:t>25</w:t>
            </w:r>
          </w:p>
        </w:tc>
        <w:tc>
          <w:tcPr>
            <w:tcW w:w="3025" w:type="dxa"/>
            <w:tcBorders>
              <w:top w:val="nil"/>
            </w:tcBorders>
            <w:shd w:val="clear" w:color="auto" w:fill="auto"/>
          </w:tcPr>
          <w:p w:rsidR="00B976F3" w:rsidRPr="00B976F3" w:rsidRDefault="00B976F3" w:rsidP="00A277BA">
            <w:pPr>
              <w:autoSpaceDE w:val="0"/>
              <w:autoSpaceDN w:val="0"/>
              <w:adjustRightInd w:val="0"/>
              <w:ind w:firstLine="709"/>
              <w:jc w:val="center"/>
              <w:rPr>
                <w:color w:val="000000"/>
                <w:lang w:eastAsia="tr-TR"/>
              </w:rPr>
            </w:pPr>
            <w:r w:rsidRPr="00B976F3">
              <w:rPr>
                <w:color w:val="000000"/>
                <w:lang w:eastAsia="tr-TR"/>
              </w:rPr>
              <w:t>0,84</w:t>
            </w:r>
          </w:p>
        </w:tc>
      </w:tr>
    </w:tbl>
    <w:p w:rsidR="00B976F3" w:rsidRDefault="00B976F3" w:rsidP="00B976F3">
      <w:pPr>
        <w:autoSpaceDE w:val="0"/>
        <w:autoSpaceDN w:val="0"/>
        <w:adjustRightInd w:val="0"/>
        <w:spacing w:line="360" w:lineRule="auto"/>
        <w:ind w:firstLine="709"/>
        <w:jc w:val="both"/>
        <w:rPr>
          <w:color w:val="000000"/>
          <w:lang w:eastAsia="tr-TR"/>
        </w:rPr>
      </w:pPr>
      <w:bookmarkStart w:id="8" w:name="_Hlk24880915"/>
      <w:bookmarkEnd w:id="7"/>
      <w:r w:rsidRPr="00B976F3">
        <w:rPr>
          <w:color w:val="000000"/>
          <w:lang w:eastAsia="tr-TR"/>
        </w:rPr>
        <w:t>Ölçekte olumsuz maddeler bulunmaktadır Bunlardan; 3. Madde anlam itibari ile olumsuz bir ifade olduğundan dolayı ters kodlanmıştır.</w:t>
      </w:r>
    </w:p>
    <w:p w:rsidR="009A7DDC" w:rsidRDefault="009A7DDC" w:rsidP="00B976F3">
      <w:pPr>
        <w:autoSpaceDE w:val="0"/>
        <w:autoSpaceDN w:val="0"/>
        <w:adjustRightInd w:val="0"/>
        <w:spacing w:line="360" w:lineRule="auto"/>
        <w:ind w:firstLine="709"/>
        <w:jc w:val="both"/>
        <w:rPr>
          <w:color w:val="000000"/>
          <w:lang w:eastAsia="tr-TR"/>
        </w:rPr>
      </w:pPr>
    </w:p>
    <w:p w:rsidR="006527FB" w:rsidRPr="006527FB" w:rsidRDefault="006527FB" w:rsidP="006527FB">
      <w:pPr>
        <w:autoSpaceDE w:val="0"/>
        <w:autoSpaceDN w:val="0"/>
        <w:adjustRightInd w:val="0"/>
        <w:spacing w:line="360" w:lineRule="auto"/>
        <w:ind w:firstLine="709"/>
        <w:jc w:val="center"/>
        <w:rPr>
          <w:b/>
          <w:bCs/>
          <w:color w:val="000000"/>
          <w:lang w:eastAsia="tr-TR"/>
        </w:rPr>
      </w:pPr>
      <w:r w:rsidRPr="006527FB">
        <w:rPr>
          <w:b/>
          <w:bCs/>
          <w:color w:val="000000"/>
          <w:lang w:eastAsia="tr-TR"/>
        </w:rPr>
        <w:t>Bulgular</w:t>
      </w:r>
    </w:p>
    <w:p w:rsidR="00B976F3" w:rsidRDefault="00B976F3" w:rsidP="00B976F3">
      <w:pPr>
        <w:autoSpaceDE w:val="0"/>
        <w:autoSpaceDN w:val="0"/>
        <w:adjustRightInd w:val="0"/>
        <w:spacing w:line="360" w:lineRule="auto"/>
        <w:ind w:firstLine="709"/>
        <w:jc w:val="both"/>
        <w:rPr>
          <w:b/>
          <w:bCs/>
          <w:color w:val="000000"/>
          <w:lang w:eastAsia="tr-TR"/>
        </w:rPr>
      </w:pPr>
      <w:r w:rsidRPr="00B976F3">
        <w:rPr>
          <w:b/>
          <w:bCs/>
          <w:color w:val="000000"/>
          <w:lang w:eastAsia="tr-TR"/>
        </w:rPr>
        <w:t>Doğrulayıcı Faktör Analizi</w:t>
      </w:r>
    </w:p>
    <w:p w:rsidR="00604FE0" w:rsidRPr="00604FE0" w:rsidRDefault="00604FE0" w:rsidP="00B976F3">
      <w:pPr>
        <w:autoSpaceDE w:val="0"/>
        <w:autoSpaceDN w:val="0"/>
        <w:adjustRightInd w:val="0"/>
        <w:spacing w:line="360" w:lineRule="auto"/>
        <w:ind w:firstLine="709"/>
        <w:jc w:val="both"/>
        <w:rPr>
          <w:color w:val="000000"/>
          <w:lang w:eastAsia="tr-TR"/>
        </w:rPr>
      </w:pPr>
    </w:p>
    <w:p w:rsidR="00B756D3" w:rsidRDefault="00BA46C6" w:rsidP="000934FD">
      <w:pPr>
        <w:autoSpaceDE w:val="0"/>
        <w:autoSpaceDN w:val="0"/>
        <w:adjustRightInd w:val="0"/>
        <w:spacing w:line="360" w:lineRule="auto"/>
        <w:ind w:firstLine="709"/>
        <w:jc w:val="center"/>
        <w:rPr>
          <w:color w:val="000000"/>
          <w:lang w:eastAsia="tr-TR"/>
        </w:rPr>
      </w:pPr>
      <w:r w:rsidRPr="00B976F3">
        <w:rPr>
          <w:noProof/>
          <w:color w:val="000000"/>
          <w:lang w:eastAsia="tr-TR"/>
        </w:rPr>
        <w:drawing>
          <wp:inline distT="0" distB="0" distL="0" distR="0">
            <wp:extent cx="3842385" cy="5084445"/>
            <wp:effectExtent l="0" t="0" r="0" b="0"/>
            <wp:docPr id="1" name="Resi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sim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42385" cy="5084445"/>
                    </a:xfrm>
                    <a:prstGeom prst="rect">
                      <a:avLst/>
                    </a:prstGeom>
                    <a:noFill/>
                    <a:ln>
                      <a:noFill/>
                    </a:ln>
                  </pic:spPr>
                </pic:pic>
              </a:graphicData>
            </a:graphic>
          </wp:inline>
        </w:drawing>
      </w:r>
    </w:p>
    <w:p w:rsidR="00050655" w:rsidRPr="00604FE0" w:rsidRDefault="00B756D3" w:rsidP="00604FE0">
      <w:pPr>
        <w:autoSpaceDE w:val="0"/>
        <w:autoSpaceDN w:val="0"/>
        <w:adjustRightInd w:val="0"/>
        <w:spacing w:line="360" w:lineRule="auto"/>
        <w:ind w:firstLine="709"/>
        <w:jc w:val="both"/>
        <w:rPr>
          <w:i/>
          <w:iCs/>
          <w:color w:val="000000"/>
          <w:lang w:eastAsia="tr-TR"/>
        </w:rPr>
      </w:pPr>
      <w:r w:rsidRPr="00B756D3">
        <w:rPr>
          <w:color w:val="000000"/>
          <w:lang w:eastAsia="tr-TR"/>
        </w:rPr>
        <w:t xml:space="preserve">Şekil 1. </w:t>
      </w:r>
      <w:r w:rsidRPr="00B756D3">
        <w:rPr>
          <w:i/>
          <w:iCs/>
          <w:color w:val="000000"/>
          <w:lang w:eastAsia="tr-TR"/>
        </w:rPr>
        <w:t>Doğrulayıcı Faktör Analizi</w:t>
      </w:r>
    </w:p>
    <w:p w:rsidR="009A7DDC" w:rsidRPr="009A7DDC" w:rsidRDefault="009A7DDC" w:rsidP="009A7DDC">
      <w:pPr>
        <w:autoSpaceDE w:val="0"/>
        <w:autoSpaceDN w:val="0"/>
        <w:adjustRightInd w:val="0"/>
        <w:spacing w:line="360" w:lineRule="auto"/>
        <w:ind w:firstLine="708"/>
        <w:jc w:val="both"/>
        <w:rPr>
          <w:color w:val="000000"/>
          <w:lang w:eastAsia="tr-TR"/>
        </w:rPr>
      </w:pPr>
      <w:r w:rsidRPr="009A7DDC">
        <w:rPr>
          <w:color w:val="000000"/>
          <w:lang w:eastAsia="tr-TR"/>
        </w:rPr>
        <w:lastRenderedPageBreak/>
        <w:t xml:space="preserve">Şekil 1.de doğrulayıcı faktör analizi değerleri görülmektedir. Bilim boyutunda 0.34 ila 0,49 arasında, teknoloji boyutunda 0,31 ila 0,40 arasında, mühendislik boyutunda 0,54 ila 0,60, matematik boyutunda 050 ile 0,52 arasında değiştiği görülmektedir. Boyutlar arasındaki </w:t>
      </w:r>
      <w:proofErr w:type="spellStart"/>
      <w:r w:rsidRPr="009A7DDC">
        <w:rPr>
          <w:color w:val="000000"/>
          <w:lang w:eastAsia="tr-TR"/>
        </w:rPr>
        <w:t>kolerasyon</w:t>
      </w:r>
      <w:proofErr w:type="spellEnd"/>
      <w:r w:rsidRPr="009A7DDC">
        <w:rPr>
          <w:color w:val="000000"/>
          <w:lang w:eastAsia="tr-TR"/>
        </w:rPr>
        <w:t xml:space="preserve">; bilim ve teknoloji boyutu arasında 0,82; bilim is mühendislik arasında 0,75; mühendislik ve matematik arasında 0,60; matematik ile teknoloji arasında 0,69; bilim ile matematik arasında 0,74; teknoloji ile mühendislik arasında 0,82 olduğu görülmektedir. </w:t>
      </w:r>
      <w:proofErr w:type="spellStart"/>
      <w:r w:rsidRPr="009A7DDC">
        <w:rPr>
          <w:color w:val="000000"/>
          <w:lang w:eastAsia="tr-TR"/>
        </w:rPr>
        <w:t>Kline</w:t>
      </w:r>
      <w:proofErr w:type="spellEnd"/>
      <w:r w:rsidRPr="009A7DDC">
        <w:rPr>
          <w:color w:val="000000"/>
          <w:lang w:eastAsia="tr-TR"/>
        </w:rPr>
        <w:t xml:space="preserve"> (2005), 0,30 dolayındaki etki değerinin ‘orta’; 0,50 ve üzeri etki değerinin ‘yüksek’ düzeyde olduğunu ifade etmektedir. Modelde de görüldüğü üzere etki değerlerinin hepsi 0,30’un üzerindedir ve boyutlar arasındaki etki değerinin yüksek olduğu görülmektedir. </w:t>
      </w:r>
    </w:p>
    <w:p w:rsidR="00050655" w:rsidRPr="00050655" w:rsidRDefault="00050655" w:rsidP="00050655">
      <w:pPr>
        <w:autoSpaceDE w:val="0"/>
        <w:autoSpaceDN w:val="0"/>
        <w:adjustRightInd w:val="0"/>
        <w:spacing w:line="360" w:lineRule="auto"/>
        <w:ind w:firstLine="708"/>
        <w:jc w:val="both"/>
        <w:rPr>
          <w:color w:val="000000"/>
          <w:lang w:eastAsia="tr-TR"/>
        </w:rPr>
      </w:pPr>
      <w:r w:rsidRPr="00050655">
        <w:rPr>
          <w:color w:val="000000"/>
          <w:lang w:eastAsia="tr-TR"/>
        </w:rPr>
        <w:t xml:space="preserve">Ölçek uyarlama çalışmalarında en sık karşılaşılan sorun </w:t>
      </w:r>
      <w:proofErr w:type="spellStart"/>
      <w:r w:rsidRPr="00050655">
        <w:rPr>
          <w:color w:val="000000"/>
          <w:lang w:eastAsia="tr-TR"/>
        </w:rPr>
        <w:t>açımlayıcı</w:t>
      </w:r>
      <w:proofErr w:type="spellEnd"/>
      <w:r w:rsidRPr="00050655">
        <w:rPr>
          <w:color w:val="000000"/>
          <w:lang w:eastAsia="tr-TR"/>
        </w:rPr>
        <w:t xml:space="preserve"> ve doğrulayıcı faktör analizi yöntemlerinden hangisinin tercih edileceğidir (Özcan &amp; Kara, 2018). Ölçek uyarlama çalışmalarında, orijinal ölçeğin belli bir faktör yapısına sahip bulunması nedeniyle doğrulayıcı faktör analizinin kullanımı daha uygun görünmektedir (</w:t>
      </w:r>
      <w:proofErr w:type="spellStart"/>
      <w:r w:rsidRPr="00050655">
        <w:rPr>
          <w:color w:val="000000"/>
          <w:lang w:eastAsia="tr-TR"/>
        </w:rPr>
        <w:t>Fabrigar</w:t>
      </w:r>
      <w:proofErr w:type="spellEnd"/>
      <w:r w:rsidRPr="00050655">
        <w:rPr>
          <w:color w:val="000000"/>
          <w:lang w:eastAsia="tr-TR"/>
        </w:rPr>
        <w:t xml:space="preserve">, </w:t>
      </w:r>
      <w:proofErr w:type="spellStart"/>
      <w:r w:rsidRPr="00050655">
        <w:rPr>
          <w:color w:val="000000"/>
          <w:lang w:eastAsia="tr-TR"/>
        </w:rPr>
        <w:t>Wegener</w:t>
      </w:r>
      <w:proofErr w:type="spellEnd"/>
      <w:r w:rsidRPr="00050655">
        <w:rPr>
          <w:color w:val="000000"/>
          <w:lang w:eastAsia="tr-TR"/>
        </w:rPr>
        <w:t xml:space="preserve">, </w:t>
      </w:r>
      <w:proofErr w:type="spellStart"/>
      <w:r w:rsidRPr="00050655">
        <w:rPr>
          <w:color w:val="000000"/>
          <w:lang w:eastAsia="tr-TR"/>
        </w:rPr>
        <w:t>MacCallum</w:t>
      </w:r>
      <w:proofErr w:type="spellEnd"/>
      <w:r w:rsidRPr="00050655">
        <w:rPr>
          <w:color w:val="000000"/>
          <w:lang w:eastAsia="tr-TR"/>
        </w:rPr>
        <w:t xml:space="preserve"> ve </w:t>
      </w:r>
      <w:proofErr w:type="spellStart"/>
      <w:r w:rsidRPr="00050655">
        <w:rPr>
          <w:color w:val="000000"/>
          <w:lang w:eastAsia="tr-TR"/>
        </w:rPr>
        <w:t>Strahan</w:t>
      </w:r>
      <w:proofErr w:type="spellEnd"/>
      <w:r w:rsidRPr="00050655">
        <w:rPr>
          <w:color w:val="000000"/>
          <w:lang w:eastAsia="tr-TR"/>
        </w:rPr>
        <w:t>, 1999).</w:t>
      </w:r>
    </w:p>
    <w:bookmarkEnd w:id="8"/>
    <w:p w:rsidR="00B976F3" w:rsidRPr="006527FB" w:rsidRDefault="00B976F3" w:rsidP="00A571EB">
      <w:pPr>
        <w:autoSpaceDE w:val="0"/>
        <w:autoSpaceDN w:val="0"/>
        <w:adjustRightInd w:val="0"/>
        <w:spacing w:line="360" w:lineRule="auto"/>
        <w:jc w:val="center"/>
        <w:rPr>
          <w:color w:val="000000"/>
          <w:lang w:eastAsia="tr-TR"/>
        </w:rPr>
      </w:pPr>
      <w:r w:rsidRPr="00A571EB">
        <w:rPr>
          <w:b/>
          <w:bCs/>
          <w:color w:val="000000"/>
          <w:lang w:eastAsia="tr-TR"/>
        </w:rPr>
        <w:t>Tablo 3.</w:t>
      </w:r>
      <w:r w:rsidRPr="006527FB">
        <w:rPr>
          <w:color w:val="000000"/>
          <w:lang w:eastAsia="tr-TR"/>
        </w:rPr>
        <w:t xml:space="preserve"> </w:t>
      </w:r>
      <w:proofErr w:type="spellStart"/>
      <w:r w:rsidRPr="006527FB">
        <w:rPr>
          <w:color w:val="000000"/>
          <w:lang w:eastAsia="tr-TR"/>
        </w:rPr>
        <w:t>Açımlayıcı</w:t>
      </w:r>
      <w:proofErr w:type="spellEnd"/>
      <w:r w:rsidRPr="006527FB">
        <w:rPr>
          <w:color w:val="000000"/>
          <w:lang w:eastAsia="tr-TR"/>
        </w:rPr>
        <w:t xml:space="preserve"> </w:t>
      </w:r>
      <w:r w:rsidR="00050655">
        <w:rPr>
          <w:color w:val="000000"/>
          <w:lang w:eastAsia="tr-TR"/>
        </w:rPr>
        <w:t xml:space="preserve">ve Doğrulayıcı </w:t>
      </w:r>
      <w:r w:rsidRPr="006527FB">
        <w:rPr>
          <w:color w:val="000000"/>
          <w:lang w:eastAsia="tr-TR"/>
        </w:rPr>
        <w:t>faktör analizi değerleri</w:t>
      </w:r>
    </w:p>
    <w:tbl>
      <w:tblPr>
        <w:tblW w:w="8871" w:type="dxa"/>
        <w:tblInd w:w="115" w:type="dxa"/>
        <w:tblBorders>
          <w:top w:val="single" w:sz="4" w:space="0" w:color="auto"/>
          <w:bottom w:val="single" w:sz="4" w:space="0" w:color="auto"/>
          <w:insideH w:val="single" w:sz="4" w:space="0" w:color="auto"/>
        </w:tblBorders>
        <w:tblLayout w:type="fixed"/>
        <w:tblLook w:val="01E0" w:firstRow="1" w:lastRow="1" w:firstColumn="1" w:lastColumn="1" w:noHBand="0" w:noVBand="0"/>
      </w:tblPr>
      <w:tblGrid>
        <w:gridCol w:w="560"/>
        <w:gridCol w:w="426"/>
        <w:gridCol w:w="2551"/>
        <w:gridCol w:w="2268"/>
        <w:gridCol w:w="3066"/>
      </w:tblGrid>
      <w:tr w:rsidR="00B976F3" w:rsidRPr="00B976F3" w:rsidTr="006355EC">
        <w:trPr>
          <w:trHeight w:val="265"/>
        </w:trPr>
        <w:tc>
          <w:tcPr>
            <w:tcW w:w="560" w:type="dxa"/>
          </w:tcPr>
          <w:p w:rsidR="00B976F3" w:rsidRPr="00B976F3" w:rsidRDefault="00B976F3" w:rsidP="00B976F3">
            <w:pPr>
              <w:autoSpaceDE w:val="0"/>
              <w:autoSpaceDN w:val="0"/>
              <w:adjustRightInd w:val="0"/>
              <w:ind w:firstLine="709"/>
              <w:jc w:val="both"/>
              <w:rPr>
                <w:color w:val="000000"/>
                <w:lang w:eastAsia="tr-TR"/>
              </w:rPr>
            </w:pPr>
          </w:p>
        </w:tc>
        <w:tc>
          <w:tcPr>
            <w:tcW w:w="2977" w:type="dxa"/>
            <w:gridSpan w:val="2"/>
          </w:tcPr>
          <w:p w:rsidR="00B976F3" w:rsidRPr="00B976F3" w:rsidRDefault="00B976F3" w:rsidP="00B976F3">
            <w:pPr>
              <w:autoSpaceDE w:val="0"/>
              <w:autoSpaceDN w:val="0"/>
              <w:adjustRightInd w:val="0"/>
              <w:ind w:firstLine="709"/>
              <w:jc w:val="both"/>
              <w:rPr>
                <w:color w:val="000000"/>
                <w:lang w:eastAsia="tr-TR"/>
              </w:rPr>
            </w:pPr>
          </w:p>
        </w:tc>
        <w:tc>
          <w:tcPr>
            <w:tcW w:w="2268" w:type="dxa"/>
          </w:tcPr>
          <w:p w:rsidR="00B976F3" w:rsidRPr="00B976F3" w:rsidRDefault="00B976F3" w:rsidP="00B976F3">
            <w:pPr>
              <w:autoSpaceDE w:val="0"/>
              <w:autoSpaceDN w:val="0"/>
              <w:adjustRightInd w:val="0"/>
              <w:jc w:val="both"/>
              <w:rPr>
                <w:b/>
                <w:bCs/>
                <w:color w:val="000000"/>
                <w:lang w:eastAsia="tr-TR"/>
              </w:rPr>
            </w:pPr>
            <w:r w:rsidRPr="00B976F3">
              <w:rPr>
                <w:b/>
                <w:bCs/>
                <w:color w:val="000000"/>
                <w:lang w:eastAsia="tr-TR"/>
              </w:rPr>
              <w:t>Önerilen Değerler</w:t>
            </w:r>
          </w:p>
        </w:tc>
        <w:tc>
          <w:tcPr>
            <w:tcW w:w="3066" w:type="dxa"/>
          </w:tcPr>
          <w:p w:rsidR="00B976F3" w:rsidRPr="00B976F3" w:rsidRDefault="00B976F3" w:rsidP="00B976F3">
            <w:pPr>
              <w:autoSpaceDE w:val="0"/>
              <w:autoSpaceDN w:val="0"/>
              <w:adjustRightInd w:val="0"/>
              <w:jc w:val="both"/>
              <w:rPr>
                <w:b/>
                <w:bCs/>
                <w:color w:val="000000"/>
                <w:lang w:eastAsia="tr-TR"/>
              </w:rPr>
            </w:pPr>
            <w:r w:rsidRPr="00B976F3">
              <w:rPr>
                <w:b/>
                <w:bCs/>
                <w:color w:val="000000"/>
                <w:lang w:eastAsia="tr-TR"/>
              </w:rPr>
              <w:t>STEM Motivasyon Ölçeği</w:t>
            </w:r>
          </w:p>
        </w:tc>
      </w:tr>
      <w:tr w:rsidR="00B976F3" w:rsidRPr="00B976F3" w:rsidTr="006355EC">
        <w:trPr>
          <w:trHeight w:val="70"/>
        </w:trPr>
        <w:tc>
          <w:tcPr>
            <w:tcW w:w="986" w:type="dxa"/>
            <w:gridSpan w:val="2"/>
            <w:textDirection w:val="btLr"/>
          </w:tcPr>
          <w:p w:rsidR="00B976F3" w:rsidRPr="00B976F3" w:rsidRDefault="00B976F3" w:rsidP="00B976F3">
            <w:pPr>
              <w:autoSpaceDE w:val="0"/>
              <w:autoSpaceDN w:val="0"/>
              <w:adjustRightInd w:val="0"/>
              <w:ind w:firstLine="709"/>
              <w:jc w:val="both"/>
              <w:rPr>
                <w:color w:val="000000"/>
                <w:lang w:eastAsia="tr-TR"/>
              </w:rPr>
            </w:pPr>
          </w:p>
        </w:tc>
        <w:tc>
          <w:tcPr>
            <w:tcW w:w="2551" w:type="dxa"/>
          </w:tcPr>
          <w:p w:rsidR="00B976F3" w:rsidRPr="00B976F3" w:rsidRDefault="00B976F3" w:rsidP="006A622A">
            <w:pPr>
              <w:autoSpaceDE w:val="0"/>
              <w:autoSpaceDN w:val="0"/>
              <w:adjustRightInd w:val="0"/>
              <w:jc w:val="center"/>
              <w:rPr>
                <w:color w:val="000000"/>
                <w:lang w:eastAsia="tr-TR"/>
              </w:rPr>
            </w:pPr>
            <w:r w:rsidRPr="00B976F3">
              <w:rPr>
                <w:color w:val="000000"/>
                <w:lang w:eastAsia="tr-TR"/>
              </w:rPr>
              <w:t>Madde sayısı</w:t>
            </w:r>
          </w:p>
        </w:tc>
        <w:tc>
          <w:tcPr>
            <w:tcW w:w="2268" w:type="dxa"/>
          </w:tcPr>
          <w:p w:rsidR="00B976F3" w:rsidRPr="00B976F3" w:rsidRDefault="00B976F3" w:rsidP="006355EC">
            <w:pPr>
              <w:autoSpaceDE w:val="0"/>
              <w:autoSpaceDN w:val="0"/>
              <w:adjustRightInd w:val="0"/>
              <w:ind w:firstLine="709"/>
              <w:jc w:val="center"/>
              <w:rPr>
                <w:color w:val="000000"/>
                <w:lang w:eastAsia="tr-TR"/>
              </w:rPr>
            </w:pPr>
            <w:r w:rsidRPr="00B976F3">
              <w:rPr>
                <w:color w:val="000000"/>
                <w:lang w:eastAsia="tr-TR"/>
              </w:rPr>
              <w:t>-</w:t>
            </w:r>
          </w:p>
        </w:tc>
        <w:tc>
          <w:tcPr>
            <w:tcW w:w="3066" w:type="dxa"/>
          </w:tcPr>
          <w:p w:rsidR="00B976F3" w:rsidRPr="00B976F3" w:rsidRDefault="00B976F3" w:rsidP="006355EC">
            <w:pPr>
              <w:autoSpaceDE w:val="0"/>
              <w:autoSpaceDN w:val="0"/>
              <w:adjustRightInd w:val="0"/>
              <w:ind w:firstLine="709"/>
              <w:jc w:val="center"/>
              <w:rPr>
                <w:color w:val="000000"/>
                <w:lang w:eastAsia="tr-TR"/>
              </w:rPr>
            </w:pPr>
            <w:r w:rsidRPr="00B976F3">
              <w:rPr>
                <w:color w:val="000000"/>
                <w:lang w:eastAsia="tr-TR"/>
              </w:rPr>
              <w:t>25</w:t>
            </w:r>
          </w:p>
        </w:tc>
      </w:tr>
      <w:tr w:rsidR="00B976F3" w:rsidRPr="00B976F3" w:rsidTr="006355EC">
        <w:trPr>
          <w:trHeight w:val="266"/>
        </w:trPr>
        <w:tc>
          <w:tcPr>
            <w:tcW w:w="986" w:type="dxa"/>
            <w:gridSpan w:val="2"/>
            <w:vMerge w:val="restart"/>
            <w:textDirection w:val="btLr"/>
          </w:tcPr>
          <w:p w:rsidR="00B976F3" w:rsidRPr="00B976F3" w:rsidRDefault="00B976F3" w:rsidP="006A622A">
            <w:pPr>
              <w:autoSpaceDE w:val="0"/>
              <w:autoSpaceDN w:val="0"/>
              <w:adjustRightInd w:val="0"/>
              <w:jc w:val="center"/>
              <w:rPr>
                <w:b/>
                <w:bCs/>
                <w:color w:val="000000"/>
                <w:sz w:val="22"/>
                <w:szCs w:val="22"/>
                <w:lang w:eastAsia="tr-TR"/>
              </w:rPr>
            </w:pPr>
            <w:proofErr w:type="spellStart"/>
            <w:r w:rsidRPr="00B976F3">
              <w:rPr>
                <w:b/>
                <w:bCs/>
                <w:color w:val="000000"/>
                <w:sz w:val="22"/>
                <w:szCs w:val="22"/>
                <w:lang w:eastAsia="tr-TR"/>
              </w:rPr>
              <w:t>Açı</w:t>
            </w:r>
            <w:r w:rsidR="006A622A">
              <w:rPr>
                <w:b/>
                <w:bCs/>
                <w:color w:val="000000"/>
                <w:sz w:val="22"/>
                <w:szCs w:val="22"/>
                <w:lang w:eastAsia="tr-TR"/>
              </w:rPr>
              <w:t>m</w:t>
            </w:r>
            <w:r w:rsidRPr="00B976F3">
              <w:rPr>
                <w:b/>
                <w:bCs/>
                <w:color w:val="000000"/>
                <w:sz w:val="22"/>
                <w:szCs w:val="22"/>
                <w:lang w:eastAsia="tr-TR"/>
              </w:rPr>
              <w:t>layıcı</w:t>
            </w:r>
            <w:proofErr w:type="spellEnd"/>
            <w:r w:rsidRPr="00B976F3">
              <w:rPr>
                <w:b/>
                <w:bCs/>
                <w:color w:val="000000"/>
                <w:sz w:val="22"/>
                <w:szCs w:val="22"/>
                <w:lang w:eastAsia="tr-TR"/>
              </w:rPr>
              <w:t xml:space="preserve"> faktör analizi</w:t>
            </w:r>
          </w:p>
        </w:tc>
        <w:tc>
          <w:tcPr>
            <w:tcW w:w="2551" w:type="dxa"/>
          </w:tcPr>
          <w:p w:rsidR="00B976F3" w:rsidRPr="00B976F3" w:rsidRDefault="00B976F3" w:rsidP="006A622A">
            <w:pPr>
              <w:autoSpaceDE w:val="0"/>
              <w:autoSpaceDN w:val="0"/>
              <w:adjustRightInd w:val="0"/>
              <w:jc w:val="center"/>
              <w:rPr>
                <w:color w:val="000000"/>
                <w:lang w:eastAsia="tr-TR"/>
              </w:rPr>
            </w:pPr>
            <w:r w:rsidRPr="00B976F3">
              <w:rPr>
                <w:color w:val="000000"/>
                <w:lang w:eastAsia="tr-TR"/>
              </w:rPr>
              <w:t>Boyut sayısı</w:t>
            </w:r>
          </w:p>
        </w:tc>
        <w:tc>
          <w:tcPr>
            <w:tcW w:w="2268" w:type="dxa"/>
          </w:tcPr>
          <w:p w:rsidR="00B976F3" w:rsidRPr="00B976F3" w:rsidRDefault="00B976F3" w:rsidP="006355EC">
            <w:pPr>
              <w:autoSpaceDE w:val="0"/>
              <w:autoSpaceDN w:val="0"/>
              <w:adjustRightInd w:val="0"/>
              <w:ind w:firstLine="709"/>
              <w:jc w:val="center"/>
              <w:rPr>
                <w:color w:val="000000"/>
                <w:lang w:eastAsia="tr-TR"/>
              </w:rPr>
            </w:pPr>
            <w:r w:rsidRPr="00B976F3">
              <w:rPr>
                <w:color w:val="000000"/>
                <w:lang w:eastAsia="tr-TR"/>
              </w:rPr>
              <w:t>-</w:t>
            </w:r>
          </w:p>
        </w:tc>
        <w:tc>
          <w:tcPr>
            <w:tcW w:w="3066" w:type="dxa"/>
          </w:tcPr>
          <w:p w:rsidR="00B976F3" w:rsidRPr="00B976F3" w:rsidRDefault="00B976F3" w:rsidP="006355EC">
            <w:pPr>
              <w:autoSpaceDE w:val="0"/>
              <w:autoSpaceDN w:val="0"/>
              <w:adjustRightInd w:val="0"/>
              <w:ind w:firstLine="709"/>
              <w:jc w:val="center"/>
              <w:rPr>
                <w:color w:val="000000"/>
                <w:lang w:eastAsia="tr-TR"/>
              </w:rPr>
            </w:pPr>
            <w:r w:rsidRPr="00B976F3">
              <w:rPr>
                <w:color w:val="000000"/>
                <w:lang w:eastAsia="tr-TR"/>
              </w:rPr>
              <w:t>4</w:t>
            </w:r>
          </w:p>
        </w:tc>
      </w:tr>
      <w:tr w:rsidR="00B976F3" w:rsidRPr="00B976F3" w:rsidTr="006355EC">
        <w:trPr>
          <w:trHeight w:val="179"/>
        </w:trPr>
        <w:tc>
          <w:tcPr>
            <w:tcW w:w="986" w:type="dxa"/>
            <w:gridSpan w:val="2"/>
            <w:vMerge/>
            <w:textDirection w:val="btLr"/>
          </w:tcPr>
          <w:p w:rsidR="00B976F3" w:rsidRPr="00B976F3" w:rsidRDefault="00B976F3" w:rsidP="006A622A">
            <w:pPr>
              <w:autoSpaceDE w:val="0"/>
              <w:autoSpaceDN w:val="0"/>
              <w:adjustRightInd w:val="0"/>
              <w:ind w:firstLine="709"/>
              <w:jc w:val="center"/>
              <w:rPr>
                <w:b/>
                <w:bCs/>
                <w:color w:val="000000"/>
                <w:sz w:val="22"/>
                <w:szCs w:val="22"/>
                <w:lang w:eastAsia="tr-TR"/>
              </w:rPr>
            </w:pPr>
          </w:p>
        </w:tc>
        <w:tc>
          <w:tcPr>
            <w:tcW w:w="2551" w:type="dxa"/>
          </w:tcPr>
          <w:p w:rsidR="00B976F3" w:rsidRPr="00B976F3" w:rsidRDefault="00B976F3" w:rsidP="006A622A">
            <w:pPr>
              <w:autoSpaceDE w:val="0"/>
              <w:autoSpaceDN w:val="0"/>
              <w:adjustRightInd w:val="0"/>
              <w:jc w:val="center"/>
              <w:rPr>
                <w:color w:val="000000"/>
                <w:lang w:eastAsia="tr-TR"/>
              </w:rPr>
            </w:pPr>
            <w:proofErr w:type="spellStart"/>
            <w:r w:rsidRPr="00B976F3">
              <w:rPr>
                <w:color w:val="000000"/>
                <w:lang w:eastAsia="tr-TR"/>
              </w:rPr>
              <w:t>Cronbach</w:t>
            </w:r>
            <w:proofErr w:type="spellEnd"/>
            <w:r w:rsidRPr="00B976F3">
              <w:rPr>
                <w:color w:val="000000"/>
                <w:lang w:eastAsia="tr-TR"/>
              </w:rPr>
              <w:t xml:space="preserve"> </w:t>
            </w:r>
            <w:proofErr w:type="spellStart"/>
            <w:r w:rsidRPr="00B976F3">
              <w:rPr>
                <w:color w:val="000000"/>
                <w:lang w:eastAsia="tr-TR"/>
              </w:rPr>
              <w:t>alpha</w:t>
            </w:r>
            <w:proofErr w:type="spellEnd"/>
          </w:p>
        </w:tc>
        <w:tc>
          <w:tcPr>
            <w:tcW w:w="2268" w:type="dxa"/>
          </w:tcPr>
          <w:p w:rsidR="00B976F3" w:rsidRPr="00B976F3" w:rsidRDefault="00B976F3" w:rsidP="006355EC">
            <w:pPr>
              <w:autoSpaceDE w:val="0"/>
              <w:autoSpaceDN w:val="0"/>
              <w:adjustRightInd w:val="0"/>
              <w:ind w:firstLine="709"/>
              <w:jc w:val="center"/>
              <w:rPr>
                <w:color w:val="000000"/>
                <w:lang w:eastAsia="tr-TR"/>
              </w:rPr>
            </w:pPr>
            <w:r w:rsidRPr="00B976F3">
              <w:rPr>
                <w:color w:val="000000"/>
                <w:lang w:eastAsia="tr-TR"/>
              </w:rPr>
              <w:t>≥ 0,70</w:t>
            </w:r>
          </w:p>
        </w:tc>
        <w:tc>
          <w:tcPr>
            <w:tcW w:w="3066" w:type="dxa"/>
          </w:tcPr>
          <w:p w:rsidR="00B976F3" w:rsidRPr="00B976F3" w:rsidRDefault="00B976F3" w:rsidP="006355EC">
            <w:pPr>
              <w:autoSpaceDE w:val="0"/>
              <w:autoSpaceDN w:val="0"/>
              <w:adjustRightInd w:val="0"/>
              <w:ind w:firstLine="709"/>
              <w:jc w:val="center"/>
              <w:rPr>
                <w:color w:val="000000"/>
                <w:lang w:eastAsia="tr-TR"/>
              </w:rPr>
            </w:pPr>
            <w:r w:rsidRPr="00B976F3">
              <w:rPr>
                <w:color w:val="000000"/>
                <w:lang w:eastAsia="tr-TR"/>
              </w:rPr>
              <w:t>0,84</w:t>
            </w:r>
          </w:p>
        </w:tc>
      </w:tr>
      <w:tr w:rsidR="00B976F3" w:rsidRPr="00B976F3" w:rsidTr="006355EC">
        <w:trPr>
          <w:trHeight w:val="197"/>
        </w:trPr>
        <w:tc>
          <w:tcPr>
            <w:tcW w:w="986" w:type="dxa"/>
            <w:gridSpan w:val="2"/>
            <w:vMerge/>
            <w:textDirection w:val="btLr"/>
          </w:tcPr>
          <w:p w:rsidR="00B976F3" w:rsidRPr="00B976F3" w:rsidRDefault="00B976F3" w:rsidP="006A622A">
            <w:pPr>
              <w:autoSpaceDE w:val="0"/>
              <w:autoSpaceDN w:val="0"/>
              <w:adjustRightInd w:val="0"/>
              <w:ind w:firstLine="709"/>
              <w:jc w:val="center"/>
              <w:rPr>
                <w:b/>
                <w:bCs/>
                <w:color w:val="000000"/>
                <w:sz w:val="22"/>
                <w:szCs w:val="22"/>
                <w:lang w:eastAsia="tr-TR"/>
              </w:rPr>
            </w:pPr>
          </w:p>
        </w:tc>
        <w:tc>
          <w:tcPr>
            <w:tcW w:w="2551" w:type="dxa"/>
          </w:tcPr>
          <w:p w:rsidR="00B976F3" w:rsidRPr="00B976F3" w:rsidRDefault="00B976F3" w:rsidP="006A622A">
            <w:pPr>
              <w:autoSpaceDE w:val="0"/>
              <w:autoSpaceDN w:val="0"/>
              <w:adjustRightInd w:val="0"/>
              <w:jc w:val="center"/>
              <w:rPr>
                <w:color w:val="000000"/>
                <w:lang w:eastAsia="tr-TR"/>
              </w:rPr>
            </w:pPr>
            <w:r w:rsidRPr="00B976F3">
              <w:rPr>
                <w:color w:val="000000"/>
                <w:lang w:eastAsia="tr-TR"/>
              </w:rPr>
              <w:t>KMO</w:t>
            </w:r>
          </w:p>
        </w:tc>
        <w:tc>
          <w:tcPr>
            <w:tcW w:w="2268" w:type="dxa"/>
          </w:tcPr>
          <w:p w:rsidR="00B976F3" w:rsidRPr="00B976F3" w:rsidRDefault="00B976F3" w:rsidP="006355EC">
            <w:pPr>
              <w:autoSpaceDE w:val="0"/>
              <w:autoSpaceDN w:val="0"/>
              <w:adjustRightInd w:val="0"/>
              <w:ind w:firstLine="709"/>
              <w:jc w:val="center"/>
              <w:rPr>
                <w:color w:val="000000"/>
                <w:lang w:eastAsia="tr-TR"/>
              </w:rPr>
            </w:pPr>
            <w:r w:rsidRPr="00B976F3">
              <w:rPr>
                <w:color w:val="000000"/>
                <w:lang w:eastAsia="tr-TR"/>
              </w:rPr>
              <w:t>1’e yakın</w:t>
            </w:r>
          </w:p>
        </w:tc>
        <w:tc>
          <w:tcPr>
            <w:tcW w:w="3066" w:type="dxa"/>
          </w:tcPr>
          <w:p w:rsidR="00B976F3" w:rsidRPr="00B976F3" w:rsidRDefault="00B976F3" w:rsidP="006355EC">
            <w:pPr>
              <w:autoSpaceDE w:val="0"/>
              <w:autoSpaceDN w:val="0"/>
              <w:adjustRightInd w:val="0"/>
              <w:ind w:firstLine="709"/>
              <w:jc w:val="center"/>
              <w:rPr>
                <w:color w:val="000000"/>
                <w:lang w:eastAsia="tr-TR"/>
              </w:rPr>
            </w:pPr>
            <w:r w:rsidRPr="00B976F3">
              <w:rPr>
                <w:color w:val="000000"/>
                <w:lang w:eastAsia="tr-TR"/>
              </w:rPr>
              <w:t>0,87</w:t>
            </w:r>
          </w:p>
        </w:tc>
      </w:tr>
      <w:tr w:rsidR="00B976F3" w:rsidRPr="00B976F3" w:rsidTr="006355EC">
        <w:trPr>
          <w:trHeight w:val="421"/>
        </w:trPr>
        <w:tc>
          <w:tcPr>
            <w:tcW w:w="986" w:type="dxa"/>
            <w:gridSpan w:val="2"/>
            <w:vMerge/>
            <w:textDirection w:val="btLr"/>
          </w:tcPr>
          <w:p w:rsidR="00B976F3" w:rsidRPr="00B976F3" w:rsidRDefault="00B976F3" w:rsidP="006A622A">
            <w:pPr>
              <w:autoSpaceDE w:val="0"/>
              <w:autoSpaceDN w:val="0"/>
              <w:adjustRightInd w:val="0"/>
              <w:ind w:firstLine="709"/>
              <w:jc w:val="center"/>
              <w:rPr>
                <w:b/>
                <w:bCs/>
                <w:color w:val="000000"/>
                <w:sz w:val="22"/>
                <w:szCs w:val="22"/>
                <w:lang w:eastAsia="tr-TR"/>
              </w:rPr>
            </w:pPr>
          </w:p>
        </w:tc>
        <w:tc>
          <w:tcPr>
            <w:tcW w:w="2551" w:type="dxa"/>
          </w:tcPr>
          <w:p w:rsidR="00B976F3" w:rsidRPr="00B976F3" w:rsidRDefault="00B976F3" w:rsidP="006A622A">
            <w:pPr>
              <w:autoSpaceDE w:val="0"/>
              <w:autoSpaceDN w:val="0"/>
              <w:adjustRightInd w:val="0"/>
              <w:jc w:val="center"/>
              <w:rPr>
                <w:color w:val="000000"/>
                <w:lang w:eastAsia="tr-TR"/>
              </w:rPr>
            </w:pPr>
            <w:proofErr w:type="spellStart"/>
            <w:r w:rsidRPr="00B976F3">
              <w:rPr>
                <w:color w:val="000000"/>
                <w:lang w:eastAsia="tr-TR"/>
              </w:rPr>
              <w:t>Bartlett</w:t>
            </w:r>
            <w:proofErr w:type="spellEnd"/>
            <w:r w:rsidRPr="00B976F3">
              <w:rPr>
                <w:color w:val="000000"/>
                <w:lang w:eastAsia="tr-TR"/>
              </w:rPr>
              <w:t xml:space="preserve"> anlamlılık testi</w:t>
            </w:r>
          </w:p>
        </w:tc>
        <w:tc>
          <w:tcPr>
            <w:tcW w:w="2268" w:type="dxa"/>
          </w:tcPr>
          <w:p w:rsidR="00B976F3" w:rsidRPr="00B976F3" w:rsidRDefault="00B976F3" w:rsidP="006355EC">
            <w:pPr>
              <w:autoSpaceDE w:val="0"/>
              <w:autoSpaceDN w:val="0"/>
              <w:adjustRightInd w:val="0"/>
              <w:ind w:firstLine="709"/>
              <w:jc w:val="center"/>
              <w:rPr>
                <w:color w:val="000000"/>
                <w:lang w:eastAsia="tr-TR"/>
              </w:rPr>
            </w:pPr>
            <w:r w:rsidRPr="00B976F3">
              <w:rPr>
                <w:color w:val="000000"/>
                <w:lang w:eastAsia="tr-TR"/>
              </w:rPr>
              <w:t>0’a yakın</w:t>
            </w:r>
          </w:p>
        </w:tc>
        <w:tc>
          <w:tcPr>
            <w:tcW w:w="3066" w:type="dxa"/>
          </w:tcPr>
          <w:p w:rsidR="00B976F3" w:rsidRPr="00B976F3" w:rsidRDefault="00B976F3" w:rsidP="006355EC">
            <w:pPr>
              <w:autoSpaceDE w:val="0"/>
              <w:autoSpaceDN w:val="0"/>
              <w:adjustRightInd w:val="0"/>
              <w:ind w:firstLine="709"/>
              <w:jc w:val="center"/>
              <w:rPr>
                <w:color w:val="000000"/>
                <w:lang w:eastAsia="tr-TR"/>
              </w:rPr>
            </w:pPr>
            <w:r w:rsidRPr="00B976F3">
              <w:rPr>
                <w:color w:val="000000"/>
                <w:lang w:eastAsia="tr-TR"/>
              </w:rPr>
              <w:t>0,000</w:t>
            </w:r>
          </w:p>
        </w:tc>
      </w:tr>
      <w:tr w:rsidR="00B976F3" w:rsidRPr="00B976F3" w:rsidTr="006355EC">
        <w:trPr>
          <w:trHeight w:val="205"/>
        </w:trPr>
        <w:tc>
          <w:tcPr>
            <w:tcW w:w="986" w:type="dxa"/>
            <w:gridSpan w:val="2"/>
          </w:tcPr>
          <w:p w:rsidR="00B976F3" w:rsidRPr="00B976F3" w:rsidRDefault="00B976F3" w:rsidP="006A622A">
            <w:pPr>
              <w:autoSpaceDE w:val="0"/>
              <w:autoSpaceDN w:val="0"/>
              <w:adjustRightInd w:val="0"/>
              <w:ind w:firstLine="709"/>
              <w:jc w:val="center"/>
              <w:rPr>
                <w:b/>
                <w:bCs/>
                <w:color w:val="000000"/>
                <w:sz w:val="22"/>
                <w:szCs w:val="22"/>
                <w:lang w:eastAsia="tr-TR"/>
              </w:rPr>
            </w:pPr>
          </w:p>
        </w:tc>
        <w:tc>
          <w:tcPr>
            <w:tcW w:w="2551" w:type="dxa"/>
          </w:tcPr>
          <w:p w:rsidR="00B976F3" w:rsidRPr="00B976F3" w:rsidRDefault="00B976F3" w:rsidP="006355EC">
            <w:pPr>
              <w:autoSpaceDE w:val="0"/>
              <w:autoSpaceDN w:val="0"/>
              <w:adjustRightInd w:val="0"/>
              <w:ind w:firstLine="709"/>
              <w:rPr>
                <w:color w:val="000000"/>
                <w:lang w:eastAsia="tr-TR"/>
              </w:rPr>
            </w:pPr>
            <w:bookmarkStart w:id="9" w:name="_Hlk24755031"/>
            <w:r w:rsidRPr="00B976F3">
              <w:rPr>
                <w:i/>
                <w:color w:val="000000"/>
                <w:lang w:eastAsia="tr-TR"/>
              </w:rPr>
              <w:t>X</w:t>
            </w:r>
            <w:r w:rsidRPr="00B976F3">
              <w:rPr>
                <w:color w:val="000000"/>
                <w:vertAlign w:val="superscript"/>
                <w:lang w:eastAsia="tr-TR"/>
              </w:rPr>
              <w:t>2</w:t>
            </w:r>
            <w:r w:rsidRPr="00B976F3">
              <w:rPr>
                <w:color w:val="000000"/>
                <w:lang w:eastAsia="tr-TR"/>
              </w:rPr>
              <w:t>/</w:t>
            </w:r>
            <w:proofErr w:type="spellStart"/>
            <w:r w:rsidRPr="00B976F3">
              <w:rPr>
                <w:color w:val="000000"/>
                <w:lang w:eastAsia="tr-TR"/>
              </w:rPr>
              <w:t>df</w:t>
            </w:r>
            <w:bookmarkEnd w:id="9"/>
            <w:proofErr w:type="spellEnd"/>
          </w:p>
        </w:tc>
        <w:tc>
          <w:tcPr>
            <w:tcW w:w="2268" w:type="dxa"/>
          </w:tcPr>
          <w:p w:rsidR="00B976F3" w:rsidRPr="00B976F3" w:rsidRDefault="00B976F3" w:rsidP="006355EC">
            <w:pPr>
              <w:autoSpaceDE w:val="0"/>
              <w:autoSpaceDN w:val="0"/>
              <w:adjustRightInd w:val="0"/>
              <w:ind w:firstLine="709"/>
              <w:jc w:val="center"/>
              <w:rPr>
                <w:color w:val="000000"/>
                <w:lang w:eastAsia="tr-TR"/>
              </w:rPr>
            </w:pPr>
            <w:r w:rsidRPr="00B976F3">
              <w:rPr>
                <w:color w:val="000000"/>
                <w:lang w:eastAsia="tr-TR"/>
              </w:rPr>
              <w:t>3-5</w:t>
            </w:r>
          </w:p>
        </w:tc>
        <w:tc>
          <w:tcPr>
            <w:tcW w:w="3066" w:type="dxa"/>
          </w:tcPr>
          <w:p w:rsidR="00B976F3" w:rsidRPr="00B976F3" w:rsidRDefault="00B976F3" w:rsidP="006355EC">
            <w:pPr>
              <w:autoSpaceDE w:val="0"/>
              <w:autoSpaceDN w:val="0"/>
              <w:adjustRightInd w:val="0"/>
              <w:ind w:firstLine="709"/>
              <w:jc w:val="center"/>
              <w:rPr>
                <w:color w:val="000000"/>
                <w:lang w:eastAsia="tr-TR"/>
              </w:rPr>
            </w:pPr>
            <w:r w:rsidRPr="00B976F3">
              <w:rPr>
                <w:color w:val="000000"/>
                <w:lang w:eastAsia="tr-TR"/>
              </w:rPr>
              <w:t>0,10</w:t>
            </w:r>
          </w:p>
        </w:tc>
      </w:tr>
      <w:tr w:rsidR="00B976F3" w:rsidRPr="00B976F3" w:rsidTr="006355EC">
        <w:trPr>
          <w:trHeight w:val="265"/>
        </w:trPr>
        <w:tc>
          <w:tcPr>
            <w:tcW w:w="986" w:type="dxa"/>
            <w:gridSpan w:val="2"/>
            <w:vMerge w:val="restart"/>
            <w:textDirection w:val="btLr"/>
          </w:tcPr>
          <w:p w:rsidR="00B976F3" w:rsidRPr="00B976F3" w:rsidRDefault="00B976F3" w:rsidP="006A622A">
            <w:pPr>
              <w:autoSpaceDE w:val="0"/>
              <w:autoSpaceDN w:val="0"/>
              <w:adjustRightInd w:val="0"/>
              <w:jc w:val="center"/>
              <w:rPr>
                <w:b/>
                <w:bCs/>
                <w:color w:val="000000"/>
                <w:sz w:val="22"/>
                <w:szCs w:val="22"/>
                <w:lang w:eastAsia="tr-TR"/>
              </w:rPr>
            </w:pPr>
            <w:r w:rsidRPr="00B976F3">
              <w:rPr>
                <w:b/>
                <w:bCs/>
                <w:color w:val="000000"/>
                <w:sz w:val="22"/>
                <w:szCs w:val="22"/>
                <w:lang w:eastAsia="tr-TR"/>
              </w:rPr>
              <w:t>Doğrulayıcı faktör analizi</w:t>
            </w:r>
          </w:p>
        </w:tc>
        <w:tc>
          <w:tcPr>
            <w:tcW w:w="2551" w:type="dxa"/>
          </w:tcPr>
          <w:p w:rsidR="00B976F3" w:rsidRPr="00B976F3" w:rsidRDefault="00B976F3" w:rsidP="006355EC">
            <w:pPr>
              <w:autoSpaceDE w:val="0"/>
              <w:autoSpaceDN w:val="0"/>
              <w:adjustRightInd w:val="0"/>
              <w:ind w:firstLine="709"/>
              <w:rPr>
                <w:color w:val="000000"/>
                <w:lang w:eastAsia="tr-TR"/>
              </w:rPr>
            </w:pPr>
            <w:proofErr w:type="gramStart"/>
            <w:r w:rsidRPr="00B976F3">
              <w:rPr>
                <w:color w:val="000000"/>
                <w:lang w:eastAsia="tr-TR"/>
              </w:rPr>
              <w:t>p</w:t>
            </w:r>
            <w:proofErr w:type="gramEnd"/>
            <w:r w:rsidRPr="00B976F3">
              <w:rPr>
                <w:color w:val="000000"/>
                <w:lang w:eastAsia="tr-TR"/>
              </w:rPr>
              <w:t>-değeri</w:t>
            </w:r>
          </w:p>
        </w:tc>
        <w:tc>
          <w:tcPr>
            <w:tcW w:w="2268" w:type="dxa"/>
          </w:tcPr>
          <w:p w:rsidR="00B976F3" w:rsidRPr="00B976F3" w:rsidRDefault="00B976F3" w:rsidP="006355EC">
            <w:pPr>
              <w:autoSpaceDE w:val="0"/>
              <w:autoSpaceDN w:val="0"/>
              <w:adjustRightInd w:val="0"/>
              <w:ind w:firstLine="709"/>
              <w:jc w:val="center"/>
              <w:rPr>
                <w:color w:val="000000"/>
                <w:lang w:eastAsia="tr-TR"/>
              </w:rPr>
            </w:pPr>
            <w:r w:rsidRPr="00B976F3">
              <w:rPr>
                <w:color w:val="000000"/>
                <w:lang w:eastAsia="tr-TR"/>
              </w:rPr>
              <w:t>&lt;0,05</w:t>
            </w:r>
          </w:p>
        </w:tc>
        <w:tc>
          <w:tcPr>
            <w:tcW w:w="3066" w:type="dxa"/>
          </w:tcPr>
          <w:p w:rsidR="00B976F3" w:rsidRPr="00B976F3" w:rsidRDefault="00B976F3" w:rsidP="006355EC">
            <w:pPr>
              <w:autoSpaceDE w:val="0"/>
              <w:autoSpaceDN w:val="0"/>
              <w:adjustRightInd w:val="0"/>
              <w:ind w:firstLine="709"/>
              <w:jc w:val="center"/>
              <w:rPr>
                <w:color w:val="000000"/>
                <w:lang w:eastAsia="tr-TR"/>
              </w:rPr>
            </w:pPr>
            <w:r w:rsidRPr="00B976F3">
              <w:rPr>
                <w:color w:val="000000"/>
                <w:lang w:eastAsia="tr-TR"/>
              </w:rPr>
              <w:t>0,000</w:t>
            </w:r>
          </w:p>
        </w:tc>
      </w:tr>
      <w:tr w:rsidR="00B976F3" w:rsidRPr="00B976F3" w:rsidTr="006355EC">
        <w:trPr>
          <w:trHeight w:val="247"/>
        </w:trPr>
        <w:tc>
          <w:tcPr>
            <w:tcW w:w="986" w:type="dxa"/>
            <w:gridSpan w:val="2"/>
            <w:vMerge/>
            <w:textDirection w:val="btLr"/>
          </w:tcPr>
          <w:p w:rsidR="00B976F3" w:rsidRPr="00B976F3" w:rsidRDefault="00B976F3" w:rsidP="00B976F3">
            <w:pPr>
              <w:autoSpaceDE w:val="0"/>
              <w:autoSpaceDN w:val="0"/>
              <w:adjustRightInd w:val="0"/>
              <w:ind w:firstLine="709"/>
              <w:jc w:val="both"/>
              <w:rPr>
                <w:color w:val="000000"/>
                <w:lang w:eastAsia="tr-TR"/>
              </w:rPr>
            </w:pPr>
          </w:p>
        </w:tc>
        <w:tc>
          <w:tcPr>
            <w:tcW w:w="2551" w:type="dxa"/>
          </w:tcPr>
          <w:p w:rsidR="00B976F3" w:rsidRPr="00B976F3" w:rsidRDefault="00B976F3" w:rsidP="006355EC">
            <w:pPr>
              <w:autoSpaceDE w:val="0"/>
              <w:autoSpaceDN w:val="0"/>
              <w:adjustRightInd w:val="0"/>
              <w:ind w:firstLine="709"/>
              <w:rPr>
                <w:color w:val="000000"/>
                <w:lang w:eastAsia="tr-TR"/>
              </w:rPr>
            </w:pPr>
            <w:r w:rsidRPr="00B976F3">
              <w:rPr>
                <w:color w:val="000000"/>
                <w:lang w:eastAsia="tr-TR"/>
              </w:rPr>
              <w:t>RMSEA</w:t>
            </w:r>
          </w:p>
        </w:tc>
        <w:tc>
          <w:tcPr>
            <w:tcW w:w="2268" w:type="dxa"/>
          </w:tcPr>
          <w:p w:rsidR="00B976F3" w:rsidRPr="00B976F3" w:rsidRDefault="00B976F3" w:rsidP="006355EC">
            <w:pPr>
              <w:autoSpaceDE w:val="0"/>
              <w:autoSpaceDN w:val="0"/>
              <w:adjustRightInd w:val="0"/>
              <w:ind w:firstLine="709"/>
              <w:jc w:val="center"/>
              <w:rPr>
                <w:color w:val="000000"/>
                <w:lang w:eastAsia="tr-TR"/>
              </w:rPr>
            </w:pPr>
            <w:r w:rsidRPr="00B976F3">
              <w:rPr>
                <w:color w:val="000000"/>
                <w:lang w:eastAsia="tr-TR"/>
              </w:rPr>
              <w:t>≤ 0,08</w:t>
            </w:r>
          </w:p>
        </w:tc>
        <w:tc>
          <w:tcPr>
            <w:tcW w:w="3066" w:type="dxa"/>
          </w:tcPr>
          <w:p w:rsidR="00B976F3" w:rsidRPr="00B976F3" w:rsidRDefault="00B976F3" w:rsidP="006355EC">
            <w:pPr>
              <w:autoSpaceDE w:val="0"/>
              <w:autoSpaceDN w:val="0"/>
              <w:adjustRightInd w:val="0"/>
              <w:ind w:firstLine="709"/>
              <w:jc w:val="center"/>
              <w:rPr>
                <w:color w:val="000000"/>
                <w:lang w:eastAsia="tr-TR"/>
              </w:rPr>
            </w:pPr>
            <w:r w:rsidRPr="00B976F3">
              <w:rPr>
                <w:color w:val="000000"/>
                <w:lang w:eastAsia="tr-TR"/>
              </w:rPr>
              <w:t>0,076</w:t>
            </w:r>
          </w:p>
        </w:tc>
      </w:tr>
      <w:tr w:rsidR="00B976F3" w:rsidRPr="00B976F3" w:rsidTr="006355EC">
        <w:trPr>
          <w:trHeight w:val="246"/>
        </w:trPr>
        <w:tc>
          <w:tcPr>
            <w:tcW w:w="986" w:type="dxa"/>
            <w:gridSpan w:val="2"/>
            <w:vMerge/>
            <w:textDirection w:val="btLr"/>
          </w:tcPr>
          <w:p w:rsidR="00B976F3" w:rsidRPr="00B976F3" w:rsidRDefault="00B976F3" w:rsidP="00B976F3">
            <w:pPr>
              <w:autoSpaceDE w:val="0"/>
              <w:autoSpaceDN w:val="0"/>
              <w:adjustRightInd w:val="0"/>
              <w:ind w:firstLine="709"/>
              <w:jc w:val="both"/>
              <w:rPr>
                <w:color w:val="000000"/>
                <w:lang w:eastAsia="tr-TR"/>
              </w:rPr>
            </w:pPr>
          </w:p>
        </w:tc>
        <w:tc>
          <w:tcPr>
            <w:tcW w:w="2551" w:type="dxa"/>
          </w:tcPr>
          <w:p w:rsidR="00B976F3" w:rsidRPr="00B976F3" w:rsidRDefault="00B976F3" w:rsidP="006355EC">
            <w:pPr>
              <w:autoSpaceDE w:val="0"/>
              <w:autoSpaceDN w:val="0"/>
              <w:adjustRightInd w:val="0"/>
              <w:ind w:firstLine="709"/>
              <w:rPr>
                <w:color w:val="000000"/>
                <w:lang w:eastAsia="tr-TR"/>
              </w:rPr>
            </w:pPr>
            <w:r w:rsidRPr="00B976F3">
              <w:rPr>
                <w:color w:val="000000"/>
                <w:lang w:eastAsia="tr-TR"/>
              </w:rPr>
              <w:t>SRMR</w:t>
            </w:r>
          </w:p>
        </w:tc>
        <w:tc>
          <w:tcPr>
            <w:tcW w:w="2268" w:type="dxa"/>
          </w:tcPr>
          <w:p w:rsidR="00B976F3" w:rsidRPr="00B976F3" w:rsidRDefault="00B976F3" w:rsidP="006355EC">
            <w:pPr>
              <w:autoSpaceDE w:val="0"/>
              <w:autoSpaceDN w:val="0"/>
              <w:adjustRightInd w:val="0"/>
              <w:ind w:firstLine="709"/>
              <w:jc w:val="center"/>
              <w:rPr>
                <w:color w:val="000000"/>
                <w:lang w:eastAsia="tr-TR"/>
              </w:rPr>
            </w:pPr>
            <w:r w:rsidRPr="00B976F3">
              <w:rPr>
                <w:color w:val="000000"/>
                <w:lang w:eastAsia="tr-TR"/>
              </w:rPr>
              <w:t>≤ 0,08</w:t>
            </w:r>
          </w:p>
        </w:tc>
        <w:tc>
          <w:tcPr>
            <w:tcW w:w="3066" w:type="dxa"/>
          </w:tcPr>
          <w:p w:rsidR="00B976F3" w:rsidRPr="00B976F3" w:rsidRDefault="00B976F3" w:rsidP="006355EC">
            <w:pPr>
              <w:autoSpaceDE w:val="0"/>
              <w:autoSpaceDN w:val="0"/>
              <w:adjustRightInd w:val="0"/>
              <w:ind w:firstLine="709"/>
              <w:jc w:val="center"/>
              <w:rPr>
                <w:color w:val="000000"/>
                <w:lang w:eastAsia="tr-TR"/>
              </w:rPr>
            </w:pPr>
            <w:r w:rsidRPr="00B976F3">
              <w:rPr>
                <w:color w:val="000000"/>
                <w:lang w:eastAsia="tr-TR"/>
              </w:rPr>
              <w:t>0,01</w:t>
            </w:r>
          </w:p>
        </w:tc>
      </w:tr>
      <w:tr w:rsidR="00B976F3" w:rsidRPr="00B976F3" w:rsidTr="006355EC">
        <w:trPr>
          <w:trHeight w:val="246"/>
        </w:trPr>
        <w:tc>
          <w:tcPr>
            <w:tcW w:w="986" w:type="dxa"/>
            <w:gridSpan w:val="2"/>
            <w:vMerge/>
            <w:textDirection w:val="btLr"/>
          </w:tcPr>
          <w:p w:rsidR="00B976F3" w:rsidRPr="00B976F3" w:rsidRDefault="00B976F3" w:rsidP="00B976F3">
            <w:pPr>
              <w:autoSpaceDE w:val="0"/>
              <w:autoSpaceDN w:val="0"/>
              <w:adjustRightInd w:val="0"/>
              <w:ind w:firstLine="709"/>
              <w:jc w:val="both"/>
              <w:rPr>
                <w:color w:val="000000"/>
                <w:lang w:eastAsia="tr-TR"/>
              </w:rPr>
            </w:pPr>
          </w:p>
        </w:tc>
        <w:tc>
          <w:tcPr>
            <w:tcW w:w="2551" w:type="dxa"/>
          </w:tcPr>
          <w:p w:rsidR="00B976F3" w:rsidRPr="00B976F3" w:rsidRDefault="00B976F3" w:rsidP="006355EC">
            <w:pPr>
              <w:autoSpaceDE w:val="0"/>
              <w:autoSpaceDN w:val="0"/>
              <w:adjustRightInd w:val="0"/>
              <w:ind w:firstLine="709"/>
              <w:rPr>
                <w:color w:val="000000"/>
                <w:lang w:eastAsia="tr-TR"/>
              </w:rPr>
            </w:pPr>
            <w:r w:rsidRPr="00B976F3">
              <w:rPr>
                <w:color w:val="000000"/>
                <w:lang w:eastAsia="tr-TR"/>
              </w:rPr>
              <w:t>CFI</w:t>
            </w:r>
          </w:p>
        </w:tc>
        <w:tc>
          <w:tcPr>
            <w:tcW w:w="2268" w:type="dxa"/>
          </w:tcPr>
          <w:p w:rsidR="00B976F3" w:rsidRPr="00B976F3" w:rsidRDefault="00B976F3" w:rsidP="006355EC">
            <w:pPr>
              <w:autoSpaceDE w:val="0"/>
              <w:autoSpaceDN w:val="0"/>
              <w:adjustRightInd w:val="0"/>
              <w:ind w:firstLine="709"/>
              <w:jc w:val="center"/>
              <w:rPr>
                <w:color w:val="000000"/>
                <w:lang w:eastAsia="tr-TR"/>
              </w:rPr>
            </w:pPr>
            <w:r w:rsidRPr="00B976F3">
              <w:rPr>
                <w:color w:val="000000"/>
                <w:lang w:eastAsia="tr-TR"/>
              </w:rPr>
              <w:t>0,80- 0,89</w:t>
            </w:r>
          </w:p>
        </w:tc>
        <w:tc>
          <w:tcPr>
            <w:tcW w:w="3066" w:type="dxa"/>
          </w:tcPr>
          <w:p w:rsidR="00B976F3" w:rsidRPr="00B976F3" w:rsidRDefault="00B976F3" w:rsidP="006355EC">
            <w:pPr>
              <w:autoSpaceDE w:val="0"/>
              <w:autoSpaceDN w:val="0"/>
              <w:adjustRightInd w:val="0"/>
              <w:ind w:firstLine="709"/>
              <w:jc w:val="center"/>
              <w:rPr>
                <w:color w:val="000000"/>
                <w:lang w:eastAsia="tr-TR"/>
              </w:rPr>
            </w:pPr>
            <w:r w:rsidRPr="00B976F3">
              <w:rPr>
                <w:color w:val="000000"/>
                <w:lang w:eastAsia="tr-TR"/>
              </w:rPr>
              <w:t>0,89</w:t>
            </w:r>
          </w:p>
        </w:tc>
      </w:tr>
      <w:tr w:rsidR="00B976F3" w:rsidRPr="00B976F3" w:rsidTr="006355EC">
        <w:trPr>
          <w:trHeight w:val="256"/>
        </w:trPr>
        <w:tc>
          <w:tcPr>
            <w:tcW w:w="986" w:type="dxa"/>
            <w:gridSpan w:val="2"/>
            <w:vMerge/>
            <w:textDirection w:val="btLr"/>
          </w:tcPr>
          <w:p w:rsidR="00B976F3" w:rsidRPr="00B976F3" w:rsidRDefault="00B976F3" w:rsidP="00B976F3">
            <w:pPr>
              <w:autoSpaceDE w:val="0"/>
              <w:autoSpaceDN w:val="0"/>
              <w:adjustRightInd w:val="0"/>
              <w:ind w:firstLine="709"/>
              <w:jc w:val="both"/>
              <w:rPr>
                <w:color w:val="000000"/>
                <w:lang w:eastAsia="tr-TR"/>
              </w:rPr>
            </w:pPr>
          </w:p>
        </w:tc>
        <w:tc>
          <w:tcPr>
            <w:tcW w:w="2551" w:type="dxa"/>
          </w:tcPr>
          <w:p w:rsidR="00B976F3" w:rsidRPr="00B976F3" w:rsidRDefault="00B976F3" w:rsidP="006355EC">
            <w:pPr>
              <w:autoSpaceDE w:val="0"/>
              <w:autoSpaceDN w:val="0"/>
              <w:adjustRightInd w:val="0"/>
              <w:ind w:firstLine="709"/>
              <w:rPr>
                <w:color w:val="000000"/>
                <w:lang w:eastAsia="tr-TR"/>
              </w:rPr>
            </w:pPr>
            <w:r w:rsidRPr="00B976F3">
              <w:rPr>
                <w:color w:val="000000"/>
                <w:lang w:eastAsia="tr-TR"/>
              </w:rPr>
              <w:t>AGFI</w:t>
            </w:r>
          </w:p>
        </w:tc>
        <w:tc>
          <w:tcPr>
            <w:tcW w:w="2268" w:type="dxa"/>
          </w:tcPr>
          <w:p w:rsidR="00B976F3" w:rsidRPr="00B976F3" w:rsidRDefault="00B976F3" w:rsidP="006355EC">
            <w:pPr>
              <w:autoSpaceDE w:val="0"/>
              <w:autoSpaceDN w:val="0"/>
              <w:adjustRightInd w:val="0"/>
              <w:ind w:firstLine="709"/>
              <w:jc w:val="center"/>
              <w:rPr>
                <w:color w:val="000000"/>
                <w:lang w:eastAsia="tr-TR"/>
              </w:rPr>
            </w:pPr>
            <w:r w:rsidRPr="00B976F3">
              <w:rPr>
                <w:color w:val="000000"/>
                <w:lang w:eastAsia="tr-TR"/>
              </w:rPr>
              <w:t>0,80- 0,89</w:t>
            </w:r>
          </w:p>
        </w:tc>
        <w:tc>
          <w:tcPr>
            <w:tcW w:w="3066" w:type="dxa"/>
          </w:tcPr>
          <w:p w:rsidR="00B976F3" w:rsidRPr="00B976F3" w:rsidRDefault="00B976F3" w:rsidP="006355EC">
            <w:pPr>
              <w:autoSpaceDE w:val="0"/>
              <w:autoSpaceDN w:val="0"/>
              <w:adjustRightInd w:val="0"/>
              <w:ind w:firstLine="709"/>
              <w:jc w:val="center"/>
              <w:rPr>
                <w:color w:val="000000"/>
                <w:lang w:eastAsia="tr-TR"/>
              </w:rPr>
            </w:pPr>
            <w:r w:rsidRPr="00B976F3">
              <w:rPr>
                <w:color w:val="000000"/>
                <w:lang w:eastAsia="tr-TR"/>
              </w:rPr>
              <w:t>0,82</w:t>
            </w:r>
          </w:p>
        </w:tc>
      </w:tr>
    </w:tbl>
    <w:p w:rsidR="00B976F3" w:rsidRDefault="00B756D3" w:rsidP="009A7DDC">
      <w:pPr>
        <w:autoSpaceDE w:val="0"/>
        <w:autoSpaceDN w:val="0"/>
        <w:adjustRightInd w:val="0"/>
        <w:spacing w:line="360" w:lineRule="auto"/>
        <w:ind w:firstLine="709"/>
        <w:jc w:val="both"/>
        <w:rPr>
          <w:color w:val="000000"/>
          <w:lang w:eastAsia="tr-TR"/>
        </w:rPr>
      </w:pPr>
      <w:r w:rsidRPr="00B756D3">
        <w:rPr>
          <w:color w:val="000000"/>
          <w:lang w:eastAsia="tr-TR"/>
        </w:rPr>
        <w:t xml:space="preserve">Tablo 3’te </w:t>
      </w:r>
      <w:proofErr w:type="spellStart"/>
      <w:r w:rsidRPr="00B756D3">
        <w:rPr>
          <w:color w:val="000000"/>
          <w:lang w:eastAsia="tr-TR"/>
        </w:rPr>
        <w:t>açımlayıcı</w:t>
      </w:r>
      <w:proofErr w:type="spellEnd"/>
      <w:r w:rsidRPr="00B756D3">
        <w:rPr>
          <w:color w:val="000000"/>
          <w:lang w:eastAsia="tr-TR"/>
        </w:rPr>
        <w:t xml:space="preserve"> faktör analizi değerleri görülmektedir. </w:t>
      </w:r>
      <w:proofErr w:type="spellStart"/>
      <w:r w:rsidRPr="00B756D3">
        <w:rPr>
          <w:color w:val="000000"/>
          <w:lang w:eastAsia="tr-TR"/>
        </w:rPr>
        <w:t>Cronbach</w:t>
      </w:r>
      <w:proofErr w:type="spellEnd"/>
      <w:r w:rsidRPr="00B756D3">
        <w:rPr>
          <w:color w:val="000000"/>
          <w:lang w:eastAsia="tr-TR"/>
        </w:rPr>
        <w:t xml:space="preserve"> </w:t>
      </w:r>
      <w:proofErr w:type="spellStart"/>
      <w:r w:rsidRPr="00B756D3">
        <w:rPr>
          <w:color w:val="000000"/>
          <w:lang w:eastAsia="tr-TR"/>
        </w:rPr>
        <w:t>alpha</w:t>
      </w:r>
      <w:proofErr w:type="spellEnd"/>
      <w:r w:rsidRPr="00B756D3">
        <w:rPr>
          <w:color w:val="000000"/>
          <w:lang w:eastAsia="tr-TR"/>
        </w:rPr>
        <w:t xml:space="preserve"> güvenirlik katsayısı 0,84 olduğu görülmektedir. Bu değerin 0.70’ten büyük olması güvenirlik için yeterli olduğu ifade edilmektedir. Açıklayıcı faktör analizinde </w:t>
      </w:r>
      <w:proofErr w:type="spellStart"/>
      <w:r w:rsidRPr="00B756D3">
        <w:rPr>
          <w:color w:val="000000"/>
          <w:lang w:eastAsia="tr-TR"/>
        </w:rPr>
        <w:t>Kaiser</w:t>
      </w:r>
      <w:proofErr w:type="spellEnd"/>
      <w:r w:rsidRPr="00B756D3">
        <w:rPr>
          <w:color w:val="000000"/>
          <w:lang w:eastAsia="tr-TR"/>
        </w:rPr>
        <w:t xml:space="preserve">- </w:t>
      </w:r>
      <w:proofErr w:type="spellStart"/>
      <w:r w:rsidRPr="00B756D3">
        <w:rPr>
          <w:color w:val="000000"/>
          <w:lang w:eastAsia="tr-TR"/>
        </w:rPr>
        <w:t>Meyer</w:t>
      </w:r>
      <w:proofErr w:type="spellEnd"/>
      <w:r w:rsidRPr="00B756D3">
        <w:rPr>
          <w:color w:val="000000"/>
          <w:lang w:eastAsia="tr-TR"/>
        </w:rPr>
        <w:t xml:space="preserve">- </w:t>
      </w:r>
      <w:proofErr w:type="spellStart"/>
      <w:r w:rsidRPr="00B756D3">
        <w:rPr>
          <w:color w:val="000000"/>
          <w:lang w:eastAsia="tr-TR"/>
        </w:rPr>
        <w:t>Olkin</w:t>
      </w:r>
      <w:proofErr w:type="spellEnd"/>
      <w:r w:rsidRPr="00B756D3">
        <w:rPr>
          <w:color w:val="000000"/>
          <w:lang w:eastAsia="tr-TR"/>
        </w:rPr>
        <w:t xml:space="preserve"> (KMO) değeri, </w:t>
      </w:r>
      <w:proofErr w:type="spellStart"/>
      <w:r w:rsidRPr="00B756D3">
        <w:rPr>
          <w:color w:val="000000"/>
          <w:lang w:eastAsia="tr-TR"/>
        </w:rPr>
        <w:t>Bartlett</w:t>
      </w:r>
      <w:proofErr w:type="spellEnd"/>
      <w:r w:rsidRPr="00B756D3">
        <w:rPr>
          <w:color w:val="000000"/>
          <w:lang w:eastAsia="tr-TR"/>
        </w:rPr>
        <w:t xml:space="preserve"> </w:t>
      </w:r>
      <w:proofErr w:type="spellStart"/>
      <w:r w:rsidRPr="00B756D3">
        <w:rPr>
          <w:color w:val="000000"/>
          <w:lang w:eastAsia="tr-TR"/>
        </w:rPr>
        <w:t>Boyutsallık</w:t>
      </w:r>
      <w:proofErr w:type="spellEnd"/>
      <w:r w:rsidRPr="00B756D3">
        <w:rPr>
          <w:color w:val="000000"/>
          <w:lang w:eastAsia="tr-TR"/>
        </w:rPr>
        <w:t xml:space="preserve"> testinin anlamlılık düzeyi, </w:t>
      </w:r>
      <w:proofErr w:type="spellStart"/>
      <w:r w:rsidRPr="00B756D3">
        <w:rPr>
          <w:color w:val="000000"/>
          <w:lang w:eastAsia="tr-TR"/>
        </w:rPr>
        <w:t>özdeğerlik</w:t>
      </w:r>
      <w:proofErr w:type="spellEnd"/>
      <w:r w:rsidRPr="00B756D3">
        <w:rPr>
          <w:color w:val="000000"/>
          <w:lang w:eastAsia="tr-TR"/>
        </w:rPr>
        <w:t xml:space="preserve">-madde grafiği, maderlerin toplam </w:t>
      </w:r>
      <w:proofErr w:type="spellStart"/>
      <w:r w:rsidRPr="00B756D3">
        <w:rPr>
          <w:color w:val="000000"/>
          <w:lang w:eastAsia="tr-TR"/>
        </w:rPr>
        <w:t>varyans</w:t>
      </w:r>
      <w:proofErr w:type="spellEnd"/>
      <w:r w:rsidRPr="00B756D3">
        <w:rPr>
          <w:color w:val="000000"/>
          <w:lang w:eastAsia="tr-TR"/>
        </w:rPr>
        <w:t xml:space="preserve"> değerleri 0.87 bulunmuştur (p=0.00). KMO değeri, 1’e yakın bir değer olması ile çalışma grubunun sayısının yeterli olduğunu, </w:t>
      </w:r>
      <w:proofErr w:type="spellStart"/>
      <w:r w:rsidRPr="00B756D3">
        <w:rPr>
          <w:color w:val="000000"/>
          <w:lang w:eastAsia="tr-TR"/>
        </w:rPr>
        <w:t>Bartlett</w:t>
      </w:r>
      <w:proofErr w:type="spellEnd"/>
      <w:r w:rsidRPr="00B756D3">
        <w:rPr>
          <w:color w:val="000000"/>
          <w:lang w:eastAsia="tr-TR"/>
        </w:rPr>
        <w:t xml:space="preserve"> </w:t>
      </w:r>
      <w:proofErr w:type="spellStart"/>
      <w:r w:rsidRPr="00B756D3">
        <w:rPr>
          <w:color w:val="000000"/>
          <w:lang w:eastAsia="tr-TR"/>
        </w:rPr>
        <w:t>Boyutsallık</w:t>
      </w:r>
      <w:proofErr w:type="spellEnd"/>
      <w:r w:rsidRPr="00B756D3">
        <w:rPr>
          <w:color w:val="000000"/>
          <w:lang w:eastAsia="tr-TR"/>
        </w:rPr>
        <w:t xml:space="preserve"> testinin </w:t>
      </w:r>
      <w:r w:rsidRPr="00266DD8">
        <w:rPr>
          <w:bCs/>
          <w:lang w:eastAsia="tr-TR"/>
        </w:rPr>
        <w:t>0,000</w:t>
      </w:r>
      <w:r w:rsidRPr="00266DD8">
        <w:rPr>
          <w:lang w:eastAsia="tr-TR"/>
        </w:rPr>
        <w:t xml:space="preserve"> </w:t>
      </w:r>
      <w:r w:rsidRPr="00B756D3">
        <w:rPr>
          <w:color w:val="000000"/>
          <w:lang w:eastAsia="tr-TR"/>
        </w:rPr>
        <w:t xml:space="preserve">ile anlamlı çıkması ile verilerin faktör analizine uygun olduğunun bir göstergesi olarak kabul edilmektedir (Büyüköztürk, 2007).  Ölçekte </w:t>
      </w:r>
      <w:r w:rsidRPr="00B756D3">
        <w:rPr>
          <w:i/>
          <w:color w:val="000000"/>
          <w:lang w:eastAsia="tr-TR"/>
        </w:rPr>
        <w:t>X</w:t>
      </w:r>
      <w:r w:rsidRPr="00B756D3">
        <w:rPr>
          <w:color w:val="000000"/>
          <w:vertAlign w:val="superscript"/>
          <w:lang w:eastAsia="tr-TR"/>
        </w:rPr>
        <w:t>2</w:t>
      </w:r>
      <w:r w:rsidRPr="00B756D3">
        <w:rPr>
          <w:color w:val="000000"/>
          <w:lang w:eastAsia="tr-TR"/>
        </w:rPr>
        <w:t>/</w:t>
      </w:r>
      <w:proofErr w:type="spellStart"/>
      <w:r w:rsidRPr="00B756D3">
        <w:rPr>
          <w:color w:val="000000"/>
          <w:lang w:eastAsia="tr-TR"/>
        </w:rPr>
        <w:t>df</w:t>
      </w:r>
      <w:proofErr w:type="spellEnd"/>
      <w:r w:rsidRPr="00B756D3">
        <w:rPr>
          <w:color w:val="000000"/>
          <w:lang w:eastAsia="tr-TR"/>
        </w:rPr>
        <w:t xml:space="preserve"> </w:t>
      </w:r>
      <w:r w:rsidRPr="00B756D3">
        <w:rPr>
          <w:color w:val="000000"/>
          <w:lang w:eastAsia="tr-TR"/>
        </w:rPr>
        <w:lastRenderedPageBreak/>
        <w:t xml:space="preserve">(ki-kare) değeri 0,10 olarak hesaplanmıştır. Doğrulayıcı faktör analizi için RMSEA, AGFI, SRMR, CFI, AGFI değerlerine bakılmıştır. RMSEA değeri 0,076 (≤ 0,08), SRMR değeri 0,01 (≤ 0,08), CFI değeri 0,89 (0,80- 0,89), AGFI değeri 0,82 (0,80- 0,89) olarak hesaplanmıştır. </w:t>
      </w:r>
      <w:proofErr w:type="spellStart"/>
      <w:r w:rsidRPr="00B756D3">
        <w:rPr>
          <w:color w:val="000000"/>
          <w:lang w:eastAsia="tr-TR"/>
        </w:rPr>
        <w:t>Alanyazın</w:t>
      </w:r>
      <w:r w:rsidR="00856270">
        <w:rPr>
          <w:color w:val="000000"/>
          <w:lang w:eastAsia="tr-TR"/>
        </w:rPr>
        <w:t>a</w:t>
      </w:r>
      <w:proofErr w:type="spellEnd"/>
      <w:r w:rsidRPr="00B756D3">
        <w:rPr>
          <w:color w:val="000000"/>
          <w:lang w:eastAsia="tr-TR"/>
        </w:rPr>
        <w:t xml:space="preserve"> göre GFI ve AGFI değerlerinin, 0,80- 0,89 (</w:t>
      </w:r>
      <w:proofErr w:type="spellStart"/>
      <w:r w:rsidRPr="00B756D3">
        <w:rPr>
          <w:color w:val="000000"/>
          <w:lang w:eastAsia="tr-TR"/>
        </w:rPr>
        <w:t>Segars</w:t>
      </w:r>
      <w:proofErr w:type="spellEnd"/>
      <w:r w:rsidRPr="00B756D3">
        <w:rPr>
          <w:color w:val="000000"/>
          <w:lang w:eastAsia="tr-TR"/>
        </w:rPr>
        <w:t xml:space="preserve"> ve </w:t>
      </w:r>
      <w:proofErr w:type="spellStart"/>
      <w:r w:rsidRPr="00B756D3">
        <w:rPr>
          <w:color w:val="000000"/>
          <w:lang w:eastAsia="tr-TR"/>
        </w:rPr>
        <w:t>Grover</w:t>
      </w:r>
      <w:proofErr w:type="spellEnd"/>
      <w:r w:rsidRPr="00B756D3">
        <w:rPr>
          <w:color w:val="000000"/>
          <w:lang w:eastAsia="tr-TR"/>
        </w:rPr>
        <w:t xml:space="preserve"> 1993; </w:t>
      </w:r>
      <w:proofErr w:type="spellStart"/>
      <w:r w:rsidRPr="00B756D3">
        <w:rPr>
          <w:color w:val="000000"/>
          <w:lang w:eastAsia="tr-TR"/>
        </w:rPr>
        <w:t>Doll</w:t>
      </w:r>
      <w:proofErr w:type="spellEnd"/>
      <w:r w:rsidRPr="00B756D3">
        <w:rPr>
          <w:color w:val="000000"/>
          <w:lang w:eastAsia="tr-TR"/>
        </w:rPr>
        <w:t xml:space="preserve">, </w:t>
      </w:r>
      <w:proofErr w:type="spellStart"/>
      <w:r w:rsidRPr="00B756D3">
        <w:rPr>
          <w:color w:val="000000"/>
          <w:lang w:eastAsia="tr-TR"/>
        </w:rPr>
        <w:t>Weidong</w:t>
      </w:r>
      <w:proofErr w:type="spellEnd"/>
      <w:r w:rsidRPr="00B756D3">
        <w:rPr>
          <w:color w:val="000000"/>
          <w:lang w:eastAsia="tr-TR"/>
        </w:rPr>
        <w:t xml:space="preserve">, </w:t>
      </w:r>
      <w:proofErr w:type="spellStart"/>
      <w:r w:rsidRPr="00B756D3">
        <w:rPr>
          <w:color w:val="000000"/>
          <w:lang w:eastAsia="tr-TR"/>
        </w:rPr>
        <w:t>Gholamreza</w:t>
      </w:r>
      <w:proofErr w:type="spellEnd"/>
      <w:r w:rsidRPr="00B756D3">
        <w:rPr>
          <w:color w:val="000000"/>
          <w:lang w:eastAsia="tr-TR"/>
        </w:rPr>
        <w:t>, 1994) arası</w:t>
      </w:r>
      <w:r w:rsidR="000934FD">
        <w:rPr>
          <w:color w:val="000000"/>
          <w:lang w:eastAsia="tr-TR"/>
        </w:rPr>
        <w:t xml:space="preserve">nda olması </w:t>
      </w:r>
      <w:r w:rsidRPr="00B756D3">
        <w:rPr>
          <w:color w:val="000000"/>
          <w:lang w:eastAsia="tr-TR"/>
        </w:rPr>
        <w:t>kabul edilebilir değerler olarak ifade edilmektedir.</w:t>
      </w:r>
    </w:p>
    <w:p w:rsidR="00266DD8" w:rsidRPr="009A7DDC" w:rsidRDefault="00266DD8" w:rsidP="009A7DDC">
      <w:pPr>
        <w:autoSpaceDE w:val="0"/>
        <w:autoSpaceDN w:val="0"/>
        <w:adjustRightInd w:val="0"/>
        <w:spacing w:line="360" w:lineRule="auto"/>
        <w:ind w:firstLine="709"/>
        <w:jc w:val="both"/>
        <w:rPr>
          <w:color w:val="000000"/>
          <w:lang w:eastAsia="tr-TR"/>
        </w:rPr>
      </w:pPr>
    </w:p>
    <w:p w:rsidR="00B976F3" w:rsidRPr="00B976F3" w:rsidRDefault="00B976F3" w:rsidP="00B976F3">
      <w:pPr>
        <w:autoSpaceDE w:val="0"/>
        <w:autoSpaceDN w:val="0"/>
        <w:adjustRightInd w:val="0"/>
        <w:spacing w:line="360" w:lineRule="auto"/>
        <w:ind w:firstLine="709"/>
        <w:jc w:val="both"/>
        <w:rPr>
          <w:b/>
          <w:bCs/>
          <w:color w:val="000000"/>
          <w:lang w:eastAsia="tr-TR"/>
        </w:rPr>
      </w:pPr>
      <w:r w:rsidRPr="00B976F3">
        <w:rPr>
          <w:b/>
          <w:bCs/>
          <w:color w:val="000000"/>
          <w:lang w:eastAsia="tr-TR"/>
        </w:rPr>
        <w:t>STEM Motivasyon Ölçeği ve Alt Boyutlarının İlişkisi</w:t>
      </w:r>
    </w:p>
    <w:p w:rsidR="00B976F3" w:rsidRPr="00B976F3" w:rsidRDefault="00B976F3" w:rsidP="00B976F3">
      <w:pPr>
        <w:autoSpaceDE w:val="0"/>
        <w:autoSpaceDN w:val="0"/>
        <w:adjustRightInd w:val="0"/>
        <w:spacing w:line="360" w:lineRule="auto"/>
        <w:ind w:firstLine="709"/>
        <w:jc w:val="both"/>
        <w:rPr>
          <w:color w:val="000000"/>
          <w:lang w:eastAsia="tr-TR"/>
        </w:rPr>
      </w:pPr>
      <w:r w:rsidRPr="00B976F3">
        <w:rPr>
          <w:color w:val="000000"/>
          <w:lang w:eastAsia="tr-TR"/>
        </w:rPr>
        <w:t xml:space="preserve">Tablo 4’te STEM Motivasyon Ölçeği ve alt boyutlarının ilişkisi görülmektedir. </w:t>
      </w:r>
      <w:proofErr w:type="spellStart"/>
      <w:r w:rsidRPr="00B976F3">
        <w:rPr>
          <w:color w:val="000000"/>
          <w:lang w:eastAsia="tr-TR"/>
        </w:rPr>
        <w:t>Pearson</w:t>
      </w:r>
      <w:proofErr w:type="spellEnd"/>
      <w:r w:rsidRPr="00B976F3">
        <w:rPr>
          <w:color w:val="000000"/>
          <w:lang w:eastAsia="tr-TR"/>
        </w:rPr>
        <w:t xml:space="preserve"> </w:t>
      </w:r>
      <w:proofErr w:type="spellStart"/>
      <w:r w:rsidRPr="00B976F3">
        <w:rPr>
          <w:color w:val="000000"/>
          <w:lang w:eastAsia="tr-TR"/>
        </w:rPr>
        <w:t>kolerasyon</w:t>
      </w:r>
      <w:proofErr w:type="spellEnd"/>
      <w:r w:rsidRPr="00B976F3">
        <w:rPr>
          <w:color w:val="000000"/>
          <w:lang w:eastAsia="tr-TR"/>
        </w:rPr>
        <w:t xml:space="preserve"> analizine göre STEM motivasyon ölçeği ile bilim boyutu arasından 0,797 (p&lt;0,001), STEM motivasyon ölçeği ile teknoloji boyutu arasından 0,720 (p&lt;0,001), STEM motivasyon ölçeği ile mühendislik boyutu arasından 0,751 (p&lt;0,001), STEM motivasyon ölçeği ile matematik boyutu arasından 0,797 (p&lt;0,001) </w:t>
      </w:r>
      <w:proofErr w:type="spellStart"/>
      <w:r w:rsidRPr="00B976F3">
        <w:rPr>
          <w:color w:val="000000"/>
          <w:lang w:eastAsia="tr-TR"/>
        </w:rPr>
        <w:t>kolerasyon</w:t>
      </w:r>
      <w:proofErr w:type="spellEnd"/>
      <w:r w:rsidRPr="00B976F3">
        <w:rPr>
          <w:color w:val="000000"/>
          <w:lang w:eastAsia="tr-TR"/>
        </w:rPr>
        <w:t xml:space="preserve"> hesaplanmıştır. Tüm boyutlar arasında pozitif yönde güçlü bir </w:t>
      </w:r>
      <w:proofErr w:type="spellStart"/>
      <w:r w:rsidRPr="00B976F3">
        <w:rPr>
          <w:color w:val="000000"/>
          <w:lang w:eastAsia="tr-TR"/>
        </w:rPr>
        <w:t>kolerasyon</w:t>
      </w:r>
      <w:proofErr w:type="spellEnd"/>
      <w:r w:rsidRPr="00B976F3">
        <w:rPr>
          <w:color w:val="000000"/>
          <w:lang w:eastAsia="tr-TR"/>
        </w:rPr>
        <w:t xml:space="preserve"> olduğu görülmektedir.</w:t>
      </w:r>
    </w:p>
    <w:p w:rsidR="00B976F3" w:rsidRPr="00B976F3" w:rsidRDefault="00B976F3" w:rsidP="00A571EB">
      <w:pPr>
        <w:autoSpaceDE w:val="0"/>
        <w:autoSpaceDN w:val="0"/>
        <w:adjustRightInd w:val="0"/>
        <w:spacing w:line="360" w:lineRule="auto"/>
        <w:ind w:firstLine="709"/>
        <w:jc w:val="center"/>
        <w:rPr>
          <w:color w:val="000000"/>
          <w:lang w:eastAsia="tr-TR"/>
        </w:rPr>
      </w:pPr>
      <w:r w:rsidRPr="00A571EB">
        <w:rPr>
          <w:b/>
          <w:bCs/>
          <w:color w:val="000000"/>
          <w:lang w:eastAsia="tr-TR"/>
        </w:rPr>
        <w:t xml:space="preserve">Tablo </w:t>
      </w:r>
      <w:bookmarkStart w:id="10" w:name="_Hlk24731059"/>
      <w:r w:rsidRPr="00A571EB">
        <w:rPr>
          <w:b/>
          <w:bCs/>
          <w:color w:val="000000"/>
          <w:lang w:eastAsia="tr-TR"/>
        </w:rPr>
        <w:t>4.</w:t>
      </w:r>
      <w:r w:rsidRPr="00B976F3">
        <w:rPr>
          <w:color w:val="000000"/>
          <w:lang w:eastAsia="tr-TR"/>
        </w:rPr>
        <w:t xml:space="preserve"> STEM motivasyon ölçeği ve alt boyutlarının ilişkisi</w:t>
      </w:r>
      <w:bookmarkEnd w:id="10"/>
    </w:p>
    <w:tbl>
      <w:tblPr>
        <w:tblW w:w="9067" w:type="dxa"/>
        <w:tblBorders>
          <w:top w:val="single" w:sz="4" w:space="0" w:color="auto"/>
          <w:bottom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1413"/>
        <w:gridCol w:w="2551"/>
        <w:gridCol w:w="1134"/>
        <w:gridCol w:w="1134"/>
        <w:gridCol w:w="1276"/>
        <w:gridCol w:w="1559"/>
      </w:tblGrid>
      <w:tr w:rsidR="00B976F3" w:rsidRPr="00B976F3" w:rsidTr="00A277BA">
        <w:trPr>
          <w:cantSplit/>
          <w:trHeight w:val="601"/>
        </w:trPr>
        <w:tc>
          <w:tcPr>
            <w:tcW w:w="1413" w:type="dxa"/>
            <w:vMerge w:val="restart"/>
            <w:shd w:val="clear" w:color="auto" w:fill="FFFFFF"/>
            <w:vAlign w:val="center"/>
          </w:tcPr>
          <w:p w:rsidR="00B976F3" w:rsidRPr="00B976F3" w:rsidRDefault="00B976F3" w:rsidP="006355EC">
            <w:pPr>
              <w:autoSpaceDE w:val="0"/>
              <w:autoSpaceDN w:val="0"/>
              <w:adjustRightInd w:val="0"/>
              <w:ind w:firstLine="709"/>
              <w:jc w:val="center"/>
              <w:rPr>
                <w:b/>
                <w:bCs/>
                <w:color w:val="000000"/>
                <w:sz w:val="22"/>
                <w:szCs w:val="22"/>
                <w:lang w:eastAsia="tr-TR"/>
              </w:rPr>
            </w:pPr>
            <w:r w:rsidRPr="00B976F3">
              <w:rPr>
                <w:b/>
                <w:bCs/>
                <w:color w:val="000000"/>
                <w:sz w:val="22"/>
                <w:szCs w:val="22"/>
                <w:lang w:eastAsia="tr-TR"/>
              </w:rPr>
              <w:t>STEM Motivasyon Ölçeği</w:t>
            </w:r>
          </w:p>
        </w:tc>
        <w:tc>
          <w:tcPr>
            <w:tcW w:w="2551" w:type="dxa"/>
            <w:shd w:val="clear" w:color="auto" w:fill="FFFFFF"/>
            <w:vAlign w:val="center"/>
          </w:tcPr>
          <w:p w:rsidR="00B976F3" w:rsidRPr="00B976F3" w:rsidRDefault="00B976F3" w:rsidP="006355EC">
            <w:pPr>
              <w:autoSpaceDE w:val="0"/>
              <w:autoSpaceDN w:val="0"/>
              <w:adjustRightInd w:val="0"/>
              <w:jc w:val="center"/>
              <w:rPr>
                <w:b/>
                <w:bCs/>
                <w:color w:val="000000"/>
                <w:sz w:val="22"/>
                <w:szCs w:val="22"/>
                <w:lang w:eastAsia="tr-TR"/>
              </w:rPr>
            </w:pPr>
            <w:proofErr w:type="spellStart"/>
            <w:r w:rsidRPr="00B976F3">
              <w:rPr>
                <w:b/>
                <w:bCs/>
                <w:color w:val="000000"/>
                <w:sz w:val="22"/>
                <w:szCs w:val="22"/>
                <w:lang w:eastAsia="tr-TR"/>
              </w:rPr>
              <w:t>Kolerasyon</w:t>
            </w:r>
            <w:proofErr w:type="spellEnd"/>
          </w:p>
        </w:tc>
        <w:tc>
          <w:tcPr>
            <w:tcW w:w="1134" w:type="dxa"/>
            <w:shd w:val="clear" w:color="auto" w:fill="FFFFFF"/>
            <w:vAlign w:val="center"/>
          </w:tcPr>
          <w:p w:rsidR="00B976F3" w:rsidRPr="00B976F3" w:rsidRDefault="00B976F3" w:rsidP="006355EC">
            <w:pPr>
              <w:autoSpaceDE w:val="0"/>
              <w:autoSpaceDN w:val="0"/>
              <w:adjustRightInd w:val="0"/>
              <w:jc w:val="center"/>
              <w:rPr>
                <w:b/>
                <w:bCs/>
                <w:color w:val="000000"/>
                <w:sz w:val="22"/>
                <w:szCs w:val="22"/>
                <w:lang w:eastAsia="tr-TR"/>
              </w:rPr>
            </w:pPr>
            <w:r w:rsidRPr="00B976F3">
              <w:rPr>
                <w:b/>
                <w:bCs/>
                <w:color w:val="000000"/>
                <w:sz w:val="22"/>
                <w:szCs w:val="22"/>
                <w:lang w:eastAsia="tr-TR"/>
              </w:rPr>
              <w:t>Bilim Boyutu</w:t>
            </w:r>
          </w:p>
        </w:tc>
        <w:tc>
          <w:tcPr>
            <w:tcW w:w="1134" w:type="dxa"/>
            <w:shd w:val="clear" w:color="auto" w:fill="FFFFFF"/>
            <w:vAlign w:val="center"/>
          </w:tcPr>
          <w:p w:rsidR="00B976F3" w:rsidRPr="00B976F3" w:rsidRDefault="00B976F3" w:rsidP="006355EC">
            <w:pPr>
              <w:autoSpaceDE w:val="0"/>
              <w:autoSpaceDN w:val="0"/>
              <w:adjustRightInd w:val="0"/>
              <w:jc w:val="center"/>
              <w:rPr>
                <w:b/>
                <w:bCs/>
                <w:color w:val="000000"/>
                <w:sz w:val="22"/>
                <w:szCs w:val="22"/>
                <w:lang w:eastAsia="tr-TR"/>
              </w:rPr>
            </w:pPr>
            <w:r w:rsidRPr="00B976F3">
              <w:rPr>
                <w:b/>
                <w:bCs/>
                <w:color w:val="000000"/>
                <w:sz w:val="22"/>
                <w:szCs w:val="22"/>
                <w:lang w:eastAsia="tr-TR"/>
              </w:rPr>
              <w:t>Teknoloji Boyutu</w:t>
            </w:r>
          </w:p>
        </w:tc>
        <w:tc>
          <w:tcPr>
            <w:tcW w:w="1276" w:type="dxa"/>
            <w:shd w:val="clear" w:color="auto" w:fill="FFFFFF"/>
            <w:vAlign w:val="center"/>
          </w:tcPr>
          <w:p w:rsidR="00B976F3" w:rsidRPr="00B976F3" w:rsidRDefault="00B976F3" w:rsidP="006355EC">
            <w:pPr>
              <w:autoSpaceDE w:val="0"/>
              <w:autoSpaceDN w:val="0"/>
              <w:adjustRightInd w:val="0"/>
              <w:jc w:val="center"/>
              <w:rPr>
                <w:b/>
                <w:bCs/>
                <w:color w:val="000000"/>
                <w:sz w:val="22"/>
                <w:szCs w:val="22"/>
                <w:lang w:eastAsia="tr-TR"/>
              </w:rPr>
            </w:pPr>
            <w:r w:rsidRPr="00B976F3">
              <w:rPr>
                <w:b/>
                <w:bCs/>
                <w:color w:val="000000"/>
                <w:sz w:val="22"/>
                <w:szCs w:val="22"/>
                <w:lang w:eastAsia="tr-TR"/>
              </w:rPr>
              <w:t>Mühendislik Boyutu</w:t>
            </w:r>
          </w:p>
        </w:tc>
        <w:tc>
          <w:tcPr>
            <w:tcW w:w="1559" w:type="dxa"/>
            <w:shd w:val="clear" w:color="auto" w:fill="FFFFFF"/>
            <w:vAlign w:val="center"/>
          </w:tcPr>
          <w:p w:rsidR="00B976F3" w:rsidRPr="00B976F3" w:rsidRDefault="00B976F3" w:rsidP="006355EC">
            <w:pPr>
              <w:autoSpaceDE w:val="0"/>
              <w:autoSpaceDN w:val="0"/>
              <w:adjustRightInd w:val="0"/>
              <w:jc w:val="center"/>
              <w:rPr>
                <w:b/>
                <w:bCs/>
                <w:color w:val="000000"/>
                <w:sz w:val="22"/>
                <w:szCs w:val="22"/>
                <w:lang w:eastAsia="tr-TR"/>
              </w:rPr>
            </w:pPr>
            <w:r w:rsidRPr="00B976F3">
              <w:rPr>
                <w:b/>
                <w:bCs/>
                <w:color w:val="000000"/>
                <w:sz w:val="22"/>
                <w:szCs w:val="22"/>
                <w:lang w:eastAsia="tr-TR"/>
              </w:rPr>
              <w:t>Matematik Boyutu</w:t>
            </w:r>
          </w:p>
        </w:tc>
      </w:tr>
      <w:tr w:rsidR="00B976F3" w:rsidRPr="00B976F3" w:rsidTr="00A277BA">
        <w:trPr>
          <w:cantSplit/>
          <w:trHeight w:val="309"/>
        </w:trPr>
        <w:tc>
          <w:tcPr>
            <w:tcW w:w="1413" w:type="dxa"/>
            <w:vMerge/>
            <w:shd w:val="clear" w:color="auto" w:fill="FFFFFF"/>
            <w:vAlign w:val="center"/>
          </w:tcPr>
          <w:p w:rsidR="00B976F3" w:rsidRPr="00B976F3" w:rsidRDefault="00B976F3" w:rsidP="006355EC">
            <w:pPr>
              <w:autoSpaceDE w:val="0"/>
              <w:autoSpaceDN w:val="0"/>
              <w:adjustRightInd w:val="0"/>
              <w:ind w:firstLine="709"/>
              <w:jc w:val="center"/>
              <w:rPr>
                <w:color w:val="000000"/>
                <w:sz w:val="22"/>
                <w:szCs w:val="22"/>
                <w:lang w:eastAsia="tr-TR"/>
              </w:rPr>
            </w:pPr>
          </w:p>
        </w:tc>
        <w:tc>
          <w:tcPr>
            <w:tcW w:w="2551" w:type="dxa"/>
            <w:shd w:val="clear" w:color="auto" w:fill="FFFFFF"/>
            <w:vAlign w:val="center"/>
          </w:tcPr>
          <w:p w:rsidR="00B976F3" w:rsidRPr="00B976F3" w:rsidRDefault="00B976F3" w:rsidP="006355EC">
            <w:pPr>
              <w:autoSpaceDE w:val="0"/>
              <w:autoSpaceDN w:val="0"/>
              <w:adjustRightInd w:val="0"/>
              <w:jc w:val="center"/>
              <w:rPr>
                <w:color w:val="000000"/>
                <w:sz w:val="22"/>
                <w:szCs w:val="22"/>
                <w:lang w:eastAsia="tr-TR"/>
              </w:rPr>
            </w:pPr>
            <w:proofErr w:type="spellStart"/>
            <w:r w:rsidRPr="00B976F3">
              <w:rPr>
                <w:color w:val="000000"/>
                <w:sz w:val="22"/>
                <w:szCs w:val="22"/>
                <w:lang w:eastAsia="tr-TR"/>
              </w:rPr>
              <w:t>Pearson</w:t>
            </w:r>
            <w:proofErr w:type="spellEnd"/>
            <w:r w:rsidRPr="00B976F3">
              <w:rPr>
                <w:color w:val="000000"/>
                <w:sz w:val="22"/>
                <w:szCs w:val="22"/>
                <w:lang w:eastAsia="tr-TR"/>
              </w:rPr>
              <w:t xml:space="preserve"> </w:t>
            </w:r>
            <w:proofErr w:type="spellStart"/>
            <w:r w:rsidRPr="00B976F3">
              <w:rPr>
                <w:color w:val="000000"/>
                <w:sz w:val="22"/>
                <w:szCs w:val="22"/>
                <w:lang w:eastAsia="tr-TR"/>
              </w:rPr>
              <w:t>Correlation</w:t>
            </w:r>
            <w:proofErr w:type="spellEnd"/>
          </w:p>
        </w:tc>
        <w:tc>
          <w:tcPr>
            <w:tcW w:w="1134" w:type="dxa"/>
            <w:shd w:val="clear" w:color="auto" w:fill="FFFFFF"/>
            <w:vAlign w:val="center"/>
          </w:tcPr>
          <w:p w:rsidR="00B976F3" w:rsidRPr="00B976F3" w:rsidRDefault="00B976F3" w:rsidP="006355EC">
            <w:pPr>
              <w:autoSpaceDE w:val="0"/>
              <w:autoSpaceDN w:val="0"/>
              <w:adjustRightInd w:val="0"/>
              <w:jc w:val="center"/>
              <w:rPr>
                <w:color w:val="000000"/>
                <w:sz w:val="22"/>
                <w:szCs w:val="22"/>
                <w:lang w:eastAsia="tr-TR"/>
              </w:rPr>
            </w:pPr>
            <w:r w:rsidRPr="00B976F3">
              <w:rPr>
                <w:color w:val="000000"/>
                <w:sz w:val="22"/>
                <w:szCs w:val="22"/>
                <w:lang w:eastAsia="tr-TR"/>
              </w:rPr>
              <w:t>,797</w:t>
            </w:r>
            <w:r w:rsidRPr="00B976F3">
              <w:rPr>
                <w:color w:val="000000"/>
                <w:sz w:val="22"/>
                <w:szCs w:val="22"/>
                <w:vertAlign w:val="superscript"/>
                <w:lang w:eastAsia="tr-TR"/>
              </w:rPr>
              <w:t>**</w:t>
            </w:r>
          </w:p>
        </w:tc>
        <w:tc>
          <w:tcPr>
            <w:tcW w:w="1134" w:type="dxa"/>
            <w:shd w:val="clear" w:color="auto" w:fill="FFFFFF"/>
            <w:vAlign w:val="center"/>
          </w:tcPr>
          <w:p w:rsidR="00B976F3" w:rsidRPr="00B976F3" w:rsidRDefault="00B976F3" w:rsidP="006355EC">
            <w:pPr>
              <w:autoSpaceDE w:val="0"/>
              <w:autoSpaceDN w:val="0"/>
              <w:adjustRightInd w:val="0"/>
              <w:jc w:val="center"/>
              <w:rPr>
                <w:color w:val="000000"/>
                <w:sz w:val="22"/>
                <w:szCs w:val="22"/>
                <w:lang w:eastAsia="tr-TR"/>
              </w:rPr>
            </w:pPr>
            <w:r w:rsidRPr="00B976F3">
              <w:rPr>
                <w:color w:val="000000"/>
                <w:sz w:val="22"/>
                <w:szCs w:val="22"/>
                <w:lang w:eastAsia="tr-TR"/>
              </w:rPr>
              <w:t>,720</w:t>
            </w:r>
            <w:r w:rsidRPr="00B976F3">
              <w:rPr>
                <w:color w:val="000000"/>
                <w:sz w:val="22"/>
                <w:szCs w:val="22"/>
                <w:vertAlign w:val="superscript"/>
                <w:lang w:eastAsia="tr-TR"/>
              </w:rPr>
              <w:t>**</w:t>
            </w:r>
          </w:p>
        </w:tc>
        <w:tc>
          <w:tcPr>
            <w:tcW w:w="1276" w:type="dxa"/>
            <w:shd w:val="clear" w:color="auto" w:fill="FFFFFF"/>
            <w:vAlign w:val="center"/>
          </w:tcPr>
          <w:p w:rsidR="00B976F3" w:rsidRPr="00B976F3" w:rsidRDefault="00B976F3" w:rsidP="006355EC">
            <w:pPr>
              <w:autoSpaceDE w:val="0"/>
              <w:autoSpaceDN w:val="0"/>
              <w:adjustRightInd w:val="0"/>
              <w:jc w:val="center"/>
              <w:rPr>
                <w:color w:val="000000"/>
                <w:sz w:val="22"/>
                <w:szCs w:val="22"/>
                <w:lang w:eastAsia="tr-TR"/>
              </w:rPr>
            </w:pPr>
            <w:r w:rsidRPr="00B976F3">
              <w:rPr>
                <w:color w:val="000000"/>
                <w:sz w:val="22"/>
                <w:szCs w:val="22"/>
                <w:lang w:eastAsia="tr-TR"/>
              </w:rPr>
              <w:t>,751</w:t>
            </w:r>
            <w:r w:rsidRPr="00B976F3">
              <w:rPr>
                <w:color w:val="000000"/>
                <w:sz w:val="22"/>
                <w:szCs w:val="22"/>
                <w:vertAlign w:val="superscript"/>
                <w:lang w:eastAsia="tr-TR"/>
              </w:rPr>
              <w:t>**</w:t>
            </w:r>
          </w:p>
        </w:tc>
        <w:tc>
          <w:tcPr>
            <w:tcW w:w="1559" w:type="dxa"/>
            <w:shd w:val="clear" w:color="auto" w:fill="FFFFFF"/>
            <w:vAlign w:val="center"/>
          </w:tcPr>
          <w:p w:rsidR="00B976F3" w:rsidRPr="00B976F3" w:rsidRDefault="00B976F3" w:rsidP="006355EC">
            <w:pPr>
              <w:autoSpaceDE w:val="0"/>
              <w:autoSpaceDN w:val="0"/>
              <w:adjustRightInd w:val="0"/>
              <w:jc w:val="center"/>
              <w:rPr>
                <w:color w:val="000000"/>
                <w:sz w:val="22"/>
                <w:szCs w:val="22"/>
                <w:lang w:eastAsia="tr-TR"/>
              </w:rPr>
            </w:pPr>
            <w:r w:rsidRPr="00B976F3">
              <w:rPr>
                <w:color w:val="000000"/>
                <w:sz w:val="22"/>
                <w:szCs w:val="22"/>
                <w:lang w:eastAsia="tr-TR"/>
              </w:rPr>
              <w:t>,751**</w:t>
            </w:r>
          </w:p>
        </w:tc>
      </w:tr>
      <w:tr w:rsidR="00B976F3" w:rsidRPr="00B976F3" w:rsidTr="00A277BA">
        <w:trPr>
          <w:cantSplit/>
          <w:trHeight w:val="200"/>
        </w:trPr>
        <w:tc>
          <w:tcPr>
            <w:tcW w:w="1413" w:type="dxa"/>
            <w:vMerge/>
            <w:shd w:val="clear" w:color="auto" w:fill="FFFFFF"/>
            <w:vAlign w:val="center"/>
          </w:tcPr>
          <w:p w:rsidR="00B976F3" w:rsidRPr="00B976F3" w:rsidRDefault="00B976F3" w:rsidP="006355EC">
            <w:pPr>
              <w:autoSpaceDE w:val="0"/>
              <w:autoSpaceDN w:val="0"/>
              <w:adjustRightInd w:val="0"/>
              <w:ind w:firstLine="709"/>
              <w:jc w:val="center"/>
              <w:rPr>
                <w:color w:val="000000"/>
                <w:sz w:val="22"/>
                <w:szCs w:val="22"/>
                <w:lang w:eastAsia="tr-TR"/>
              </w:rPr>
            </w:pPr>
          </w:p>
        </w:tc>
        <w:tc>
          <w:tcPr>
            <w:tcW w:w="2551" w:type="dxa"/>
            <w:shd w:val="clear" w:color="auto" w:fill="FFFFFF"/>
            <w:vAlign w:val="center"/>
          </w:tcPr>
          <w:p w:rsidR="00B976F3" w:rsidRPr="00B976F3" w:rsidRDefault="00B976F3" w:rsidP="006355EC">
            <w:pPr>
              <w:autoSpaceDE w:val="0"/>
              <w:autoSpaceDN w:val="0"/>
              <w:adjustRightInd w:val="0"/>
              <w:ind w:firstLine="709"/>
              <w:jc w:val="center"/>
              <w:rPr>
                <w:color w:val="000000"/>
                <w:sz w:val="22"/>
                <w:szCs w:val="22"/>
                <w:lang w:eastAsia="tr-TR"/>
              </w:rPr>
            </w:pPr>
            <w:proofErr w:type="spellStart"/>
            <w:r w:rsidRPr="00B976F3">
              <w:rPr>
                <w:color w:val="000000"/>
                <w:sz w:val="22"/>
                <w:szCs w:val="22"/>
                <w:lang w:eastAsia="tr-TR"/>
              </w:rPr>
              <w:t>Sig</w:t>
            </w:r>
            <w:proofErr w:type="spellEnd"/>
            <w:r w:rsidRPr="00B976F3">
              <w:rPr>
                <w:color w:val="000000"/>
                <w:sz w:val="22"/>
                <w:szCs w:val="22"/>
                <w:lang w:eastAsia="tr-TR"/>
              </w:rPr>
              <w:t>. (2-tailed)</w:t>
            </w:r>
          </w:p>
        </w:tc>
        <w:tc>
          <w:tcPr>
            <w:tcW w:w="1134" w:type="dxa"/>
            <w:shd w:val="clear" w:color="auto" w:fill="FFFFFF"/>
            <w:vAlign w:val="center"/>
          </w:tcPr>
          <w:p w:rsidR="00B976F3" w:rsidRPr="00B976F3" w:rsidRDefault="006355EC" w:rsidP="006355EC">
            <w:pPr>
              <w:autoSpaceDE w:val="0"/>
              <w:autoSpaceDN w:val="0"/>
              <w:adjustRightInd w:val="0"/>
              <w:rPr>
                <w:color w:val="000000"/>
                <w:sz w:val="22"/>
                <w:szCs w:val="22"/>
                <w:lang w:eastAsia="tr-TR"/>
              </w:rPr>
            </w:pPr>
            <w:r>
              <w:rPr>
                <w:color w:val="000000"/>
                <w:sz w:val="22"/>
                <w:szCs w:val="22"/>
                <w:lang w:eastAsia="tr-TR"/>
              </w:rPr>
              <w:t xml:space="preserve">     </w:t>
            </w:r>
            <w:r w:rsidR="00B976F3" w:rsidRPr="00B976F3">
              <w:rPr>
                <w:color w:val="000000"/>
                <w:sz w:val="22"/>
                <w:szCs w:val="22"/>
                <w:lang w:eastAsia="tr-TR"/>
              </w:rPr>
              <w:t>,000</w:t>
            </w:r>
          </w:p>
        </w:tc>
        <w:tc>
          <w:tcPr>
            <w:tcW w:w="1134" w:type="dxa"/>
            <w:shd w:val="clear" w:color="auto" w:fill="FFFFFF"/>
            <w:vAlign w:val="center"/>
          </w:tcPr>
          <w:p w:rsidR="00B976F3" w:rsidRPr="00B976F3" w:rsidRDefault="006355EC" w:rsidP="006355EC">
            <w:pPr>
              <w:autoSpaceDE w:val="0"/>
              <w:autoSpaceDN w:val="0"/>
              <w:adjustRightInd w:val="0"/>
              <w:rPr>
                <w:color w:val="000000"/>
                <w:sz w:val="22"/>
                <w:szCs w:val="22"/>
                <w:lang w:eastAsia="tr-TR"/>
              </w:rPr>
            </w:pPr>
            <w:r>
              <w:rPr>
                <w:color w:val="000000"/>
                <w:sz w:val="22"/>
                <w:szCs w:val="22"/>
                <w:lang w:eastAsia="tr-TR"/>
              </w:rPr>
              <w:t xml:space="preserve">     </w:t>
            </w:r>
            <w:r w:rsidR="00B976F3" w:rsidRPr="00B976F3">
              <w:rPr>
                <w:color w:val="000000"/>
                <w:sz w:val="22"/>
                <w:szCs w:val="22"/>
                <w:lang w:eastAsia="tr-TR"/>
              </w:rPr>
              <w:t>,000</w:t>
            </w:r>
          </w:p>
        </w:tc>
        <w:tc>
          <w:tcPr>
            <w:tcW w:w="1276" w:type="dxa"/>
            <w:shd w:val="clear" w:color="auto" w:fill="FFFFFF"/>
            <w:vAlign w:val="center"/>
          </w:tcPr>
          <w:p w:rsidR="00B976F3" w:rsidRPr="00B976F3" w:rsidRDefault="006355EC" w:rsidP="006355EC">
            <w:pPr>
              <w:autoSpaceDE w:val="0"/>
              <w:autoSpaceDN w:val="0"/>
              <w:adjustRightInd w:val="0"/>
              <w:rPr>
                <w:color w:val="000000"/>
                <w:sz w:val="22"/>
                <w:szCs w:val="22"/>
                <w:lang w:eastAsia="tr-TR"/>
              </w:rPr>
            </w:pPr>
            <w:r>
              <w:rPr>
                <w:color w:val="000000"/>
                <w:sz w:val="22"/>
                <w:szCs w:val="22"/>
                <w:lang w:eastAsia="tr-TR"/>
              </w:rPr>
              <w:t xml:space="preserve">       </w:t>
            </w:r>
            <w:r w:rsidR="00B976F3" w:rsidRPr="00B976F3">
              <w:rPr>
                <w:color w:val="000000"/>
                <w:sz w:val="22"/>
                <w:szCs w:val="22"/>
                <w:lang w:eastAsia="tr-TR"/>
              </w:rPr>
              <w:t>,000</w:t>
            </w:r>
          </w:p>
        </w:tc>
        <w:tc>
          <w:tcPr>
            <w:tcW w:w="1559" w:type="dxa"/>
            <w:shd w:val="clear" w:color="auto" w:fill="FFFFFF"/>
            <w:vAlign w:val="center"/>
          </w:tcPr>
          <w:p w:rsidR="00B976F3" w:rsidRPr="00B976F3" w:rsidRDefault="00B976F3" w:rsidP="006355EC">
            <w:pPr>
              <w:autoSpaceDE w:val="0"/>
              <w:autoSpaceDN w:val="0"/>
              <w:adjustRightInd w:val="0"/>
              <w:ind w:firstLine="709"/>
              <w:rPr>
                <w:color w:val="000000"/>
                <w:sz w:val="22"/>
                <w:szCs w:val="22"/>
                <w:lang w:eastAsia="tr-TR"/>
              </w:rPr>
            </w:pPr>
            <w:r w:rsidRPr="00B976F3">
              <w:rPr>
                <w:color w:val="000000"/>
                <w:sz w:val="22"/>
                <w:szCs w:val="22"/>
                <w:lang w:eastAsia="tr-TR"/>
              </w:rPr>
              <w:t>,000</w:t>
            </w:r>
          </w:p>
        </w:tc>
      </w:tr>
      <w:tr w:rsidR="00B976F3" w:rsidRPr="00B976F3" w:rsidTr="00A277BA">
        <w:trPr>
          <w:cantSplit/>
          <w:trHeight w:val="327"/>
        </w:trPr>
        <w:tc>
          <w:tcPr>
            <w:tcW w:w="1413" w:type="dxa"/>
            <w:vMerge/>
            <w:shd w:val="clear" w:color="auto" w:fill="FFFFFF"/>
            <w:vAlign w:val="center"/>
          </w:tcPr>
          <w:p w:rsidR="00B976F3" w:rsidRPr="00B976F3" w:rsidRDefault="00B976F3" w:rsidP="006355EC">
            <w:pPr>
              <w:autoSpaceDE w:val="0"/>
              <w:autoSpaceDN w:val="0"/>
              <w:adjustRightInd w:val="0"/>
              <w:ind w:firstLine="709"/>
              <w:jc w:val="center"/>
              <w:rPr>
                <w:color w:val="000000"/>
                <w:sz w:val="22"/>
                <w:szCs w:val="22"/>
                <w:lang w:eastAsia="tr-TR"/>
              </w:rPr>
            </w:pPr>
          </w:p>
        </w:tc>
        <w:tc>
          <w:tcPr>
            <w:tcW w:w="2551" w:type="dxa"/>
            <w:shd w:val="clear" w:color="auto" w:fill="FFFFFF"/>
            <w:vAlign w:val="center"/>
          </w:tcPr>
          <w:p w:rsidR="00B976F3" w:rsidRPr="00B976F3" w:rsidRDefault="00B976F3" w:rsidP="006355EC">
            <w:pPr>
              <w:autoSpaceDE w:val="0"/>
              <w:autoSpaceDN w:val="0"/>
              <w:adjustRightInd w:val="0"/>
              <w:ind w:firstLine="709"/>
              <w:jc w:val="center"/>
              <w:rPr>
                <w:color w:val="000000"/>
                <w:sz w:val="22"/>
                <w:szCs w:val="22"/>
                <w:lang w:eastAsia="tr-TR"/>
              </w:rPr>
            </w:pPr>
            <w:r w:rsidRPr="00B976F3">
              <w:rPr>
                <w:color w:val="000000"/>
                <w:sz w:val="22"/>
                <w:szCs w:val="22"/>
                <w:lang w:eastAsia="tr-TR"/>
              </w:rPr>
              <w:t>N</w:t>
            </w:r>
          </w:p>
        </w:tc>
        <w:tc>
          <w:tcPr>
            <w:tcW w:w="1134" w:type="dxa"/>
            <w:shd w:val="clear" w:color="auto" w:fill="FFFFFF"/>
            <w:vAlign w:val="center"/>
          </w:tcPr>
          <w:p w:rsidR="00B976F3" w:rsidRPr="00B976F3" w:rsidRDefault="006355EC" w:rsidP="006355EC">
            <w:pPr>
              <w:autoSpaceDE w:val="0"/>
              <w:autoSpaceDN w:val="0"/>
              <w:adjustRightInd w:val="0"/>
              <w:rPr>
                <w:color w:val="000000"/>
                <w:sz w:val="22"/>
                <w:szCs w:val="22"/>
                <w:lang w:eastAsia="tr-TR"/>
              </w:rPr>
            </w:pPr>
            <w:r>
              <w:rPr>
                <w:color w:val="000000"/>
                <w:sz w:val="22"/>
                <w:szCs w:val="22"/>
                <w:lang w:eastAsia="tr-TR"/>
              </w:rPr>
              <w:t xml:space="preserve">     </w:t>
            </w:r>
            <w:r w:rsidR="00B976F3" w:rsidRPr="00B976F3">
              <w:rPr>
                <w:color w:val="000000"/>
                <w:sz w:val="22"/>
                <w:szCs w:val="22"/>
                <w:lang w:eastAsia="tr-TR"/>
              </w:rPr>
              <w:t>810</w:t>
            </w:r>
          </w:p>
        </w:tc>
        <w:tc>
          <w:tcPr>
            <w:tcW w:w="1134" w:type="dxa"/>
            <w:shd w:val="clear" w:color="auto" w:fill="FFFFFF"/>
            <w:vAlign w:val="center"/>
          </w:tcPr>
          <w:p w:rsidR="00B976F3" w:rsidRPr="00B976F3" w:rsidRDefault="006355EC" w:rsidP="006355EC">
            <w:pPr>
              <w:autoSpaceDE w:val="0"/>
              <w:autoSpaceDN w:val="0"/>
              <w:adjustRightInd w:val="0"/>
              <w:rPr>
                <w:color w:val="000000"/>
                <w:sz w:val="22"/>
                <w:szCs w:val="22"/>
                <w:lang w:eastAsia="tr-TR"/>
              </w:rPr>
            </w:pPr>
            <w:r>
              <w:rPr>
                <w:color w:val="000000"/>
                <w:sz w:val="22"/>
                <w:szCs w:val="22"/>
                <w:lang w:eastAsia="tr-TR"/>
              </w:rPr>
              <w:t xml:space="preserve">      </w:t>
            </w:r>
            <w:r w:rsidR="00B976F3" w:rsidRPr="00B976F3">
              <w:rPr>
                <w:color w:val="000000"/>
                <w:sz w:val="22"/>
                <w:szCs w:val="22"/>
                <w:lang w:eastAsia="tr-TR"/>
              </w:rPr>
              <w:t>810</w:t>
            </w:r>
          </w:p>
        </w:tc>
        <w:tc>
          <w:tcPr>
            <w:tcW w:w="1276" w:type="dxa"/>
            <w:shd w:val="clear" w:color="auto" w:fill="FFFFFF"/>
            <w:vAlign w:val="center"/>
          </w:tcPr>
          <w:p w:rsidR="00B976F3" w:rsidRPr="00B976F3" w:rsidRDefault="006355EC" w:rsidP="006355EC">
            <w:pPr>
              <w:autoSpaceDE w:val="0"/>
              <w:autoSpaceDN w:val="0"/>
              <w:adjustRightInd w:val="0"/>
              <w:rPr>
                <w:color w:val="000000"/>
                <w:sz w:val="22"/>
                <w:szCs w:val="22"/>
                <w:lang w:eastAsia="tr-TR"/>
              </w:rPr>
            </w:pPr>
            <w:r>
              <w:rPr>
                <w:color w:val="000000"/>
                <w:sz w:val="22"/>
                <w:szCs w:val="22"/>
                <w:lang w:eastAsia="tr-TR"/>
              </w:rPr>
              <w:t xml:space="preserve">        </w:t>
            </w:r>
            <w:r w:rsidR="00B976F3" w:rsidRPr="00B976F3">
              <w:rPr>
                <w:color w:val="000000"/>
                <w:sz w:val="22"/>
                <w:szCs w:val="22"/>
                <w:lang w:eastAsia="tr-TR"/>
              </w:rPr>
              <w:t>810</w:t>
            </w:r>
          </w:p>
        </w:tc>
        <w:tc>
          <w:tcPr>
            <w:tcW w:w="1559" w:type="dxa"/>
            <w:shd w:val="clear" w:color="auto" w:fill="FFFFFF"/>
            <w:vAlign w:val="center"/>
          </w:tcPr>
          <w:p w:rsidR="00B976F3" w:rsidRPr="00B976F3" w:rsidRDefault="00B976F3" w:rsidP="006355EC">
            <w:pPr>
              <w:autoSpaceDE w:val="0"/>
              <w:autoSpaceDN w:val="0"/>
              <w:adjustRightInd w:val="0"/>
              <w:ind w:firstLine="709"/>
              <w:rPr>
                <w:color w:val="000000"/>
                <w:sz w:val="22"/>
                <w:szCs w:val="22"/>
                <w:lang w:eastAsia="tr-TR"/>
              </w:rPr>
            </w:pPr>
            <w:r w:rsidRPr="00B976F3">
              <w:rPr>
                <w:color w:val="000000"/>
                <w:sz w:val="22"/>
                <w:szCs w:val="22"/>
                <w:lang w:eastAsia="tr-TR"/>
              </w:rPr>
              <w:t>810</w:t>
            </w:r>
          </w:p>
        </w:tc>
      </w:tr>
    </w:tbl>
    <w:p w:rsidR="00B976F3" w:rsidRPr="00054924" w:rsidRDefault="00B976F3" w:rsidP="00054924">
      <w:pPr>
        <w:autoSpaceDE w:val="0"/>
        <w:autoSpaceDN w:val="0"/>
        <w:adjustRightInd w:val="0"/>
        <w:spacing w:line="360" w:lineRule="auto"/>
        <w:ind w:firstLine="709"/>
        <w:jc w:val="right"/>
        <w:rPr>
          <w:i/>
          <w:iCs/>
          <w:color w:val="000000"/>
          <w:sz w:val="20"/>
          <w:szCs w:val="20"/>
          <w:lang w:eastAsia="tr-TR"/>
        </w:rPr>
      </w:pPr>
      <w:r w:rsidRPr="00054924">
        <w:rPr>
          <w:i/>
          <w:iCs/>
          <w:color w:val="000000"/>
          <w:sz w:val="20"/>
          <w:szCs w:val="20"/>
          <w:lang w:eastAsia="tr-TR"/>
        </w:rPr>
        <w:t xml:space="preserve">**. </w:t>
      </w:r>
      <w:proofErr w:type="spellStart"/>
      <w:r w:rsidRPr="00054924">
        <w:rPr>
          <w:i/>
          <w:iCs/>
          <w:color w:val="000000"/>
          <w:sz w:val="20"/>
          <w:szCs w:val="20"/>
          <w:lang w:eastAsia="tr-TR"/>
        </w:rPr>
        <w:t>Correlation</w:t>
      </w:r>
      <w:proofErr w:type="spellEnd"/>
      <w:r w:rsidRPr="00054924">
        <w:rPr>
          <w:i/>
          <w:iCs/>
          <w:color w:val="000000"/>
          <w:sz w:val="20"/>
          <w:szCs w:val="20"/>
          <w:lang w:eastAsia="tr-TR"/>
        </w:rPr>
        <w:t xml:space="preserve"> is </w:t>
      </w:r>
      <w:proofErr w:type="spellStart"/>
      <w:r w:rsidRPr="00054924">
        <w:rPr>
          <w:i/>
          <w:iCs/>
          <w:color w:val="000000"/>
          <w:sz w:val="20"/>
          <w:szCs w:val="20"/>
          <w:lang w:eastAsia="tr-TR"/>
        </w:rPr>
        <w:t>significant</w:t>
      </w:r>
      <w:proofErr w:type="spellEnd"/>
      <w:r w:rsidRPr="00054924">
        <w:rPr>
          <w:i/>
          <w:iCs/>
          <w:color w:val="000000"/>
          <w:sz w:val="20"/>
          <w:szCs w:val="20"/>
          <w:lang w:eastAsia="tr-TR"/>
        </w:rPr>
        <w:t xml:space="preserve"> at </w:t>
      </w:r>
      <w:proofErr w:type="spellStart"/>
      <w:r w:rsidRPr="00054924">
        <w:rPr>
          <w:i/>
          <w:iCs/>
          <w:color w:val="000000"/>
          <w:sz w:val="20"/>
          <w:szCs w:val="20"/>
          <w:lang w:eastAsia="tr-TR"/>
        </w:rPr>
        <w:t>the</w:t>
      </w:r>
      <w:proofErr w:type="spellEnd"/>
      <w:r w:rsidRPr="00054924">
        <w:rPr>
          <w:i/>
          <w:iCs/>
          <w:color w:val="000000"/>
          <w:sz w:val="20"/>
          <w:szCs w:val="20"/>
          <w:lang w:eastAsia="tr-TR"/>
        </w:rPr>
        <w:t xml:space="preserve"> 0.01 </w:t>
      </w:r>
      <w:proofErr w:type="spellStart"/>
      <w:r w:rsidRPr="00054924">
        <w:rPr>
          <w:i/>
          <w:iCs/>
          <w:color w:val="000000"/>
          <w:sz w:val="20"/>
          <w:szCs w:val="20"/>
          <w:lang w:eastAsia="tr-TR"/>
        </w:rPr>
        <w:t>level</w:t>
      </w:r>
      <w:proofErr w:type="spellEnd"/>
      <w:r w:rsidRPr="00054924">
        <w:rPr>
          <w:i/>
          <w:iCs/>
          <w:color w:val="000000"/>
          <w:sz w:val="20"/>
          <w:szCs w:val="20"/>
          <w:lang w:eastAsia="tr-TR"/>
        </w:rPr>
        <w:t xml:space="preserve"> (2-tailed).</w:t>
      </w:r>
    </w:p>
    <w:p w:rsidR="00DE6068" w:rsidRPr="00DE6068" w:rsidRDefault="00DE6068" w:rsidP="00054924">
      <w:pPr>
        <w:autoSpaceDE w:val="0"/>
        <w:autoSpaceDN w:val="0"/>
        <w:adjustRightInd w:val="0"/>
        <w:spacing w:line="360" w:lineRule="auto"/>
        <w:jc w:val="center"/>
        <w:rPr>
          <w:color w:val="000000"/>
          <w:lang w:val="en-US" w:eastAsia="tr-TR"/>
        </w:rPr>
      </w:pPr>
      <w:r w:rsidRPr="00054924">
        <w:rPr>
          <w:b/>
          <w:bCs/>
          <w:color w:val="000000"/>
          <w:lang w:val="en-US" w:eastAsia="tr-TR"/>
        </w:rPr>
        <w:t>Tablo 5.</w:t>
      </w:r>
      <w:r w:rsidRPr="00DE6068">
        <w:rPr>
          <w:color w:val="000000"/>
          <w:lang w:val="en-US" w:eastAsia="tr-TR"/>
        </w:rPr>
        <w:t xml:space="preserve"> STEM </w:t>
      </w:r>
      <w:proofErr w:type="spellStart"/>
      <w:r w:rsidRPr="00DE6068">
        <w:rPr>
          <w:color w:val="000000"/>
          <w:lang w:val="en-US" w:eastAsia="tr-TR"/>
        </w:rPr>
        <w:t>motivasyon</w:t>
      </w:r>
      <w:proofErr w:type="spellEnd"/>
      <w:r w:rsidRPr="00DE6068">
        <w:rPr>
          <w:color w:val="000000"/>
          <w:lang w:val="en-US" w:eastAsia="tr-TR"/>
        </w:rPr>
        <w:t xml:space="preserve"> </w:t>
      </w:r>
      <w:proofErr w:type="spellStart"/>
      <w:r w:rsidRPr="00DE6068">
        <w:rPr>
          <w:color w:val="000000"/>
          <w:lang w:val="en-US" w:eastAsia="tr-TR"/>
        </w:rPr>
        <w:t>ölçeği</w:t>
      </w:r>
      <w:r w:rsidR="00054924">
        <w:rPr>
          <w:color w:val="000000"/>
          <w:lang w:val="en-US" w:eastAsia="tr-TR"/>
        </w:rPr>
        <w:t>nin</w:t>
      </w:r>
      <w:proofErr w:type="spellEnd"/>
      <w:r w:rsidRPr="00DE6068">
        <w:rPr>
          <w:color w:val="000000"/>
          <w:lang w:val="en-US" w:eastAsia="tr-TR"/>
        </w:rPr>
        <w:t xml:space="preserve"> alt </w:t>
      </w:r>
      <w:proofErr w:type="spellStart"/>
      <w:r w:rsidRPr="00DE6068">
        <w:rPr>
          <w:color w:val="000000"/>
          <w:lang w:val="en-US" w:eastAsia="tr-TR"/>
        </w:rPr>
        <w:t>boyutların</w:t>
      </w:r>
      <w:proofErr w:type="spellEnd"/>
      <w:r w:rsidR="00054924">
        <w:rPr>
          <w:color w:val="000000"/>
          <w:lang w:val="en-US" w:eastAsia="tr-TR"/>
        </w:rPr>
        <w:t xml:space="preserve"> </w:t>
      </w:r>
      <w:proofErr w:type="spellStart"/>
      <w:r w:rsidR="00054924">
        <w:rPr>
          <w:color w:val="000000"/>
          <w:lang w:val="en-US" w:eastAsia="tr-TR"/>
        </w:rPr>
        <w:t>arasındaki</w:t>
      </w:r>
      <w:proofErr w:type="spellEnd"/>
      <w:r w:rsidRPr="00DE6068">
        <w:rPr>
          <w:color w:val="000000"/>
          <w:lang w:val="en-US" w:eastAsia="tr-TR"/>
        </w:rPr>
        <w:t xml:space="preserve"> </w:t>
      </w:r>
      <w:proofErr w:type="spellStart"/>
      <w:r w:rsidRPr="00DE6068">
        <w:rPr>
          <w:color w:val="000000"/>
          <w:lang w:val="en-US" w:eastAsia="tr-TR"/>
        </w:rPr>
        <w:t>ilişkisi</w:t>
      </w:r>
      <w:proofErr w:type="spellEnd"/>
    </w:p>
    <w:tbl>
      <w:tblPr>
        <w:tblW w:w="9072" w:type="dxa"/>
        <w:tblBorders>
          <w:top w:val="single" w:sz="4" w:space="0" w:color="auto"/>
          <w:bottom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1134"/>
        <w:gridCol w:w="2127"/>
        <w:gridCol w:w="1134"/>
        <w:gridCol w:w="1417"/>
        <w:gridCol w:w="1701"/>
        <w:gridCol w:w="1559"/>
      </w:tblGrid>
      <w:tr w:rsidR="00324186" w:rsidRPr="00DE6068" w:rsidTr="00324186">
        <w:trPr>
          <w:cantSplit/>
        </w:trPr>
        <w:tc>
          <w:tcPr>
            <w:tcW w:w="3261" w:type="dxa"/>
            <w:gridSpan w:val="2"/>
            <w:shd w:val="clear" w:color="auto" w:fill="FFFFFF"/>
          </w:tcPr>
          <w:p w:rsidR="00DE6068" w:rsidRPr="00DE6068" w:rsidRDefault="00054924" w:rsidP="00DE6068">
            <w:pPr>
              <w:autoSpaceDE w:val="0"/>
              <w:autoSpaceDN w:val="0"/>
              <w:adjustRightInd w:val="0"/>
              <w:spacing w:line="360" w:lineRule="auto"/>
              <w:jc w:val="center"/>
              <w:rPr>
                <w:b/>
                <w:bCs/>
                <w:color w:val="000000"/>
                <w:sz w:val="20"/>
                <w:szCs w:val="20"/>
                <w:lang w:val="en-US" w:eastAsia="tr-TR"/>
              </w:rPr>
            </w:pPr>
            <w:r>
              <w:rPr>
                <w:color w:val="000000"/>
                <w:sz w:val="20"/>
                <w:szCs w:val="20"/>
                <w:lang w:val="en-US" w:eastAsia="tr-TR"/>
              </w:rPr>
              <w:t xml:space="preserve">                               </w:t>
            </w:r>
            <w:proofErr w:type="spellStart"/>
            <w:r w:rsidRPr="00054924">
              <w:rPr>
                <w:b/>
                <w:bCs/>
                <w:color w:val="000000"/>
                <w:sz w:val="20"/>
                <w:szCs w:val="20"/>
                <w:lang w:val="en-US" w:eastAsia="tr-TR"/>
              </w:rPr>
              <w:t>Kolerasyon</w:t>
            </w:r>
            <w:proofErr w:type="spellEnd"/>
          </w:p>
        </w:tc>
        <w:tc>
          <w:tcPr>
            <w:tcW w:w="1134" w:type="dxa"/>
            <w:shd w:val="clear" w:color="auto" w:fill="FFFFFF"/>
          </w:tcPr>
          <w:p w:rsidR="00DE6068" w:rsidRPr="00DE6068" w:rsidRDefault="00DE6068" w:rsidP="00DE6068">
            <w:pPr>
              <w:autoSpaceDE w:val="0"/>
              <w:autoSpaceDN w:val="0"/>
              <w:adjustRightInd w:val="0"/>
              <w:spacing w:line="360" w:lineRule="auto"/>
              <w:jc w:val="center"/>
              <w:rPr>
                <w:b/>
                <w:bCs/>
                <w:color w:val="000000"/>
                <w:sz w:val="18"/>
                <w:szCs w:val="18"/>
                <w:lang w:val="en-US" w:eastAsia="tr-TR"/>
              </w:rPr>
            </w:pPr>
            <w:proofErr w:type="spellStart"/>
            <w:r w:rsidRPr="00054924">
              <w:rPr>
                <w:b/>
                <w:bCs/>
                <w:color w:val="000000"/>
                <w:sz w:val="18"/>
                <w:szCs w:val="18"/>
                <w:lang w:val="en-US" w:eastAsia="tr-TR"/>
              </w:rPr>
              <w:t>B</w:t>
            </w:r>
            <w:r w:rsidRPr="00DE6068">
              <w:rPr>
                <w:b/>
                <w:bCs/>
                <w:color w:val="000000"/>
                <w:sz w:val="18"/>
                <w:szCs w:val="18"/>
                <w:lang w:val="en-US" w:eastAsia="tr-TR"/>
              </w:rPr>
              <w:t>ilim</w:t>
            </w:r>
            <w:proofErr w:type="spellEnd"/>
            <w:r w:rsidRPr="00054924">
              <w:rPr>
                <w:b/>
                <w:bCs/>
                <w:color w:val="000000"/>
                <w:sz w:val="18"/>
                <w:szCs w:val="18"/>
                <w:lang w:val="en-US" w:eastAsia="tr-TR"/>
              </w:rPr>
              <w:t xml:space="preserve"> </w:t>
            </w:r>
            <w:proofErr w:type="spellStart"/>
            <w:r w:rsidRPr="00054924">
              <w:rPr>
                <w:b/>
                <w:bCs/>
                <w:color w:val="000000"/>
                <w:sz w:val="18"/>
                <w:szCs w:val="18"/>
                <w:lang w:val="en-US" w:eastAsia="tr-TR"/>
              </w:rPr>
              <w:t>Boyutu</w:t>
            </w:r>
            <w:proofErr w:type="spellEnd"/>
          </w:p>
        </w:tc>
        <w:tc>
          <w:tcPr>
            <w:tcW w:w="1417" w:type="dxa"/>
            <w:shd w:val="clear" w:color="auto" w:fill="FFFFFF"/>
          </w:tcPr>
          <w:p w:rsidR="00DE6068" w:rsidRPr="00DE6068" w:rsidRDefault="00DE6068" w:rsidP="00DE6068">
            <w:pPr>
              <w:autoSpaceDE w:val="0"/>
              <w:autoSpaceDN w:val="0"/>
              <w:adjustRightInd w:val="0"/>
              <w:spacing w:line="360" w:lineRule="auto"/>
              <w:jc w:val="center"/>
              <w:rPr>
                <w:b/>
                <w:bCs/>
                <w:color w:val="000000"/>
                <w:sz w:val="18"/>
                <w:szCs w:val="18"/>
                <w:lang w:val="en-US" w:eastAsia="tr-TR"/>
              </w:rPr>
            </w:pPr>
            <w:proofErr w:type="spellStart"/>
            <w:r w:rsidRPr="00054924">
              <w:rPr>
                <w:b/>
                <w:bCs/>
                <w:color w:val="000000"/>
                <w:sz w:val="18"/>
                <w:szCs w:val="18"/>
                <w:lang w:val="en-US" w:eastAsia="tr-TR"/>
              </w:rPr>
              <w:t>T</w:t>
            </w:r>
            <w:r w:rsidRPr="00DE6068">
              <w:rPr>
                <w:b/>
                <w:bCs/>
                <w:color w:val="000000"/>
                <w:sz w:val="18"/>
                <w:szCs w:val="18"/>
                <w:lang w:val="en-US" w:eastAsia="tr-TR"/>
              </w:rPr>
              <w:t>eknoloji</w:t>
            </w:r>
            <w:proofErr w:type="spellEnd"/>
            <w:r w:rsidRPr="00054924">
              <w:rPr>
                <w:b/>
                <w:bCs/>
                <w:color w:val="000000"/>
                <w:sz w:val="18"/>
                <w:szCs w:val="18"/>
                <w:lang w:val="en-US" w:eastAsia="tr-TR"/>
              </w:rPr>
              <w:t xml:space="preserve"> </w:t>
            </w:r>
            <w:proofErr w:type="spellStart"/>
            <w:r w:rsidRPr="00054924">
              <w:rPr>
                <w:b/>
                <w:bCs/>
                <w:color w:val="000000"/>
                <w:sz w:val="18"/>
                <w:szCs w:val="18"/>
                <w:lang w:val="en-US" w:eastAsia="tr-TR"/>
              </w:rPr>
              <w:t>Boyutu</w:t>
            </w:r>
            <w:proofErr w:type="spellEnd"/>
          </w:p>
        </w:tc>
        <w:tc>
          <w:tcPr>
            <w:tcW w:w="1701" w:type="dxa"/>
            <w:shd w:val="clear" w:color="auto" w:fill="FFFFFF"/>
          </w:tcPr>
          <w:p w:rsidR="00DE6068" w:rsidRPr="00DE6068" w:rsidRDefault="00DE6068" w:rsidP="00DE6068">
            <w:pPr>
              <w:autoSpaceDE w:val="0"/>
              <w:autoSpaceDN w:val="0"/>
              <w:adjustRightInd w:val="0"/>
              <w:spacing w:line="360" w:lineRule="auto"/>
              <w:jc w:val="center"/>
              <w:rPr>
                <w:b/>
                <w:bCs/>
                <w:color w:val="000000"/>
                <w:sz w:val="18"/>
                <w:szCs w:val="18"/>
                <w:lang w:val="en-US" w:eastAsia="tr-TR"/>
              </w:rPr>
            </w:pPr>
            <w:proofErr w:type="spellStart"/>
            <w:r w:rsidRPr="00054924">
              <w:rPr>
                <w:b/>
                <w:bCs/>
                <w:color w:val="000000"/>
                <w:sz w:val="18"/>
                <w:szCs w:val="18"/>
                <w:lang w:val="en-US" w:eastAsia="tr-TR"/>
              </w:rPr>
              <w:t>M</w:t>
            </w:r>
            <w:r w:rsidRPr="00DE6068">
              <w:rPr>
                <w:b/>
                <w:bCs/>
                <w:color w:val="000000"/>
                <w:sz w:val="18"/>
                <w:szCs w:val="18"/>
                <w:lang w:val="en-US" w:eastAsia="tr-TR"/>
              </w:rPr>
              <w:t>ühendislik</w:t>
            </w:r>
            <w:proofErr w:type="spellEnd"/>
            <w:r w:rsidRPr="00054924">
              <w:rPr>
                <w:b/>
                <w:bCs/>
                <w:color w:val="000000"/>
                <w:sz w:val="18"/>
                <w:szCs w:val="18"/>
                <w:lang w:val="en-US" w:eastAsia="tr-TR"/>
              </w:rPr>
              <w:t xml:space="preserve"> </w:t>
            </w:r>
            <w:proofErr w:type="spellStart"/>
            <w:r w:rsidRPr="00054924">
              <w:rPr>
                <w:b/>
                <w:bCs/>
                <w:color w:val="000000"/>
                <w:sz w:val="18"/>
                <w:szCs w:val="18"/>
                <w:lang w:val="en-US" w:eastAsia="tr-TR"/>
              </w:rPr>
              <w:t>Boyutu</w:t>
            </w:r>
            <w:proofErr w:type="spellEnd"/>
          </w:p>
        </w:tc>
        <w:tc>
          <w:tcPr>
            <w:tcW w:w="1559" w:type="dxa"/>
            <w:shd w:val="clear" w:color="auto" w:fill="FFFFFF"/>
          </w:tcPr>
          <w:p w:rsidR="00DE6068" w:rsidRPr="00054924" w:rsidRDefault="00DE6068" w:rsidP="00DE6068">
            <w:pPr>
              <w:autoSpaceDE w:val="0"/>
              <w:autoSpaceDN w:val="0"/>
              <w:adjustRightInd w:val="0"/>
              <w:spacing w:line="360" w:lineRule="auto"/>
              <w:jc w:val="center"/>
              <w:rPr>
                <w:b/>
                <w:bCs/>
                <w:color w:val="000000"/>
                <w:sz w:val="18"/>
                <w:szCs w:val="18"/>
                <w:lang w:val="en-US" w:eastAsia="tr-TR"/>
              </w:rPr>
            </w:pPr>
            <w:proofErr w:type="spellStart"/>
            <w:r w:rsidRPr="00054924">
              <w:rPr>
                <w:b/>
                <w:bCs/>
                <w:color w:val="000000"/>
                <w:sz w:val="18"/>
                <w:szCs w:val="18"/>
                <w:lang w:val="en-US" w:eastAsia="tr-TR"/>
              </w:rPr>
              <w:t>Matematik</w:t>
            </w:r>
            <w:proofErr w:type="spellEnd"/>
            <w:r w:rsidRPr="00054924">
              <w:rPr>
                <w:b/>
                <w:bCs/>
                <w:color w:val="000000"/>
                <w:sz w:val="18"/>
                <w:szCs w:val="18"/>
                <w:lang w:val="en-US" w:eastAsia="tr-TR"/>
              </w:rPr>
              <w:t xml:space="preserve"> </w:t>
            </w:r>
            <w:proofErr w:type="spellStart"/>
            <w:r w:rsidRPr="00054924">
              <w:rPr>
                <w:b/>
                <w:bCs/>
                <w:color w:val="000000"/>
                <w:sz w:val="18"/>
                <w:szCs w:val="18"/>
                <w:lang w:val="en-US" w:eastAsia="tr-TR"/>
              </w:rPr>
              <w:t>Boyutu</w:t>
            </w:r>
            <w:proofErr w:type="spellEnd"/>
          </w:p>
        </w:tc>
      </w:tr>
      <w:tr w:rsidR="00324186" w:rsidRPr="00DE6068" w:rsidTr="00324186">
        <w:trPr>
          <w:cantSplit/>
        </w:trPr>
        <w:tc>
          <w:tcPr>
            <w:tcW w:w="1134" w:type="dxa"/>
            <w:vMerge w:val="restart"/>
            <w:shd w:val="clear" w:color="auto" w:fill="FFFFFF"/>
            <w:vAlign w:val="center"/>
          </w:tcPr>
          <w:p w:rsidR="00DE6068" w:rsidRPr="00DE6068" w:rsidRDefault="00DE6068" w:rsidP="00DE6068">
            <w:pPr>
              <w:autoSpaceDE w:val="0"/>
              <w:autoSpaceDN w:val="0"/>
              <w:adjustRightInd w:val="0"/>
              <w:spacing w:line="360" w:lineRule="auto"/>
              <w:jc w:val="center"/>
              <w:rPr>
                <w:b/>
                <w:bCs/>
                <w:color w:val="000000"/>
                <w:sz w:val="20"/>
                <w:szCs w:val="20"/>
                <w:lang w:val="en-US" w:eastAsia="tr-TR"/>
              </w:rPr>
            </w:pPr>
            <w:proofErr w:type="spellStart"/>
            <w:r w:rsidRPr="00054924">
              <w:rPr>
                <w:b/>
                <w:bCs/>
                <w:color w:val="000000"/>
                <w:sz w:val="20"/>
                <w:szCs w:val="20"/>
                <w:lang w:val="en-US" w:eastAsia="tr-TR"/>
              </w:rPr>
              <w:t>Bilim</w:t>
            </w:r>
            <w:proofErr w:type="spellEnd"/>
            <w:r w:rsidRPr="00054924">
              <w:rPr>
                <w:b/>
                <w:bCs/>
                <w:color w:val="000000"/>
                <w:sz w:val="20"/>
                <w:szCs w:val="20"/>
                <w:lang w:val="en-US" w:eastAsia="tr-TR"/>
              </w:rPr>
              <w:t xml:space="preserve"> </w:t>
            </w:r>
            <w:proofErr w:type="spellStart"/>
            <w:r w:rsidRPr="00054924">
              <w:rPr>
                <w:b/>
                <w:bCs/>
                <w:color w:val="000000"/>
                <w:sz w:val="20"/>
                <w:szCs w:val="20"/>
                <w:lang w:val="en-US" w:eastAsia="tr-TR"/>
              </w:rPr>
              <w:t>Boyutu</w:t>
            </w:r>
            <w:proofErr w:type="spellEnd"/>
          </w:p>
        </w:tc>
        <w:tc>
          <w:tcPr>
            <w:tcW w:w="2127" w:type="dxa"/>
            <w:shd w:val="clear" w:color="auto" w:fill="FFFFFF"/>
            <w:vAlign w:val="center"/>
          </w:tcPr>
          <w:p w:rsidR="00DE6068" w:rsidRPr="00DE6068" w:rsidRDefault="00DE6068" w:rsidP="00DE6068">
            <w:pPr>
              <w:autoSpaceDE w:val="0"/>
              <w:autoSpaceDN w:val="0"/>
              <w:adjustRightInd w:val="0"/>
              <w:spacing w:line="360" w:lineRule="auto"/>
              <w:jc w:val="center"/>
              <w:rPr>
                <w:color w:val="000000"/>
                <w:sz w:val="20"/>
                <w:szCs w:val="20"/>
                <w:lang w:val="en-US" w:eastAsia="tr-TR"/>
              </w:rPr>
            </w:pPr>
            <w:r w:rsidRPr="00DE6068">
              <w:rPr>
                <w:color w:val="000000"/>
                <w:sz w:val="20"/>
                <w:szCs w:val="20"/>
                <w:lang w:val="en-US" w:eastAsia="tr-TR"/>
              </w:rPr>
              <w:t>Pearson Correlation</w:t>
            </w:r>
          </w:p>
        </w:tc>
        <w:tc>
          <w:tcPr>
            <w:tcW w:w="1134" w:type="dxa"/>
            <w:shd w:val="clear" w:color="auto" w:fill="FFFFFF"/>
            <w:vAlign w:val="center"/>
          </w:tcPr>
          <w:p w:rsidR="00DE6068" w:rsidRPr="00DE6068" w:rsidRDefault="00DE6068" w:rsidP="00DE6068">
            <w:pPr>
              <w:autoSpaceDE w:val="0"/>
              <w:autoSpaceDN w:val="0"/>
              <w:adjustRightInd w:val="0"/>
              <w:spacing w:line="360" w:lineRule="auto"/>
              <w:jc w:val="center"/>
              <w:rPr>
                <w:color w:val="000000"/>
                <w:sz w:val="20"/>
                <w:szCs w:val="20"/>
                <w:lang w:val="en-US" w:eastAsia="tr-TR"/>
              </w:rPr>
            </w:pPr>
            <w:r w:rsidRPr="00DE6068">
              <w:rPr>
                <w:color w:val="000000"/>
                <w:sz w:val="20"/>
                <w:szCs w:val="20"/>
                <w:lang w:val="en-US" w:eastAsia="tr-TR"/>
              </w:rPr>
              <w:t>1</w:t>
            </w:r>
          </w:p>
        </w:tc>
        <w:tc>
          <w:tcPr>
            <w:tcW w:w="1417" w:type="dxa"/>
            <w:shd w:val="clear" w:color="auto" w:fill="FFFFFF"/>
            <w:vAlign w:val="center"/>
          </w:tcPr>
          <w:p w:rsidR="00DE6068" w:rsidRPr="00DE6068" w:rsidRDefault="00DE6068" w:rsidP="00DE6068">
            <w:pPr>
              <w:autoSpaceDE w:val="0"/>
              <w:autoSpaceDN w:val="0"/>
              <w:adjustRightInd w:val="0"/>
              <w:spacing w:line="360" w:lineRule="auto"/>
              <w:jc w:val="center"/>
              <w:rPr>
                <w:color w:val="000000"/>
                <w:sz w:val="20"/>
                <w:szCs w:val="20"/>
                <w:lang w:val="en-US" w:eastAsia="tr-TR"/>
              </w:rPr>
            </w:pPr>
            <w:r w:rsidRPr="00DE6068">
              <w:rPr>
                <w:color w:val="000000"/>
                <w:sz w:val="20"/>
                <w:szCs w:val="20"/>
                <w:lang w:val="en-US" w:eastAsia="tr-TR"/>
              </w:rPr>
              <w:t>,425</w:t>
            </w:r>
            <w:r w:rsidRPr="00DE6068">
              <w:rPr>
                <w:color w:val="000000"/>
                <w:sz w:val="20"/>
                <w:szCs w:val="20"/>
                <w:vertAlign w:val="superscript"/>
                <w:lang w:val="en-US" w:eastAsia="tr-TR"/>
              </w:rPr>
              <w:t>**</w:t>
            </w:r>
          </w:p>
        </w:tc>
        <w:tc>
          <w:tcPr>
            <w:tcW w:w="1701" w:type="dxa"/>
            <w:shd w:val="clear" w:color="auto" w:fill="FFFFFF"/>
            <w:vAlign w:val="center"/>
          </w:tcPr>
          <w:p w:rsidR="00DE6068" w:rsidRPr="00DE6068" w:rsidRDefault="00DE6068" w:rsidP="00DE6068">
            <w:pPr>
              <w:autoSpaceDE w:val="0"/>
              <w:autoSpaceDN w:val="0"/>
              <w:adjustRightInd w:val="0"/>
              <w:spacing w:line="360" w:lineRule="auto"/>
              <w:jc w:val="center"/>
              <w:rPr>
                <w:color w:val="000000"/>
                <w:sz w:val="20"/>
                <w:szCs w:val="20"/>
                <w:lang w:val="en-US" w:eastAsia="tr-TR"/>
              </w:rPr>
            </w:pPr>
            <w:r w:rsidRPr="00DE6068">
              <w:rPr>
                <w:color w:val="000000"/>
                <w:sz w:val="20"/>
                <w:szCs w:val="20"/>
                <w:lang w:val="en-US" w:eastAsia="tr-TR"/>
              </w:rPr>
              <w:t>,457</w:t>
            </w:r>
            <w:r w:rsidRPr="00DE6068">
              <w:rPr>
                <w:color w:val="000000"/>
                <w:sz w:val="20"/>
                <w:szCs w:val="20"/>
                <w:vertAlign w:val="superscript"/>
                <w:lang w:val="en-US" w:eastAsia="tr-TR"/>
              </w:rPr>
              <w:t>**</w:t>
            </w:r>
          </w:p>
        </w:tc>
        <w:tc>
          <w:tcPr>
            <w:tcW w:w="1559" w:type="dxa"/>
            <w:shd w:val="clear" w:color="auto" w:fill="FFFFFF"/>
          </w:tcPr>
          <w:p w:rsidR="00DE6068" w:rsidRPr="00DE6068" w:rsidRDefault="00DE6068" w:rsidP="00DE6068">
            <w:pPr>
              <w:autoSpaceDE w:val="0"/>
              <w:autoSpaceDN w:val="0"/>
              <w:adjustRightInd w:val="0"/>
              <w:spacing w:line="360" w:lineRule="auto"/>
              <w:jc w:val="center"/>
              <w:rPr>
                <w:color w:val="000000"/>
                <w:sz w:val="20"/>
                <w:szCs w:val="20"/>
                <w:lang w:val="en-US" w:eastAsia="tr-TR"/>
              </w:rPr>
            </w:pPr>
            <w:r w:rsidRPr="00DE6068">
              <w:rPr>
                <w:color w:val="000000"/>
                <w:sz w:val="20"/>
                <w:szCs w:val="20"/>
                <w:lang w:val="en-US" w:eastAsia="tr-TR"/>
              </w:rPr>
              <w:t>,457**</w:t>
            </w:r>
          </w:p>
        </w:tc>
      </w:tr>
      <w:tr w:rsidR="00324186" w:rsidRPr="00DE6068" w:rsidTr="00324186">
        <w:trPr>
          <w:cantSplit/>
        </w:trPr>
        <w:tc>
          <w:tcPr>
            <w:tcW w:w="1134" w:type="dxa"/>
            <w:vMerge/>
            <w:shd w:val="clear" w:color="auto" w:fill="FFFFFF"/>
            <w:vAlign w:val="center"/>
          </w:tcPr>
          <w:p w:rsidR="00DE6068" w:rsidRPr="00DE6068" w:rsidRDefault="00DE6068" w:rsidP="00DE6068">
            <w:pPr>
              <w:autoSpaceDE w:val="0"/>
              <w:autoSpaceDN w:val="0"/>
              <w:adjustRightInd w:val="0"/>
              <w:spacing w:line="360" w:lineRule="auto"/>
              <w:jc w:val="center"/>
              <w:rPr>
                <w:b/>
                <w:bCs/>
                <w:color w:val="000000"/>
                <w:sz w:val="20"/>
                <w:szCs w:val="20"/>
                <w:lang w:val="en-US" w:eastAsia="tr-TR"/>
              </w:rPr>
            </w:pPr>
          </w:p>
        </w:tc>
        <w:tc>
          <w:tcPr>
            <w:tcW w:w="2127" w:type="dxa"/>
            <w:shd w:val="clear" w:color="auto" w:fill="FFFFFF"/>
            <w:vAlign w:val="center"/>
          </w:tcPr>
          <w:p w:rsidR="00DE6068" w:rsidRPr="00DE6068" w:rsidRDefault="00DE6068" w:rsidP="00DE6068">
            <w:pPr>
              <w:autoSpaceDE w:val="0"/>
              <w:autoSpaceDN w:val="0"/>
              <w:adjustRightInd w:val="0"/>
              <w:spacing w:line="360" w:lineRule="auto"/>
              <w:jc w:val="center"/>
              <w:rPr>
                <w:color w:val="000000"/>
                <w:sz w:val="20"/>
                <w:szCs w:val="20"/>
                <w:lang w:val="en-US" w:eastAsia="tr-TR"/>
              </w:rPr>
            </w:pPr>
            <w:r w:rsidRPr="00DE6068">
              <w:rPr>
                <w:color w:val="000000"/>
                <w:sz w:val="20"/>
                <w:szCs w:val="20"/>
                <w:lang w:val="en-US" w:eastAsia="tr-TR"/>
              </w:rPr>
              <w:t>Sig. (2-tailed)</w:t>
            </w:r>
          </w:p>
        </w:tc>
        <w:tc>
          <w:tcPr>
            <w:tcW w:w="1134" w:type="dxa"/>
            <w:shd w:val="clear" w:color="auto" w:fill="FFFFFF"/>
          </w:tcPr>
          <w:p w:rsidR="00DE6068" w:rsidRPr="00DE6068" w:rsidRDefault="00DE6068" w:rsidP="00DE6068">
            <w:pPr>
              <w:autoSpaceDE w:val="0"/>
              <w:autoSpaceDN w:val="0"/>
              <w:adjustRightInd w:val="0"/>
              <w:spacing w:line="360" w:lineRule="auto"/>
              <w:jc w:val="center"/>
              <w:rPr>
                <w:color w:val="000000"/>
                <w:sz w:val="20"/>
                <w:szCs w:val="20"/>
                <w:lang w:val="en-US" w:eastAsia="tr-TR"/>
              </w:rPr>
            </w:pPr>
          </w:p>
        </w:tc>
        <w:tc>
          <w:tcPr>
            <w:tcW w:w="1417" w:type="dxa"/>
            <w:shd w:val="clear" w:color="auto" w:fill="FFFFFF"/>
            <w:vAlign w:val="center"/>
          </w:tcPr>
          <w:p w:rsidR="00DE6068" w:rsidRPr="00DE6068" w:rsidRDefault="00DE6068" w:rsidP="00DE6068">
            <w:pPr>
              <w:autoSpaceDE w:val="0"/>
              <w:autoSpaceDN w:val="0"/>
              <w:adjustRightInd w:val="0"/>
              <w:spacing w:line="360" w:lineRule="auto"/>
              <w:jc w:val="center"/>
              <w:rPr>
                <w:color w:val="000000"/>
                <w:sz w:val="20"/>
                <w:szCs w:val="20"/>
                <w:lang w:val="en-US" w:eastAsia="tr-TR"/>
              </w:rPr>
            </w:pPr>
            <w:r w:rsidRPr="00DE6068">
              <w:rPr>
                <w:color w:val="000000"/>
                <w:sz w:val="20"/>
                <w:szCs w:val="20"/>
                <w:lang w:val="en-US" w:eastAsia="tr-TR"/>
              </w:rPr>
              <w:t>,000</w:t>
            </w:r>
          </w:p>
        </w:tc>
        <w:tc>
          <w:tcPr>
            <w:tcW w:w="1701" w:type="dxa"/>
            <w:shd w:val="clear" w:color="auto" w:fill="FFFFFF"/>
            <w:vAlign w:val="center"/>
          </w:tcPr>
          <w:p w:rsidR="00DE6068" w:rsidRPr="00DE6068" w:rsidRDefault="00DE6068" w:rsidP="00DE6068">
            <w:pPr>
              <w:autoSpaceDE w:val="0"/>
              <w:autoSpaceDN w:val="0"/>
              <w:adjustRightInd w:val="0"/>
              <w:spacing w:line="360" w:lineRule="auto"/>
              <w:jc w:val="center"/>
              <w:rPr>
                <w:color w:val="000000"/>
                <w:sz w:val="20"/>
                <w:szCs w:val="20"/>
                <w:lang w:val="en-US" w:eastAsia="tr-TR"/>
              </w:rPr>
            </w:pPr>
            <w:r w:rsidRPr="00DE6068">
              <w:rPr>
                <w:color w:val="000000"/>
                <w:sz w:val="20"/>
                <w:szCs w:val="20"/>
                <w:lang w:val="en-US" w:eastAsia="tr-TR"/>
              </w:rPr>
              <w:t>,000</w:t>
            </w:r>
          </w:p>
        </w:tc>
        <w:tc>
          <w:tcPr>
            <w:tcW w:w="1559" w:type="dxa"/>
            <w:shd w:val="clear" w:color="auto" w:fill="FFFFFF"/>
          </w:tcPr>
          <w:p w:rsidR="00DE6068" w:rsidRPr="00DE6068" w:rsidRDefault="00DE6068" w:rsidP="00DE6068">
            <w:pPr>
              <w:jc w:val="center"/>
              <w:rPr>
                <w:sz w:val="20"/>
                <w:szCs w:val="20"/>
              </w:rPr>
            </w:pPr>
            <w:r w:rsidRPr="00DE6068">
              <w:rPr>
                <w:sz w:val="20"/>
                <w:szCs w:val="20"/>
              </w:rPr>
              <w:t>,000</w:t>
            </w:r>
          </w:p>
        </w:tc>
      </w:tr>
      <w:tr w:rsidR="00324186" w:rsidRPr="00DE6068" w:rsidTr="00324186">
        <w:trPr>
          <w:cantSplit/>
        </w:trPr>
        <w:tc>
          <w:tcPr>
            <w:tcW w:w="1134" w:type="dxa"/>
            <w:vMerge/>
            <w:shd w:val="clear" w:color="auto" w:fill="FFFFFF"/>
            <w:vAlign w:val="center"/>
          </w:tcPr>
          <w:p w:rsidR="00DE6068" w:rsidRPr="00DE6068" w:rsidRDefault="00DE6068" w:rsidP="00DE6068">
            <w:pPr>
              <w:autoSpaceDE w:val="0"/>
              <w:autoSpaceDN w:val="0"/>
              <w:adjustRightInd w:val="0"/>
              <w:spacing w:line="360" w:lineRule="auto"/>
              <w:jc w:val="center"/>
              <w:rPr>
                <w:b/>
                <w:bCs/>
                <w:color w:val="000000"/>
                <w:sz w:val="20"/>
                <w:szCs w:val="20"/>
                <w:lang w:val="en-US" w:eastAsia="tr-TR"/>
              </w:rPr>
            </w:pPr>
          </w:p>
        </w:tc>
        <w:tc>
          <w:tcPr>
            <w:tcW w:w="2127" w:type="dxa"/>
            <w:shd w:val="clear" w:color="auto" w:fill="FFFFFF"/>
            <w:vAlign w:val="center"/>
          </w:tcPr>
          <w:p w:rsidR="00DE6068" w:rsidRPr="00DE6068" w:rsidRDefault="00DE6068" w:rsidP="00DE6068">
            <w:pPr>
              <w:autoSpaceDE w:val="0"/>
              <w:autoSpaceDN w:val="0"/>
              <w:adjustRightInd w:val="0"/>
              <w:spacing w:line="360" w:lineRule="auto"/>
              <w:jc w:val="center"/>
              <w:rPr>
                <w:color w:val="000000"/>
                <w:sz w:val="20"/>
                <w:szCs w:val="20"/>
                <w:lang w:val="en-US" w:eastAsia="tr-TR"/>
              </w:rPr>
            </w:pPr>
            <w:r w:rsidRPr="00DE6068">
              <w:rPr>
                <w:color w:val="000000"/>
                <w:sz w:val="20"/>
                <w:szCs w:val="20"/>
                <w:lang w:val="en-US" w:eastAsia="tr-TR"/>
              </w:rPr>
              <w:t>N</w:t>
            </w:r>
          </w:p>
        </w:tc>
        <w:tc>
          <w:tcPr>
            <w:tcW w:w="1134" w:type="dxa"/>
            <w:shd w:val="clear" w:color="auto" w:fill="FFFFFF"/>
            <w:vAlign w:val="center"/>
          </w:tcPr>
          <w:p w:rsidR="00DE6068" w:rsidRPr="00DE6068" w:rsidRDefault="00DE6068" w:rsidP="00DE6068">
            <w:pPr>
              <w:autoSpaceDE w:val="0"/>
              <w:autoSpaceDN w:val="0"/>
              <w:adjustRightInd w:val="0"/>
              <w:spacing w:line="360" w:lineRule="auto"/>
              <w:jc w:val="center"/>
              <w:rPr>
                <w:color w:val="000000"/>
                <w:sz w:val="20"/>
                <w:szCs w:val="20"/>
                <w:lang w:val="en-US" w:eastAsia="tr-TR"/>
              </w:rPr>
            </w:pPr>
            <w:r w:rsidRPr="00DE6068">
              <w:rPr>
                <w:color w:val="000000"/>
                <w:sz w:val="20"/>
                <w:szCs w:val="20"/>
                <w:lang w:val="en-US" w:eastAsia="tr-TR"/>
              </w:rPr>
              <w:t>810</w:t>
            </w:r>
          </w:p>
        </w:tc>
        <w:tc>
          <w:tcPr>
            <w:tcW w:w="1417" w:type="dxa"/>
            <w:shd w:val="clear" w:color="auto" w:fill="FFFFFF"/>
            <w:vAlign w:val="center"/>
          </w:tcPr>
          <w:p w:rsidR="00DE6068" w:rsidRPr="00DE6068" w:rsidRDefault="00DE6068" w:rsidP="00DE6068">
            <w:pPr>
              <w:autoSpaceDE w:val="0"/>
              <w:autoSpaceDN w:val="0"/>
              <w:adjustRightInd w:val="0"/>
              <w:spacing w:line="360" w:lineRule="auto"/>
              <w:jc w:val="center"/>
              <w:rPr>
                <w:color w:val="000000"/>
                <w:sz w:val="20"/>
                <w:szCs w:val="20"/>
                <w:lang w:val="en-US" w:eastAsia="tr-TR"/>
              </w:rPr>
            </w:pPr>
            <w:r w:rsidRPr="00DE6068">
              <w:rPr>
                <w:color w:val="000000"/>
                <w:sz w:val="20"/>
                <w:szCs w:val="20"/>
                <w:lang w:val="en-US" w:eastAsia="tr-TR"/>
              </w:rPr>
              <w:t>810</w:t>
            </w:r>
          </w:p>
        </w:tc>
        <w:tc>
          <w:tcPr>
            <w:tcW w:w="1701" w:type="dxa"/>
            <w:shd w:val="clear" w:color="auto" w:fill="FFFFFF"/>
            <w:vAlign w:val="center"/>
          </w:tcPr>
          <w:p w:rsidR="00DE6068" w:rsidRPr="00DE6068" w:rsidRDefault="00DE6068" w:rsidP="00DE6068">
            <w:pPr>
              <w:autoSpaceDE w:val="0"/>
              <w:autoSpaceDN w:val="0"/>
              <w:adjustRightInd w:val="0"/>
              <w:spacing w:line="360" w:lineRule="auto"/>
              <w:jc w:val="center"/>
              <w:rPr>
                <w:color w:val="000000"/>
                <w:sz w:val="20"/>
                <w:szCs w:val="20"/>
                <w:lang w:val="en-US" w:eastAsia="tr-TR"/>
              </w:rPr>
            </w:pPr>
            <w:r w:rsidRPr="00DE6068">
              <w:rPr>
                <w:color w:val="000000"/>
                <w:sz w:val="20"/>
                <w:szCs w:val="20"/>
                <w:lang w:val="en-US" w:eastAsia="tr-TR"/>
              </w:rPr>
              <w:t>810</w:t>
            </w:r>
          </w:p>
        </w:tc>
        <w:tc>
          <w:tcPr>
            <w:tcW w:w="1559" w:type="dxa"/>
            <w:shd w:val="clear" w:color="auto" w:fill="FFFFFF"/>
          </w:tcPr>
          <w:p w:rsidR="00DE6068" w:rsidRPr="00DE6068" w:rsidRDefault="00DE6068" w:rsidP="00DE6068">
            <w:pPr>
              <w:jc w:val="center"/>
              <w:rPr>
                <w:sz w:val="20"/>
                <w:szCs w:val="20"/>
              </w:rPr>
            </w:pPr>
            <w:r w:rsidRPr="00DE6068">
              <w:rPr>
                <w:sz w:val="20"/>
                <w:szCs w:val="20"/>
              </w:rPr>
              <w:t>810</w:t>
            </w:r>
          </w:p>
        </w:tc>
      </w:tr>
      <w:tr w:rsidR="00324186" w:rsidRPr="00DE6068" w:rsidTr="00324186">
        <w:trPr>
          <w:cantSplit/>
        </w:trPr>
        <w:tc>
          <w:tcPr>
            <w:tcW w:w="1134" w:type="dxa"/>
            <w:vMerge w:val="restart"/>
            <w:shd w:val="clear" w:color="auto" w:fill="FFFFFF"/>
            <w:vAlign w:val="center"/>
          </w:tcPr>
          <w:p w:rsidR="00DE6068" w:rsidRPr="00DE6068" w:rsidRDefault="00DE6068" w:rsidP="00DE6068">
            <w:pPr>
              <w:autoSpaceDE w:val="0"/>
              <w:autoSpaceDN w:val="0"/>
              <w:adjustRightInd w:val="0"/>
              <w:spacing w:line="360" w:lineRule="auto"/>
              <w:jc w:val="center"/>
              <w:rPr>
                <w:b/>
                <w:bCs/>
                <w:color w:val="000000"/>
                <w:sz w:val="20"/>
                <w:szCs w:val="20"/>
                <w:lang w:val="en-US" w:eastAsia="tr-TR"/>
              </w:rPr>
            </w:pPr>
            <w:proofErr w:type="spellStart"/>
            <w:r w:rsidRPr="00054924">
              <w:rPr>
                <w:b/>
                <w:bCs/>
                <w:color w:val="000000"/>
                <w:sz w:val="20"/>
                <w:szCs w:val="20"/>
                <w:lang w:val="en-US" w:eastAsia="tr-TR"/>
              </w:rPr>
              <w:t>Teknoloji</w:t>
            </w:r>
            <w:proofErr w:type="spellEnd"/>
            <w:r w:rsidRPr="00054924">
              <w:rPr>
                <w:b/>
                <w:bCs/>
                <w:color w:val="000000"/>
                <w:sz w:val="20"/>
                <w:szCs w:val="20"/>
                <w:lang w:val="en-US" w:eastAsia="tr-TR"/>
              </w:rPr>
              <w:t xml:space="preserve"> </w:t>
            </w:r>
            <w:proofErr w:type="spellStart"/>
            <w:r w:rsidRPr="00054924">
              <w:rPr>
                <w:b/>
                <w:bCs/>
                <w:color w:val="000000"/>
                <w:sz w:val="20"/>
                <w:szCs w:val="20"/>
                <w:lang w:val="en-US" w:eastAsia="tr-TR"/>
              </w:rPr>
              <w:t>Boyutu</w:t>
            </w:r>
            <w:proofErr w:type="spellEnd"/>
          </w:p>
        </w:tc>
        <w:tc>
          <w:tcPr>
            <w:tcW w:w="2127" w:type="dxa"/>
            <w:shd w:val="clear" w:color="auto" w:fill="FFFFFF"/>
            <w:vAlign w:val="center"/>
          </w:tcPr>
          <w:p w:rsidR="00DE6068" w:rsidRPr="00DE6068" w:rsidRDefault="00DE6068" w:rsidP="00DE6068">
            <w:pPr>
              <w:autoSpaceDE w:val="0"/>
              <w:autoSpaceDN w:val="0"/>
              <w:adjustRightInd w:val="0"/>
              <w:spacing w:line="360" w:lineRule="auto"/>
              <w:jc w:val="center"/>
              <w:rPr>
                <w:color w:val="000000"/>
                <w:sz w:val="20"/>
                <w:szCs w:val="20"/>
                <w:lang w:val="en-US" w:eastAsia="tr-TR"/>
              </w:rPr>
            </w:pPr>
            <w:r w:rsidRPr="00DE6068">
              <w:rPr>
                <w:color w:val="000000"/>
                <w:sz w:val="20"/>
                <w:szCs w:val="20"/>
                <w:lang w:val="en-US" w:eastAsia="tr-TR"/>
              </w:rPr>
              <w:t>Pearson Correlation</w:t>
            </w:r>
          </w:p>
        </w:tc>
        <w:tc>
          <w:tcPr>
            <w:tcW w:w="1134" w:type="dxa"/>
            <w:shd w:val="clear" w:color="auto" w:fill="FFFFFF"/>
            <w:vAlign w:val="center"/>
          </w:tcPr>
          <w:p w:rsidR="00DE6068" w:rsidRPr="00DE6068" w:rsidRDefault="00DE6068" w:rsidP="00DE6068">
            <w:pPr>
              <w:autoSpaceDE w:val="0"/>
              <w:autoSpaceDN w:val="0"/>
              <w:adjustRightInd w:val="0"/>
              <w:spacing w:line="360" w:lineRule="auto"/>
              <w:jc w:val="center"/>
              <w:rPr>
                <w:color w:val="000000"/>
                <w:sz w:val="20"/>
                <w:szCs w:val="20"/>
                <w:lang w:val="en-US" w:eastAsia="tr-TR"/>
              </w:rPr>
            </w:pPr>
            <w:r w:rsidRPr="00DE6068">
              <w:rPr>
                <w:color w:val="000000"/>
                <w:sz w:val="20"/>
                <w:szCs w:val="20"/>
                <w:lang w:val="en-US" w:eastAsia="tr-TR"/>
              </w:rPr>
              <w:t>,425</w:t>
            </w:r>
            <w:r w:rsidRPr="00DE6068">
              <w:rPr>
                <w:color w:val="000000"/>
                <w:sz w:val="20"/>
                <w:szCs w:val="20"/>
                <w:vertAlign w:val="superscript"/>
                <w:lang w:val="en-US" w:eastAsia="tr-TR"/>
              </w:rPr>
              <w:t>**</w:t>
            </w:r>
          </w:p>
        </w:tc>
        <w:tc>
          <w:tcPr>
            <w:tcW w:w="1417" w:type="dxa"/>
            <w:shd w:val="clear" w:color="auto" w:fill="FFFFFF"/>
            <w:vAlign w:val="center"/>
          </w:tcPr>
          <w:p w:rsidR="00DE6068" w:rsidRPr="00DE6068" w:rsidRDefault="00DE6068" w:rsidP="00DE6068">
            <w:pPr>
              <w:autoSpaceDE w:val="0"/>
              <w:autoSpaceDN w:val="0"/>
              <w:adjustRightInd w:val="0"/>
              <w:spacing w:line="360" w:lineRule="auto"/>
              <w:jc w:val="center"/>
              <w:rPr>
                <w:color w:val="000000"/>
                <w:sz w:val="20"/>
                <w:szCs w:val="20"/>
                <w:lang w:val="en-US" w:eastAsia="tr-TR"/>
              </w:rPr>
            </w:pPr>
            <w:r w:rsidRPr="00DE6068">
              <w:rPr>
                <w:color w:val="000000"/>
                <w:sz w:val="20"/>
                <w:szCs w:val="20"/>
                <w:lang w:val="en-US" w:eastAsia="tr-TR"/>
              </w:rPr>
              <w:t>1</w:t>
            </w:r>
          </w:p>
        </w:tc>
        <w:tc>
          <w:tcPr>
            <w:tcW w:w="1701" w:type="dxa"/>
            <w:shd w:val="clear" w:color="auto" w:fill="FFFFFF"/>
            <w:vAlign w:val="center"/>
          </w:tcPr>
          <w:p w:rsidR="00DE6068" w:rsidRPr="00DE6068" w:rsidRDefault="00DE6068" w:rsidP="00DE6068">
            <w:pPr>
              <w:autoSpaceDE w:val="0"/>
              <w:autoSpaceDN w:val="0"/>
              <w:adjustRightInd w:val="0"/>
              <w:spacing w:line="360" w:lineRule="auto"/>
              <w:jc w:val="center"/>
              <w:rPr>
                <w:color w:val="000000"/>
                <w:sz w:val="20"/>
                <w:szCs w:val="20"/>
                <w:lang w:val="en-US" w:eastAsia="tr-TR"/>
              </w:rPr>
            </w:pPr>
            <w:r w:rsidRPr="00DE6068">
              <w:rPr>
                <w:color w:val="000000"/>
                <w:sz w:val="20"/>
                <w:szCs w:val="20"/>
                <w:lang w:val="en-US" w:eastAsia="tr-TR"/>
              </w:rPr>
              <w:t>,384</w:t>
            </w:r>
            <w:r w:rsidRPr="00DE6068">
              <w:rPr>
                <w:color w:val="000000"/>
                <w:sz w:val="20"/>
                <w:szCs w:val="20"/>
                <w:vertAlign w:val="superscript"/>
                <w:lang w:val="en-US" w:eastAsia="tr-TR"/>
              </w:rPr>
              <w:t>**</w:t>
            </w:r>
          </w:p>
        </w:tc>
        <w:tc>
          <w:tcPr>
            <w:tcW w:w="1559" w:type="dxa"/>
            <w:shd w:val="clear" w:color="auto" w:fill="FFFFFF"/>
          </w:tcPr>
          <w:p w:rsidR="00DE6068" w:rsidRPr="00DE6068" w:rsidRDefault="00DE6068" w:rsidP="00DE6068">
            <w:pPr>
              <w:jc w:val="center"/>
              <w:rPr>
                <w:sz w:val="20"/>
                <w:szCs w:val="20"/>
              </w:rPr>
            </w:pPr>
            <w:r w:rsidRPr="00DE6068">
              <w:rPr>
                <w:sz w:val="20"/>
                <w:szCs w:val="20"/>
              </w:rPr>
              <w:t>,384**</w:t>
            </w:r>
          </w:p>
        </w:tc>
      </w:tr>
      <w:tr w:rsidR="00324186" w:rsidRPr="00DE6068" w:rsidTr="00324186">
        <w:trPr>
          <w:cantSplit/>
        </w:trPr>
        <w:tc>
          <w:tcPr>
            <w:tcW w:w="1134" w:type="dxa"/>
            <w:vMerge/>
            <w:shd w:val="clear" w:color="auto" w:fill="FFFFFF"/>
            <w:vAlign w:val="center"/>
          </w:tcPr>
          <w:p w:rsidR="00DE6068" w:rsidRPr="00DE6068" w:rsidRDefault="00DE6068" w:rsidP="00DE6068">
            <w:pPr>
              <w:autoSpaceDE w:val="0"/>
              <w:autoSpaceDN w:val="0"/>
              <w:adjustRightInd w:val="0"/>
              <w:spacing w:line="360" w:lineRule="auto"/>
              <w:jc w:val="center"/>
              <w:rPr>
                <w:b/>
                <w:bCs/>
                <w:color w:val="000000"/>
                <w:sz w:val="20"/>
                <w:szCs w:val="20"/>
                <w:lang w:val="en-US" w:eastAsia="tr-TR"/>
              </w:rPr>
            </w:pPr>
          </w:p>
        </w:tc>
        <w:tc>
          <w:tcPr>
            <w:tcW w:w="2127" w:type="dxa"/>
            <w:shd w:val="clear" w:color="auto" w:fill="FFFFFF"/>
            <w:vAlign w:val="center"/>
          </w:tcPr>
          <w:p w:rsidR="00DE6068" w:rsidRPr="00DE6068" w:rsidRDefault="00DE6068" w:rsidP="00DE6068">
            <w:pPr>
              <w:autoSpaceDE w:val="0"/>
              <w:autoSpaceDN w:val="0"/>
              <w:adjustRightInd w:val="0"/>
              <w:spacing w:line="360" w:lineRule="auto"/>
              <w:jc w:val="center"/>
              <w:rPr>
                <w:color w:val="000000"/>
                <w:sz w:val="20"/>
                <w:szCs w:val="20"/>
                <w:lang w:val="en-US" w:eastAsia="tr-TR"/>
              </w:rPr>
            </w:pPr>
            <w:r w:rsidRPr="00DE6068">
              <w:rPr>
                <w:color w:val="000000"/>
                <w:sz w:val="20"/>
                <w:szCs w:val="20"/>
                <w:lang w:val="en-US" w:eastAsia="tr-TR"/>
              </w:rPr>
              <w:t>Sig. (2-tailed)</w:t>
            </w:r>
          </w:p>
        </w:tc>
        <w:tc>
          <w:tcPr>
            <w:tcW w:w="1134" w:type="dxa"/>
            <w:shd w:val="clear" w:color="auto" w:fill="FFFFFF"/>
            <w:vAlign w:val="center"/>
          </w:tcPr>
          <w:p w:rsidR="00DE6068" w:rsidRPr="00DE6068" w:rsidRDefault="00DE6068" w:rsidP="00DE6068">
            <w:pPr>
              <w:autoSpaceDE w:val="0"/>
              <w:autoSpaceDN w:val="0"/>
              <w:adjustRightInd w:val="0"/>
              <w:spacing w:line="360" w:lineRule="auto"/>
              <w:jc w:val="center"/>
              <w:rPr>
                <w:color w:val="000000"/>
                <w:sz w:val="20"/>
                <w:szCs w:val="20"/>
                <w:lang w:val="en-US" w:eastAsia="tr-TR"/>
              </w:rPr>
            </w:pPr>
            <w:r w:rsidRPr="00DE6068">
              <w:rPr>
                <w:color w:val="000000"/>
                <w:sz w:val="20"/>
                <w:szCs w:val="20"/>
                <w:lang w:val="en-US" w:eastAsia="tr-TR"/>
              </w:rPr>
              <w:t>,000</w:t>
            </w:r>
          </w:p>
        </w:tc>
        <w:tc>
          <w:tcPr>
            <w:tcW w:w="1417" w:type="dxa"/>
            <w:shd w:val="clear" w:color="auto" w:fill="FFFFFF"/>
          </w:tcPr>
          <w:p w:rsidR="00DE6068" w:rsidRPr="00DE6068" w:rsidRDefault="00DE6068" w:rsidP="00DE6068">
            <w:pPr>
              <w:autoSpaceDE w:val="0"/>
              <w:autoSpaceDN w:val="0"/>
              <w:adjustRightInd w:val="0"/>
              <w:spacing w:line="360" w:lineRule="auto"/>
              <w:jc w:val="center"/>
              <w:rPr>
                <w:color w:val="000000"/>
                <w:sz w:val="20"/>
                <w:szCs w:val="20"/>
                <w:lang w:val="en-US" w:eastAsia="tr-TR"/>
              </w:rPr>
            </w:pPr>
          </w:p>
        </w:tc>
        <w:tc>
          <w:tcPr>
            <w:tcW w:w="1701" w:type="dxa"/>
            <w:shd w:val="clear" w:color="auto" w:fill="FFFFFF"/>
            <w:vAlign w:val="center"/>
          </w:tcPr>
          <w:p w:rsidR="00DE6068" w:rsidRPr="00DE6068" w:rsidRDefault="00DE6068" w:rsidP="00DE6068">
            <w:pPr>
              <w:autoSpaceDE w:val="0"/>
              <w:autoSpaceDN w:val="0"/>
              <w:adjustRightInd w:val="0"/>
              <w:spacing w:line="360" w:lineRule="auto"/>
              <w:jc w:val="center"/>
              <w:rPr>
                <w:color w:val="000000"/>
                <w:sz w:val="20"/>
                <w:szCs w:val="20"/>
                <w:lang w:val="en-US" w:eastAsia="tr-TR"/>
              </w:rPr>
            </w:pPr>
            <w:r w:rsidRPr="00DE6068">
              <w:rPr>
                <w:color w:val="000000"/>
                <w:sz w:val="20"/>
                <w:szCs w:val="20"/>
                <w:lang w:val="en-US" w:eastAsia="tr-TR"/>
              </w:rPr>
              <w:t>,000</w:t>
            </w:r>
          </w:p>
        </w:tc>
        <w:tc>
          <w:tcPr>
            <w:tcW w:w="1559" w:type="dxa"/>
            <w:shd w:val="clear" w:color="auto" w:fill="FFFFFF"/>
          </w:tcPr>
          <w:p w:rsidR="00DE6068" w:rsidRPr="00DE6068" w:rsidRDefault="00DE6068" w:rsidP="00DE6068">
            <w:pPr>
              <w:jc w:val="center"/>
              <w:rPr>
                <w:sz w:val="20"/>
                <w:szCs w:val="20"/>
              </w:rPr>
            </w:pPr>
            <w:r w:rsidRPr="00DE6068">
              <w:rPr>
                <w:sz w:val="20"/>
                <w:szCs w:val="20"/>
              </w:rPr>
              <w:t>,000</w:t>
            </w:r>
          </w:p>
        </w:tc>
      </w:tr>
      <w:tr w:rsidR="00324186" w:rsidRPr="00DE6068" w:rsidTr="00324186">
        <w:trPr>
          <w:cantSplit/>
        </w:trPr>
        <w:tc>
          <w:tcPr>
            <w:tcW w:w="1134" w:type="dxa"/>
            <w:vMerge/>
            <w:shd w:val="clear" w:color="auto" w:fill="FFFFFF"/>
            <w:vAlign w:val="center"/>
          </w:tcPr>
          <w:p w:rsidR="00DE6068" w:rsidRPr="00DE6068" w:rsidRDefault="00DE6068" w:rsidP="00DE6068">
            <w:pPr>
              <w:autoSpaceDE w:val="0"/>
              <w:autoSpaceDN w:val="0"/>
              <w:adjustRightInd w:val="0"/>
              <w:spacing w:line="360" w:lineRule="auto"/>
              <w:jc w:val="center"/>
              <w:rPr>
                <w:b/>
                <w:bCs/>
                <w:color w:val="000000"/>
                <w:sz w:val="20"/>
                <w:szCs w:val="20"/>
                <w:lang w:val="en-US" w:eastAsia="tr-TR"/>
              </w:rPr>
            </w:pPr>
          </w:p>
        </w:tc>
        <w:tc>
          <w:tcPr>
            <w:tcW w:w="2127" w:type="dxa"/>
            <w:shd w:val="clear" w:color="auto" w:fill="FFFFFF"/>
            <w:vAlign w:val="center"/>
          </w:tcPr>
          <w:p w:rsidR="00DE6068" w:rsidRPr="00DE6068" w:rsidRDefault="00DE6068" w:rsidP="00DE6068">
            <w:pPr>
              <w:autoSpaceDE w:val="0"/>
              <w:autoSpaceDN w:val="0"/>
              <w:adjustRightInd w:val="0"/>
              <w:spacing w:line="360" w:lineRule="auto"/>
              <w:jc w:val="center"/>
              <w:rPr>
                <w:color w:val="000000"/>
                <w:sz w:val="20"/>
                <w:szCs w:val="20"/>
                <w:lang w:val="en-US" w:eastAsia="tr-TR"/>
              </w:rPr>
            </w:pPr>
            <w:r w:rsidRPr="00DE6068">
              <w:rPr>
                <w:color w:val="000000"/>
                <w:sz w:val="20"/>
                <w:szCs w:val="20"/>
                <w:lang w:val="en-US" w:eastAsia="tr-TR"/>
              </w:rPr>
              <w:t>N</w:t>
            </w:r>
          </w:p>
        </w:tc>
        <w:tc>
          <w:tcPr>
            <w:tcW w:w="1134" w:type="dxa"/>
            <w:shd w:val="clear" w:color="auto" w:fill="FFFFFF"/>
            <w:vAlign w:val="center"/>
          </w:tcPr>
          <w:p w:rsidR="00DE6068" w:rsidRPr="00DE6068" w:rsidRDefault="00DE6068" w:rsidP="00DE6068">
            <w:pPr>
              <w:autoSpaceDE w:val="0"/>
              <w:autoSpaceDN w:val="0"/>
              <w:adjustRightInd w:val="0"/>
              <w:spacing w:line="360" w:lineRule="auto"/>
              <w:jc w:val="center"/>
              <w:rPr>
                <w:color w:val="000000"/>
                <w:sz w:val="20"/>
                <w:szCs w:val="20"/>
                <w:lang w:val="en-US" w:eastAsia="tr-TR"/>
              </w:rPr>
            </w:pPr>
            <w:r w:rsidRPr="00DE6068">
              <w:rPr>
                <w:color w:val="000000"/>
                <w:sz w:val="20"/>
                <w:szCs w:val="20"/>
                <w:lang w:val="en-US" w:eastAsia="tr-TR"/>
              </w:rPr>
              <w:t>810</w:t>
            </w:r>
          </w:p>
        </w:tc>
        <w:tc>
          <w:tcPr>
            <w:tcW w:w="1417" w:type="dxa"/>
            <w:shd w:val="clear" w:color="auto" w:fill="FFFFFF"/>
            <w:vAlign w:val="center"/>
          </w:tcPr>
          <w:p w:rsidR="00DE6068" w:rsidRPr="00DE6068" w:rsidRDefault="00DE6068" w:rsidP="00DE6068">
            <w:pPr>
              <w:autoSpaceDE w:val="0"/>
              <w:autoSpaceDN w:val="0"/>
              <w:adjustRightInd w:val="0"/>
              <w:spacing w:line="360" w:lineRule="auto"/>
              <w:jc w:val="center"/>
              <w:rPr>
                <w:color w:val="000000"/>
                <w:sz w:val="20"/>
                <w:szCs w:val="20"/>
                <w:lang w:val="en-US" w:eastAsia="tr-TR"/>
              </w:rPr>
            </w:pPr>
            <w:r w:rsidRPr="00DE6068">
              <w:rPr>
                <w:color w:val="000000"/>
                <w:sz w:val="20"/>
                <w:szCs w:val="20"/>
                <w:lang w:val="en-US" w:eastAsia="tr-TR"/>
              </w:rPr>
              <w:t>810</w:t>
            </w:r>
          </w:p>
        </w:tc>
        <w:tc>
          <w:tcPr>
            <w:tcW w:w="1701" w:type="dxa"/>
            <w:shd w:val="clear" w:color="auto" w:fill="FFFFFF"/>
            <w:vAlign w:val="center"/>
          </w:tcPr>
          <w:p w:rsidR="00DE6068" w:rsidRPr="00DE6068" w:rsidRDefault="00DE6068" w:rsidP="00DE6068">
            <w:pPr>
              <w:autoSpaceDE w:val="0"/>
              <w:autoSpaceDN w:val="0"/>
              <w:adjustRightInd w:val="0"/>
              <w:spacing w:line="360" w:lineRule="auto"/>
              <w:jc w:val="center"/>
              <w:rPr>
                <w:color w:val="000000"/>
                <w:sz w:val="20"/>
                <w:szCs w:val="20"/>
                <w:lang w:val="en-US" w:eastAsia="tr-TR"/>
              </w:rPr>
            </w:pPr>
            <w:r w:rsidRPr="00DE6068">
              <w:rPr>
                <w:color w:val="000000"/>
                <w:sz w:val="20"/>
                <w:szCs w:val="20"/>
                <w:lang w:val="en-US" w:eastAsia="tr-TR"/>
              </w:rPr>
              <w:t>810</w:t>
            </w:r>
          </w:p>
        </w:tc>
        <w:tc>
          <w:tcPr>
            <w:tcW w:w="1559" w:type="dxa"/>
            <w:shd w:val="clear" w:color="auto" w:fill="FFFFFF"/>
          </w:tcPr>
          <w:p w:rsidR="00DE6068" w:rsidRPr="00DE6068" w:rsidRDefault="00DE6068" w:rsidP="00DE6068">
            <w:pPr>
              <w:autoSpaceDE w:val="0"/>
              <w:autoSpaceDN w:val="0"/>
              <w:adjustRightInd w:val="0"/>
              <w:spacing w:line="360" w:lineRule="auto"/>
              <w:jc w:val="center"/>
              <w:rPr>
                <w:color w:val="000000"/>
                <w:sz w:val="20"/>
                <w:szCs w:val="20"/>
                <w:lang w:val="en-US" w:eastAsia="tr-TR"/>
              </w:rPr>
            </w:pPr>
            <w:r w:rsidRPr="00DE6068">
              <w:rPr>
                <w:color w:val="000000"/>
                <w:sz w:val="20"/>
                <w:szCs w:val="20"/>
                <w:lang w:val="en-US" w:eastAsia="tr-TR"/>
              </w:rPr>
              <w:t>810</w:t>
            </w:r>
          </w:p>
        </w:tc>
      </w:tr>
      <w:tr w:rsidR="00324186" w:rsidRPr="00DE6068" w:rsidTr="00324186">
        <w:trPr>
          <w:cantSplit/>
          <w:trHeight w:val="225"/>
        </w:trPr>
        <w:tc>
          <w:tcPr>
            <w:tcW w:w="1134" w:type="dxa"/>
            <w:vMerge w:val="restart"/>
            <w:shd w:val="clear" w:color="auto" w:fill="FFFFFF"/>
            <w:vAlign w:val="center"/>
          </w:tcPr>
          <w:p w:rsidR="00DE6068" w:rsidRPr="00DE6068" w:rsidRDefault="00DE6068" w:rsidP="00DE6068">
            <w:pPr>
              <w:autoSpaceDE w:val="0"/>
              <w:autoSpaceDN w:val="0"/>
              <w:adjustRightInd w:val="0"/>
              <w:spacing w:line="360" w:lineRule="auto"/>
              <w:jc w:val="center"/>
              <w:rPr>
                <w:b/>
                <w:bCs/>
                <w:color w:val="000000"/>
                <w:sz w:val="20"/>
                <w:szCs w:val="20"/>
                <w:lang w:val="en-US" w:eastAsia="tr-TR"/>
              </w:rPr>
            </w:pPr>
            <w:proofErr w:type="spellStart"/>
            <w:r w:rsidRPr="00054924">
              <w:rPr>
                <w:b/>
                <w:bCs/>
                <w:color w:val="000000"/>
                <w:sz w:val="20"/>
                <w:szCs w:val="20"/>
                <w:lang w:val="en-US" w:eastAsia="tr-TR"/>
              </w:rPr>
              <w:t>Mühendislik</w:t>
            </w:r>
            <w:proofErr w:type="spellEnd"/>
            <w:r w:rsidRPr="00054924">
              <w:rPr>
                <w:b/>
                <w:bCs/>
                <w:color w:val="000000"/>
                <w:sz w:val="20"/>
                <w:szCs w:val="20"/>
                <w:lang w:val="en-US" w:eastAsia="tr-TR"/>
              </w:rPr>
              <w:t xml:space="preserve"> </w:t>
            </w:r>
            <w:proofErr w:type="spellStart"/>
            <w:r w:rsidRPr="00054924">
              <w:rPr>
                <w:b/>
                <w:bCs/>
                <w:color w:val="000000"/>
                <w:sz w:val="20"/>
                <w:szCs w:val="20"/>
                <w:lang w:val="en-US" w:eastAsia="tr-TR"/>
              </w:rPr>
              <w:t>Boyutu</w:t>
            </w:r>
            <w:proofErr w:type="spellEnd"/>
          </w:p>
        </w:tc>
        <w:tc>
          <w:tcPr>
            <w:tcW w:w="2127" w:type="dxa"/>
            <w:shd w:val="clear" w:color="auto" w:fill="FFFFFF"/>
            <w:vAlign w:val="center"/>
          </w:tcPr>
          <w:p w:rsidR="00DE6068" w:rsidRPr="00DE6068" w:rsidRDefault="00DE6068" w:rsidP="00DE6068">
            <w:pPr>
              <w:autoSpaceDE w:val="0"/>
              <w:autoSpaceDN w:val="0"/>
              <w:adjustRightInd w:val="0"/>
              <w:spacing w:line="360" w:lineRule="auto"/>
              <w:jc w:val="center"/>
              <w:rPr>
                <w:color w:val="000000"/>
                <w:sz w:val="20"/>
                <w:szCs w:val="20"/>
                <w:lang w:val="en-US" w:eastAsia="tr-TR"/>
              </w:rPr>
            </w:pPr>
            <w:r w:rsidRPr="00DE6068">
              <w:rPr>
                <w:color w:val="000000"/>
                <w:sz w:val="20"/>
                <w:szCs w:val="20"/>
                <w:lang w:val="en-US" w:eastAsia="tr-TR"/>
              </w:rPr>
              <w:t>Pearson Correlation</w:t>
            </w:r>
          </w:p>
        </w:tc>
        <w:tc>
          <w:tcPr>
            <w:tcW w:w="1134" w:type="dxa"/>
            <w:shd w:val="clear" w:color="auto" w:fill="FFFFFF"/>
            <w:vAlign w:val="center"/>
          </w:tcPr>
          <w:p w:rsidR="00DE6068" w:rsidRPr="00DE6068" w:rsidRDefault="00DE6068" w:rsidP="00DE6068">
            <w:pPr>
              <w:autoSpaceDE w:val="0"/>
              <w:autoSpaceDN w:val="0"/>
              <w:adjustRightInd w:val="0"/>
              <w:spacing w:line="360" w:lineRule="auto"/>
              <w:jc w:val="center"/>
              <w:rPr>
                <w:color w:val="000000"/>
                <w:sz w:val="20"/>
                <w:szCs w:val="20"/>
                <w:lang w:val="en-US" w:eastAsia="tr-TR"/>
              </w:rPr>
            </w:pPr>
            <w:r w:rsidRPr="00DE6068">
              <w:rPr>
                <w:color w:val="000000"/>
                <w:sz w:val="20"/>
                <w:szCs w:val="20"/>
                <w:lang w:val="en-US" w:eastAsia="tr-TR"/>
              </w:rPr>
              <w:t>,457</w:t>
            </w:r>
            <w:r w:rsidRPr="00DE6068">
              <w:rPr>
                <w:color w:val="000000"/>
                <w:sz w:val="20"/>
                <w:szCs w:val="20"/>
                <w:vertAlign w:val="superscript"/>
                <w:lang w:val="en-US" w:eastAsia="tr-TR"/>
              </w:rPr>
              <w:t>**</w:t>
            </w:r>
          </w:p>
        </w:tc>
        <w:tc>
          <w:tcPr>
            <w:tcW w:w="1417" w:type="dxa"/>
            <w:shd w:val="clear" w:color="auto" w:fill="FFFFFF"/>
            <w:vAlign w:val="center"/>
          </w:tcPr>
          <w:p w:rsidR="00DE6068" w:rsidRPr="00DE6068" w:rsidRDefault="00DE6068" w:rsidP="00DE6068">
            <w:pPr>
              <w:autoSpaceDE w:val="0"/>
              <w:autoSpaceDN w:val="0"/>
              <w:adjustRightInd w:val="0"/>
              <w:spacing w:line="360" w:lineRule="auto"/>
              <w:jc w:val="center"/>
              <w:rPr>
                <w:color w:val="000000"/>
                <w:sz w:val="20"/>
                <w:szCs w:val="20"/>
                <w:lang w:val="en-US" w:eastAsia="tr-TR"/>
              </w:rPr>
            </w:pPr>
            <w:r w:rsidRPr="00DE6068">
              <w:rPr>
                <w:color w:val="000000"/>
                <w:sz w:val="20"/>
                <w:szCs w:val="20"/>
                <w:lang w:val="en-US" w:eastAsia="tr-TR"/>
              </w:rPr>
              <w:t>,384</w:t>
            </w:r>
            <w:r w:rsidRPr="00DE6068">
              <w:rPr>
                <w:color w:val="000000"/>
                <w:sz w:val="20"/>
                <w:szCs w:val="20"/>
                <w:vertAlign w:val="superscript"/>
                <w:lang w:val="en-US" w:eastAsia="tr-TR"/>
              </w:rPr>
              <w:t>**</w:t>
            </w:r>
          </w:p>
        </w:tc>
        <w:tc>
          <w:tcPr>
            <w:tcW w:w="1701" w:type="dxa"/>
            <w:shd w:val="clear" w:color="auto" w:fill="FFFFFF"/>
            <w:vAlign w:val="center"/>
          </w:tcPr>
          <w:p w:rsidR="00DE6068" w:rsidRPr="00DE6068" w:rsidRDefault="00DE6068" w:rsidP="00DE6068">
            <w:pPr>
              <w:autoSpaceDE w:val="0"/>
              <w:autoSpaceDN w:val="0"/>
              <w:adjustRightInd w:val="0"/>
              <w:spacing w:line="360" w:lineRule="auto"/>
              <w:jc w:val="center"/>
              <w:rPr>
                <w:color w:val="000000"/>
                <w:sz w:val="20"/>
                <w:szCs w:val="20"/>
                <w:lang w:val="en-US" w:eastAsia="tr-TR"/>
              </w:rPr>
            </w:pPr>
            <w:r w:rsidRPr="00DE6068">
              <w:rPr>
                <w:color w:val="000000"/>
                <w:sz w:val="20"/>
                <w:szCs w:val="20"/>
                <w:lang w:val="en-US" w:eastAsia="tr-TR"/>
              </w:rPr>
              <w:t>1</w:t>
            </w:r>
          </w:p>
        </w:tc>
        <w:tc>
          <w:tcPr>
            <w:tcW w:w="1559" w:type="dxa"/>
            <w:shd w:val="clear" w:color="auto" w:fill="FFFFFF"/>
          </w:tcPr>
          <w:p w:rsidR="00DE6068" w:rsidRPr="00DE6068" w:rsidRDefault="00DE6068" w:rsidP="00DE6068">
            <w:pPr>
              <w:jc w:val="center"/>
              <w:rPr>
                <w:sz w:val="20"/>
                <w:szCs w:val="20"/>
              </w:rPr>
            </w:pPr>
            <w:r w:rsidRPr="00DE6068">
              <w:rPr>
                <w:sz w:val="20"/>
                <w:szCs w:val="20"/>
              </w:rPr>
              <w:t>,406**</w:t>
            </w:r>
          </w:p>
        </w:tc>
      </w:tr>
      <w:tr w:rsidR="00324186" w:rsidRPr="00DE6068" w:rsidTr="00324186">
        <w:trPr>
          <w:cantSplit/>
        </w:trPr>
        <w:tc>
          <w:tcPr>
            <w:tcW w:w="1134" w:type="dxa"/>
            <w:vMerge/>
            <w:shd w:val="clear" w:color="auto" w:fill="FFFFFF"/>
            <w:vAlign w:val="center"/>
          </w:tcPr>
          <w:p w:rsidR="00DE6068" w:rsidRPr="00DE6068" w:rsidRDefault="00DE6068" w:rsidP="00DE6068">
            <w:pPr>
              <w:autoSpaceDE w:val="0"/>
              <w:autoSpaceDN w:val="0"/>
              <w:adjustRightInd w:val="0"/>
              <w:spacing w:line="360" w:lineRule="auto"/>
              <w:jc w:val="center"/>
              <w:rPr>
                <w:b/>
                <w:bCs/>
                <w:color w:val="000000"/>
                <w:sz w:val="20"/>
                <w:szCs w:val="20"/>
                <w:lang w:val="en-US" w:eastAsia="tr-TR"/>
              </w:rPr>
            </w:pPr>
          </w:p>
        </w:tc>
        <w:tc>
          <w:tcPr>
            <w:tcW w:w="2127" w:type="dxa"/>
            <w:shd w:val="clear" w:color="auto" w:fill="FFFFFF"/>
            <w:vAlign w:val="center"/>
          </w:tcPr>
          <w:p w:rsidR="00DE6068" w:rsidRPr="00DE6068" w:rsidRDefault="00DE6068" w:rsidP="00DE6068">
            <w:pPr>
              <w:autoSpaceDE w:val="0"/>
              <w:autoSpaceDN w:val="0"/>
              <w:adjustRightInd w:val="0"/>
              <w:spacing w:line="360" w:lineRule="auto"/>
              <w:jc w:val="center"/>
              <w:rPr>
                <w:color w:val="000000"/>
                <w:sz w:val="20"/>
                <w:szCs w:val="20"/>
                <w:lang w:val="en-US" w:eastAsia="tr-TR"/>
              </w:rPr>
            </w:pPr>
            <w:r w:rsidRPr="00DE6068">
              <w:rPr>
                <w:color w:val="000000"/>
                <w:sz w:val="20"/>
                <w:szCs w:val="20"/>
                <w:lang w:val="en-US" w:eastAsia="tr-TR"/>
              </w:rPr>
              <w:t>Sig. (2-tailed)</w:t>
            </w:r>
          </w:p>
        </w:tc>
        <w:tc>
          <w:tcPr>
            <w:tcW w:w="1134" w:type="dxa"/>
            <w:shd w:val="clear" w:color="auto" w:fill="FFFFFF"/>
            <w:vAlign w:val="center"/>
          </w:tcPr>
          <w:p w:rsidR="00DE6068" w:rsidRPr="00DE6068" w:rsidRDefault="00DE6068" w:rsidP="00DE6068">
            <w:pPr>
              <w:autoSpaceDE w:val="0"/>
              <w:autoSpaceDN w:val="0"/>
              <w:adjustRightInd w:val="0"/>
              <w:spacing w:line="360" w:lineRule="auto"/>
              <w:jc w:val="center"/>
              <w:rPr>
                <w:color w:val="000000"/>
                <w:sz w:val="20"/>
                <w:szCs w:val="20"/>
                <w:lang w:val="en-US" w:eastAsia="tr-TR"/>
              </w:rPr>
            </w:pPr>
            <w:r w:rsidRPr="00DE6068">
              <w:rPr>
                <w:color w:val="000000"/>
                <w:sz w:val="20"/>
                <w:szCs w:val="20"/>
                <w:lang w:val="en-US" w:eastAsia="tr-TR"/>
              </w:rPr>
              <w:t>,000</w:t>
            </w:r>
          </w:p>
        </w:tc>
        <w:tc>
          <w:tcPr>
            <w:tcW w:w="1417" w:type="dxa"/>
            <w:shd w:val="clear" w:color="auto" w:fill="FFFFFF"/>
            <w:vAlign w:val="center"/>
          </w:tcPr>
          <w:p w:rsidR="00DE6068" w:rsidRPr="00DE6068" w:rsidRDefault="00DE6068" w:rsidP="00DE6068">
            <w:pPr>
              <w:autoSpaceDE w:val="0"/>
              <w:autoSpaceDN w:val="0"/>
              <w:adjustRightInd w:val="0"/>
              <w:spacing w:line="360" w:lineRule="auto"/>
              <w:jc w:val="center"/>
              <w:rPr>
                <w:color w:val="000000"/>
                <w:sz w:val="20"/>
                <w:szCs w:val="20"/>
                <w:lang w:val="en-US" w:eastAsia="tr-TR"/>
              </w:rPr>
            </w:pPr>
            <w:r w:rsidRPr="00DE6068">
              <w:rPr>
                <w:color w:val="000000"/>
                <w:sz w:val="20"/>
                <w:szCs w:val="20"/>
                <w:lang w:val="en-US" w:eastAsia="tr-TR"/>
              </w:rPr>
              <w:t>,000</w:t>
            </w:r>
          </w:p>
        </w:tc>
        <w:tc>
          <w:tcPr>
            <w:tcW w:w="1701" w:type="dxa"/>
            <w:shd w:val="clear" w:color="auto" w:fill="FFFFFF"/>
            <w:vAlign w:val="center"/>
          </w:tcPr>
          <w:p w:rsidR="00DE6068" w:rsidRPr="00DE6068" w:rsidRDefault="00DE6068" w:rsidP="00DE6068">
            <w:pPr>
              <w:autoSpaceDE w:val="0"/>
              <w:autoSpaceDN w:val="0"/>
              <w:adjustRightInd w:val="0"/>
              <w:spacing w:line="360" w:lineRule="auto"/>
              <w:jc w:val="center"/>
              <w:rPr>
                <w:color w:val="000000"/>
                <w:sz w:val="20"/>
                <w:szCs w:val="20"/>
                <w:lang w:val="en-US" w:eastAsia="tr-TR"/>
              </w:rPr>
            </w:pPr>
          </w:p>
        </w:tc>
        <w:tc>
          <w:tcPr>
            <w:tcW w:w="1559" w:type="dxa"/>
            <w:shd w:val="clear" w:color="auto" w:fill="FFFFFF"/>
          </w:tcPr>
          <w:p w:rsidR="00DE6068" w:rsidRPr="00DE6068" w:rsidRDefault="00DE6068" w:rsidP="00DE6068">
            <w:pPr>
              <w:jc w:val="center"/>
              <w:rPr>
                <w:sz w:val="20"/>
                <w:szCs w:val="20"/>
              </w:rPr>
            </w:pPr>
            <w:r w:rsidRPr="00DE6068">
              <w:rPr>
                <w:sz w:val="20"/>
                <w:szCs w:val="20"/>
              </w:rPr>
              <w:t>,000</w:t>
            </w:r>
          </w:p>
        </w:tc>
      </w:tr>
      <w:tr w:rsidR="00324186" w:rsidRPr="00DE6068" w:rsidTr="00324186">
        <w:trPr>
          <w:cantSplit/>
        </w:trPr>
        <w:tc>
          <w:tcPr>
            <w:tcW w:w="1134" w:type="dxa"/>
            <w:vMerge/>
            <w:shd w:val="clear" w:color="auto" w:fill="FFFFFF"/>
            <w:vAlign w:val="center"/>
          </w:tcPr>
          <w:p w:rsidR="00DE6068" w:rsidRPr="00DE6068" w:rsidRDefault="00DE6068" w:rsidP="00DE6068">
            <w:pPr>
              <w:autoSpaceDE w:val="0"/>
              <w:autoSpaceDN w:val="0"/>
              <w:adjustRightInd w:val="0"/>
              <w:spacing w:line="360" w:lineRule="auto"/>
              <w:jc w:val="center"/>
              <w:rPr>
                <w:b/>
                <w:bCs/>
                <w:color w:val="000000"/>
                <w:sz w:val="20"/>
                <w:szCs w:val="20"/>
                <w:lang w:val="en-US" w:eastAsia="tr-TR"/>
              </w:rPr>
            </w:pPr>
          </w:p>
        </w:tc>
        <w:tc>
          <w:tcPr>
            <w:tcW w:w="2127" w:type="dxa"/>
            <w:shd w:val="clear" w:color="auto" w:fill="FFFFFF"/>
            <w:vAlign w:val="center"/>
          </w:tcPr>
          <w:p w:rsidR="00DE6068" w:rsidRPr="00DE6068" w:rsidRDefault="00DE6068" w:rsidP="00DE6068">
            <w:pPr>
              <w:autoSpaceDE w:val="0"/>
              <w:autoSpaceDN w:val="0"/>
              <w:adjustRightInd w:val="0"/>
              <w:spacing w:line="360" w:lineRule="auto"/>
              <w:jc w:val="center"/>
              <w:rPr>
                <w:color w:val="000000"/>
                <w:sz w:val="20"/>
                <w:szCs w:val="20"/>
                <w:lang w:val="en-US" w:eastAsia="tr-TR"/>
              </w:rPr>
            </w:pPr>
            <w:r w:rsidRPr="00DE6068">
              <w:rPr>
                <w:color w:val="000000"/>
                <w:sz w:val="20"/>
                <w:szCs w:val="20"/>
                <w:lang w:val="en-US" w:eastAsia="tr-TR"/>
              </w:rPr>
              <w:t>N</w:t>
            </w:r>
          </w:p>
        </w:tc>
        <w:tc>
          <w:tcPr>
            <w:tcW w:w="1134" w:type="dxa"/>
            <w:shd w:val="clear" w:color="auto" w:fill="FFFFFF"/>
            <w:vAlign w:val="center"/>
          </w:tcPr>
          <w:p w:rsidR="00DE6068" w:rsidRPr="00DE6068" w:rsidRDefault="00DE6068" w:rsidP="00DE6068">
            <w:pPr>
              <w:autoSpaceDE w:val="0"/>
              <w:autoSpaceDN w:val="0"/>
              <w:adjustRightInd w:val="0"/>
              <w:spacing w:line="360" w:lineRule="auto"/>
              <w:jc w:val="center"/>
              <w:rPr>
                <w:color w:val="000000"/>
                <w:sz w:val="20"/>
                <w:szCs w:val="20"/>
                <w:lang w:val="en-US" w:eastAsia="tr-TR"/>
              </w:rPr>
            </w:pPr>
            <w:r w:rsidRPr="00DE6068">
              <w:rPr>
                <w:color w:val="000000"/>
                <w:sz w:val="20"/>
                <w:szCs w:val="20"/>
                <w:lang w:val="en-US" w:eastAsia="tr-TR"/>
              </w:rPr>
              <w:t>810</w:t>
            </w:r>
          </w:p>
        </w:tc>
        <w:tc>
          <w:tcPr>
            <w:tcW w:w="1417" w:type="dxa"/>
            <w:shd w:val="clear" w:color="auto" w:fill="FFFFFF"/>
            <w:vAlign w:val="center"/>
          </w:tcPr>
          <w:p w:rsidR="00DE6068" w:rsidRPr="00DE6068" w:rsidRDefault="00DE6068" w:rsidP="00DE6068">
            <w:pPr>
              <w:autoSpaceDE w:val="0"/>
              <w:autoSpaceDN w:val="0"/>
              <w:adjustRightInd w:val="0"/>
              <w:spacing w:line="360" w:lineRule="auto"/>
              <w:jc w:val="center"/>
              <w:rPr>
                <w:color w:val="000000"/>
                <w:sz w:val="20"/>
                <w:szCs w:val="20"/>
                <w:lang w:val="en-US" w:eastAsia="tr-TR"/>
              </w:rPr>
            </w:pPr>
            <w:r w:rsidRPr="00DE6068">
              <w:rPr>
                <w:color w:val="000000"/>
                <w:sz w:val="20"/>
                <w:szCs w:val="20"/>
                <w:lang w:val="en-US" w:eastAsia="tr-TR"/>
              </w:rPr>
              <w:t>810</w:t>
            </w:r>
          </w:p>
        </w:tc>
        <w:tc>
          <w:tcPr>
            <w:tcW w:w="1701" w:type="dxa"/>
            <w:shd w:val="clear" w:color="auto" w:fill="FFFFFF"/>
            <w:vAlign w:val="center"/>
          </w:tcPr>
          <w:p w:rsidR="00DE6068" w:rsidRPr="00DE6068" w:rsidRDefault="00DE6068" w:rsidP="00DE6068">
            <w:pPr>
              <w:autoSpaceDE w:val="0"/>
              <w:autoSpaceDN w:val="0"/>
              <w:adjustRightInd w:val="0"/>
              <w:spacing w:line="360" w:lineRule="auto"/>
              <w:jc w:val="center"/>
              <w:rPr>
                <w:color w:val="000000"/>
                <w:sz w:val="20"/>
                <w:szCs w:val="20"/>
                <w:lang w:val="en-US" w:eastAsia="tr-TR"/>
              </w:rPr>
            </w:pPr>
            <w:r w:rsidRPr="00DE6068">
              <w:rPr>
                <w:color w:val="000000"/>
                <w:sz w:val="20"/>
                <w:szCs w:val="20"/>
                <w:lang w:val="en-US" w:eastAsia="tr-TR"/>
              </w:rPr>
              <w:t>810</w:t>
            </w:r>
          </w:p>
        </w:tc>
        <w:tc>
          <w:tcPr>
            <w:tcW w:w="1559" w:type="dxa"/>
            <w:shd w:val="clear" w:color="auto" w:fill="FFFFFF"/>
          </w:tcPr>
          <w:p w:rsidR="00DE6068" w:rsidRPr="00DE6068" w:rsidRDefault="00DE6068" w:rsidP="00DE6068">
            <w:pPr>
              <w:jc w:val="center"/>
              <w:rPr>
                <w:sz w:val="20"/>
                <w:szCs w:val="20"/>
              </w:rPr>
            </w:pPr>
            <w:r w:rsidRPr="00DE6068">
              <w:rPr>
                <w:sz w:val="20"/>
                <w:szCs w:val="20"/>
              </w:rPr>
              <w:t>810</w:t>
            </w:r>
          </w:p>
        </w:tc>
      </w:tr>
      <w:tr w:rsidR="00DE6068" w:rsidRPr="00DE6068" w:rsidTr="00324186">
        <w:trPr>
          <w:cantSplit/>
        </w:trPr>
        <w:tc>
          <w:tcPr>
            <w:tcW w:w="1134" w:type="dxa"/>
            <w:vMerge w:val="restart"/>
            <w:shd w:val="clear" w:color="auto" w:fill="FFFFFF"/>
            <w:vAlign w:val="center"/>
          </w:tcPr>
          <w:p w:rsidR="00DE6068" w:rsidRPr="00054924" w:rsidRDefault="00DE6068" w:rsidP="00DE6068">
            <w:pPr>
              <w:autoSpaceDE w:val="0"/>
              <w:autoSpaceDN w:val="0"/>
              <w:adjustRightInd w:val="0"/>
              <w:spacing w:line="360" w:lineRule="auto"/>
              <w:jc w:val="center"/>
              <w:rPr>
                <w:b/>
                <w:bCs/>
                <w:color w:val="000000"/>
                <w:sz w:val="20"/>
                <w:szCs w:val="20"/>
                <w:lang w:val="en-US" w:eastAsia="tr-TR"/>
              </w:rPr>
            </w:pPr>
            <w:proofErr w:type="spellStart"/>
            <w:r w:rsidRPr="00054924">
              <w:rPr>
                <w:b/>
                <w:bCs/>
                <w:color w:val="000000"/>
                <w:sz w:val="20"/>
                <w:szCs w:val="20"/>
                <w:lang w:val="en-US" w:eastAsia="tr-TR"/>
              </w:rPr>
              <w:t>Matematik</w:t>
            </w:r>
            <w:proofErr w:type="spellEnd"/>
            <w:r w:rsidRPr="00054924">
              <w:rPr>
                <w:b/>
                <w:bCs/>
                <w:color w:val="000000"/>
                <w:sz w:val="20"/>
                <w:szCs w:val="20"/>
                <w:lang w:val="en-US" w:eastAsia="tr-TR"/>
              </w:rPr>
              <w:t xml:space="preserve"> </w:t>
            </w:r>
            <w:proofErr w:type="spellStart"/>
            <w:r w:rsidRPr="00054924">
              <w:rPr>
                <w:b/>
                <w:bCs/>
                <w:color w:val="000000"/>
                <w:sz w:val="20"/>
                <w:szCs w:val="20"/>
                <w:lang w:val="en-US" w:eastAsia="tr-TR"/>
              </w:rPr>
              <w:t>Boyutu</w:t>
            </w:r>
            <w:proofErr w:type="spellEnd"/>
          </w:p>
        </w:tc>
        <w:tc>
          <w:tcPr>
            <w:tcW w:w="2127" w:type="dxa"/>
            <w:shd w:val="clear" w:color="auto" w:fill="FFFFFF"/>
          </w:tcPr>
          <w:p w:rsidR="00DE6068" w:rsidRPr="00DE6068" w:rsidRDefault="00DE6068" w:rsidP="00DE6068">
            <w:pPr>
              <w:jc w:val="center"/>
              <w:rPr>
                <w:sz w:val="20"/>
                <w:szCs w:val="20"/>
              </w:rPr>
            </w:pPr>
            <w:proofErr w:type="spellStart"/>
            <w:r w:rsidRPr="00DE6068">
              <w:rPr>
                <w:sz w:val="20"/>
                <w:szCs w:val="20"/>
              </w:rPr>
              <w:t>Pearson</w:t>
            </w:r>
            <w:proofErr w:type="spellEnd"/>
            <w:r w:rsidRPr="00DE6068">
              <w:rPr>
                <w:sz w:val="20"/>
                <w:szCs w:val="20"/>
              </w:rPr>
              <w:t xml:space="preserve"> </w:t>
            </w:r>
            <w:proofErr w:type="spellStart"/>
            <w:r w:rsidRPr="00DE6068">
              <w:rPr>
                <w:sz w:val="20"/>
                <w:szCs w:val="20"/>
              </w:rPr>
              <w:t>Correlation</w:t>
            </w:r>
            <w:proofErr w:type="spellEnd"/>
          </w:p>
        </w:tc>
        <w:tc>
          <w:tcPr>
            <w:tcW w:w="1134" w:type="dxa"/>
            <w:shd w:val="clear" w:color="auto" w:fill="FFFFFF"/>
          </w:tcPr>
          <w:p w:rsidR="00DE6068" w:rsidRPr="00DE6068" w:rsidRDefault="00DE6068" w:rsidP="00DE6068">
            <w:pPr>
              <w:jc w:val="center"/>
              <w:rPr>
                <w:sz w:val="20"/>
                <w:szCs w:val="20"/>
              </w:rPr>
            </w:pPr>
            <w:r w:rsidRPr="00DE6068">
              <w:rPr>
                <w:sz w:val="20"/>
                <w:szCs w:val="20"/>
              </w:rPr>
              <w:t>,457**</w:t>
            </w:r>
          </w:p>
        </w:tc>
        <w:tc>
          <w:tcPr>
            <w:tcW w:w="1417" w:type="dxa"/>
            <w:shd w:val="clear" w:color="auto" w:fill="FFFFFF"/>
          </w:tcPr>
          <w:p w:rsidR="00DE6068" w:rsidRPr="00DE6068" w:rsidRDefault="00DE6068" w:rsidP="00DE6068">
            <w:pPr>
              <w:jc w:val="center"/>
              <w:rPr>
                <w:sz w:val="20"/>
                <w:szCs w:val="20"/>
              </w:rPr>
            </w:pPr>
            <w:r w:rsidRPr="00DE6068">
              <w:rPr>
                <w:sz w:val="20"/>
                <w:szCs w:val="20"/>
              </w:rPr>
              <w:t>,384**</w:t>
            </w:r>
          </w:p>
        </w:tc>
        <w:tc>
          <w:tcPr>
            <w:tcW w:w="1701" w:type="dxa"/>
            <w:shd w:val="clear" w:color="auto" w:fill="FFFFFF"/>
          </w:tcPr>
          <w:p w:rsidR="00DE6068" w:rsidRPr="00DE6068" w:rsidRDefault="00DE6068" w:rsidP="00DE6068">
            <w:pPr>
              <w:jc w:val="center"/>
              <w:rPr>
                <w:sz w:val="20"/>
                <w:szCs w:val="20"/>
              </w:rPr>
            </w:pPr>
            <w:r w:rsidRPr="00DE6068">
              <w:rPr>
                <w:sz w:val="20"/>
                <w:szCs w:val="20"/>
              </w:rPr>
              <w:t>,406**</w:t>
            </w:r>
          </w:p>
        </w:tc>
        <w:tc>
          <w:tcPr>
            <w:tcW w:w="1559" w:type="dxa"/>
            <w:shd w:val="clear" w:color="auto" w:fill="FFFFFF"/>
          </w:tcPr>
          <w:p w:rsidR="00DE6068" w:rsidRPr="00DE6068" w:rsidRDefault="00DE6068" w:rsidP="00DE6068">
            <w:pPr>
              <w:jc w:val="center"/>
              <w:rPr>
                <w:sz w:val="20"/>
                <w:szCs w:val="20"/>
              </w:rPr>
            </w:pPr>
            <w:r w:rsidRPr="00DE6068">
              <w:rPr>
                <w:sz w:val="20"/>
                <w:szCs w:val="20"/>
              </w:rPr>
              <w:t>1</w:t>
            </w:r>
          </w:p>
        </w:tc>
      </w:tr>
      <w:tr w:rsidR="00DE6068" w:rsidRPr="00DE6068" w:rsidTr="00324186">
        <w:trPr>
          <w:cantSplit/>
        </w:trPr>
        <w:tc>
          <w:tcPr>
            <w:tcW w:w="1134" w:type="dxa"/>
            <w:vMerge/>
            <w:shd w:val="clear" w:color="auto" w:fill="FFFFFF"/>
            <w:vAlign w:val="center"/>
          </w:tcPr>
          <w:p w:rsidR="00DE6068" w:rsidRPr="00DE6068" w:rsidRDefault="00DE6068" w:rsidP="00DE6068">
            <w:pPr>
              <w:autoSpaceDE w:val="0"/>
              <w:autoSpaceDN w:val="0"/>
              <w:adjustRightInd w:val="0"/>
              <w:spacing w:line="360" w:lineRule="auto"/>
              <w:jc w:val="center"/>
              <w:rPr>
                <w:color w:val="000000"/>
                <w:sz w:val="20"/>
                <w:szCs w:val="20"/>
                <w:lang w:val="en-US" w:eastAsia="tr-TR"/>
              </w:rPr>
            </w:pPr>
          </w:p>
        </w:tc>
        <w:tc>
          <w:tcPr>
            <w:tcW w:w="2127" w:type="dxa"/>
            <w:shd w:val="clear" w:color="auto" w:fill="FFFFFF"/>
          </w:tcPr>
          <w:p w:rsidR="00DE6068" w:rsidRPr="00DE6068" w:rsidRDefault="00DE6068" w:rsidP="00DE6068">
            <w:pPr>
              <w:jc w:val="center"/>
              <w:rPr>
                <w:sz w:val="20"/>
                <w:szCs w:val="20"/>
              </w:rPr>
            </w:pPr>
            <w:proofErr w:type="spellStart"/>
            <w:r w:rsidRPr="00DE6068">
              <w:rPr>
                <w:sz w:val="20"/>
                <w:szCs w:val="20"/>
              </w:rPr>
              <w:t>Sig</w:t>
            </w:r>
            <w:proofErr w:type="spellEnd"/>
            <w:r w:rsidRPr="00DE6068">
              <w:rPr>
                <w:sz w:val="20"/>
                <w:szCs w:val="20"/>
              </w:rPr>
              <w:t>. (2-tailed)</w:t>
            </w:r>
          </w:p>
        </w:tc>
        <w:tc>
          <w:tcPr>
            <w:tcW w:w="1134" w:type="dxa"/>
            <w:shd w:val="clear" w:color="auto" w:fill="FFFFFF"/>
          </w:tcPr>
          <w:p w:rsidR="00DE6068" w:rsidRPr="00DE6068" w:rsidRDefault="00DE6068" w:rsidP="00DE6068">
            <w:pPr>
              <w:jc w:val="center"/>
              <w:rPr>
                <w:sz w:val="20"/>
                <w:szCs w:val="20"/>
              </w:rPr>
            </w:pPr>
            <w:r w:rsidRPr="00DE6068">
              <w:rPr>
                <w:sz w:val="20"/>
                <w:szCs w:val="20"/>
              </w:rPr>
              <w:t>,000</w:t>
            </w:r>
          </w:p>
        </w:tc>
        <w:tc>
          <w:tcPr>
            <w:tcW w:w="1417" w:type="dxa"/>
            <w:shd w:val="clear" w:color="auto" w:fill="FFFFFF"/>
          </w:tcPr>
          <w:p w:rsidR="00DE6068" w:rsidRPr="00DE6068" w:rsidRDefault="00DE6068" w:rsidP="00DE6068">
            <w:pPr>
              <w:jc w:val="center"/>
              <w:rPr>
                <w:sz w:val="20"/>
                <w:szCs w:val="20"/>
              </w:rPr>
            </w:pPr>
            <w:r w:rsidRPr="00DE6068">
              <w:rPr>
                <w:sz w:val="20"/>
                <w:szCs w:val="20"/>
              </w:rPr>
              <w:t>,000</w:t>
            </w:r>
          </w:p>
        </w:tc>
        <w:tc>
          <w:tcPr>
            <w:tcW w:w="1701" w:type="dxa"/>
            <w:shd w:val="clear" w:color="auto" w:fill="FFFFFF"/>
          </w:tcPr>
          <w:p w:rsidR="00DE6068" w:rsidRPr="00DE6068" w:rsidRDefault="00DE6068" w:rsidP="00DE6068">
            <w:pPr>
              <w:jc w:val="center"/>
              <w:rPr>
                <w:sz w:val="20"/>
                <w:szCs w:val="20"/>
              </w:rPr>
            </w:pPr>
            <w:r w:rsidRPr="00DE6068">
              <w:rPr>
                <w:sz w:val="20"/>
                <w:szCs w:val="20"/>
              </w:rPr>
              <w:t>,000</w:t>
            </w:r>
          </w:p>
        </w:tc>
        <w:tc>
          <w:tcPr>
            <w:tcW w:w="1559" w:type="dxa"/>
            <w:shd w:val="clear" w:color="auto" w:fill="FFFFFF"/>
          </w:tcPr>
          <w:p w:rsidR="00DE6068" w:rsidRPr="00DE6068" w:rsidRDefault="00DE6068" w:rsidP="00DE6068">
            <w:pPr>
              <w:jc w:val="center"/>
              <w:rPr>
                <w:sz w:val="20"/>
                <w:szCs w:val="20"/>
              </w:rPr>
            </w:pPr>
          </w:p>
        </w:tc>
      </w:tr>
      <w:tr w:rsidR="00DE6068" w:rsidRPr="00DE6068" w:rsidTr="00324186">
        <w:trPr>
          <w:cantSplit/>
        </w:trPr>
        <w:tc>
          <w:tcPr>
            <w:tcW w:w="1134" w:type="dxa"/>
            <w:vMerge/>
            <w:shd w:val="clear" w:color="auto" w:fill="FFFFFF"/>
            <w:vAlign w:val="center"/>
          </w:tcPr>
          <w:p w:rsidR="00DE6068" w:rsidRPr="00DE6068" w:rsidRDefault="00DE6068" w:rsidP="00DE6068">
            <w:pPr>
              <w:autoSpaceDE w:val="0"/>
              <w:autoSpaceDN w:val="0"/>
              <w:adjustRightInd w:val="0"/>
              <w:spacing w:line="360" w:lineRule="auto"/>
              <w:jc w:val="center"/>
              <w:rPr>
                <w:color w:val="000000"/>
                <w:sz w:val="20"/>
                <w:szCs w:val="20"/>
                <w:lang w:val="en-US" w:eastAsia="tr-TR"/>
              </w:rPr>
            </w:pPr>
          </w:p>
        </w:tc>
        <w:tc>
          <w:tcPr>
            <w:tcW w:w="2127" w:type="dxa"/>
            <w:shd w:val="clear" w:color="auto" w:fill="FFFFFF"/>
          </w:tcPr>
          <w:p w:rsidR="00DE6068" w:rsidRPr="00DE6068" w:rsidRDefault="00DE6068" w:rsidP="00DE6068">
            <w:pPr>
              <w:jc w:val="center"/>
              <w:rPr>
                <w:sz w:val="20"/>
                <w:szCs w:val="20"/>
              </w:rPr>
            </w:pPr>
            <w:r w:rsidRPr="00DE6068">
              <w:rPr>
                <w:sz w:val="20"/>
                <w:szCs w:val="20"/>
              </w:rPr>
              <w:t>N</w:t>
            </w:r>
          </w:p>
        </w:tc>
        <w:tc>
          <w:tcPr>
            <w:tcW w:w="1134" w:type="dxa"/>
            <w:shd w:val="clear" w:color="auto" w:fill="FFFFFF"/>
          </w:tcPr>
          <w:p w:rsidR="00DE6068" w:rsidRPr="00DE6068" w:rsidRDefault="00DE6068" w:rsidP="00DE6068">
            <w:pPr>
              <w:jc w:val="center"/>
              <w:rPr>
                <w:sz w:val="20"/>
                <w:szCs w:val="20"/>
              </w:rPr>
            </w:pPr>
            <w:r w:rsidRPr="00DE6068">
              <w:rPr>
                <w:sz w:val="20"/>
                <w:szCs w:val="20"/>
              </w:rPr>
              <w:t>810</w:t>
            </w:r>
          </w:p>
        </w:tc>
        <w:tc>
          <w:tcPr>
            <w:tcW w:w="1417" w:type="dxa"/>
            <w:shd w:val="clear" w:color="auto" w:fill="FFFFFF"/>
          </w:tcPr>
          <w:p w:rsidR="00DE6068" w:rsidRPr="00DE6068" w:rsidRDefault="00DE6068" w:rsidP="00DE6068">
            <w:pPr>
              <w:jc w:val="center"/>
              <w:rPr>
                <w:sz w:val="20"/>
                <w:szCs w:val="20"/>
              </w:rPr>
            </w:pPr>
            <w:r w:rsidRPr="00DE6068">
              <w:rPr>
                <w:sz w:val="20"/>
                <w:szCs w:val="20"/>
              </w:rPr>
              <w:t>810</w:t>
            </w:r>
          </w:p>
        </w:tc>
        <w:tc>
          <w:tcPr>
            <w:tcW w:w="1701" w:type="dxa"/>
            <w:shd w:val="clear" w:color="auto" w:fill="FFFFFF"/>
          </w:tcPr>
          <w:p w:rsidR="00DE6068" w:rsidRPr="00DE6068" w:rsidRDefault="00DE6068" w:rsidP="00DE6068">
            <w:pPr>
              <w:jc w:val="center"/>
              <w:rPr>
                <w:sz w:val="20"/>
                <w:szCs w:val="20"/>
              </w:rPr>
            </w:pPr>
            <w:r w:rsidRPr="00DE6068">
              <w:rPr>
                <w:sz w:val="20"/>
                <w:szCs w:val="20"/>
              </w:rPr>
              <w:t>810</w:t>
            </w:r>
          </w:p>
        </w:tc>
        <w:tc>
          <w:tcPr>
            <w:tcW w:w="1559" w:type="dxa"/>
            <w:shd w:val="clear" w:color="auto" w:fill="FFFFFF"/>
          </w:tcPr>
          <w:p w:rsidR="00DE6068" w:rsidRPr="00DE6068" w:rsidRDefault="00DE6068" w:rsidP="00DE6068">
            <w:pPr>
              <w:jc w:val="center"/>
              <w:rPr>
                <w:sz w:val="20"/>
                <w:szCs w:val="20"/>
              </w:rPr>
            </w:pPr>
            <w:r w:rsidRPr="00DE6068">
              <w:rPr>
                <w:sz w:val="20"/>
                <w:szCs w:val="20"/>
              </w:rPr>
              <w:t>810</w:t>
            </w:r>
          </w:p>
        </w:tc>
      </w:tr>
    </w:tbl>
    <w:p w:rsidR="00DE6068" w:rsidRPr="00DE6068" w:rsidRDefault="00054924" w:rsidP="00054924">
      <w:pPr>
        <w:autoSpaceDE w:val="0"/>
        <w:autoSpaceDN w:val="0"/>
        <w:adjustRightInd w:val="0"/>
        <w:spacing w:line="360" w:lineRule="auto"/>
        <w:jc w:val="right"/>
        <w:rPr>
          <w:i/>
          <w:iCs/>
          <w:color w:val="000000"/>
          <w:sz w:val="20"/>
          <w:szCs w:val="20"/>
          <w:lang w:val="en-US" w:eastAsia="tr-TR"/>
        </w:rPr>
      </w:pPr>
      <w:r w:rsidRPr="00054924">
        <w:rPr>
          <w:i/>
          <w:iCs/>
          <w:color w:val="000000"/>
          <w:sz w:val="20"/>
          <w:szCs w:val="20"/>
          <w:lang w:val="en-US" w:eastAsia="tr-TR"/>
        </w:rPr>
        <w:t>**. Correlation is significant at the 0.01 level (2-tailed).</w:t>
      </w:r>
    </w:p>
    <w:p w:rsidR="006355EC" w:rsidRDefault="00054924" w:rsidP="00DE6068">
      <w:pPr>
        <w:autoSpaceDE w:val="0"/>
        <w:autoSpaceDN w:val="0"/>
        <w:adjustRightInd w:val="0"/>
        <w:spacing w:line="360" w:lineRule="auto"/>
        <w:jc w:val="both"/>
        <w:rPr>
          <w:color w:val="000000"/>
          <w:lang w:eastAsia="tr-TR"/>
        </w:rPr>
      </w:pPr>
      <w:r w:rsidRPr="00054924">
        <w:rPr>
          <w:color w:val="000000"/>
          <w:lang w:eastAsia="tr-TR"/>
        </w:rPr>
        <w:lastRenderedPageBreak/>
        <w:t>Tablo 5</w:t>
      </w:r>
      <w:r>
        <w:rPr>
          <w:color w:val="000000"/>
          <w:lang w:eastAsia="tr-TR"/>
        </w:rPr>
        <w:t xml:space="preserve">’te </w:t>
      </w:r>
      <w:r w:rsidRPr="00054924">
        <w:rPr>
          <w:color w:val="000000"/>
          <w:lang w:eastAsia="tr-TR"/>
        </w:rPr>
        <w:t>STEM motivasyon ölçeğinin alt boyutların arasındaki ilişkisi</w:t>
      </w:r>
      <w:r>
        <w:rPr>
          <w:color w:val="000000"/>
          <w:lang w:eastAsia="tr-TR"/>
        </w:rPr>
        <w:t xml:space="preserve"> görülmektedir. </w:t>
      </w:r>
      <w:proofErr w:type="spellStart"/>
      <w:r w:rsidRPr="00054924">
        <w:rPr>
          <w:color w:val="000000"/>
          <w:lang w:eastAsia="tr-TR"/>
        </w:rPr>
        <w:t>Pearson</w:t>
      </w:r>
      <w:proofErr w:type="spellEnd"/>
      <w:r w:rsidRPr="00054924">
        <w:rPr>
          <w:color w:val="000000"/>
          <w:lang w:eastAsia="tr-TR"/>
        </w:rPr>
        <w:t xml:space="preserve"> </w:t>
      </w:r>
      <w:proofErr w:type="spellStart"/>
      <w:r w:rsidRPr="00054924">
        <w:rPr>
          <w:color w:val="000000"/>
          <w:lang w:eastAsia="tr-TR"/>
        </w:rPr>
        <w:t>kolerasyon</w:t>
      </w:r>
      <w:proofErr w:type="spellEnd"/>
      <w:r w:rsidRPr="00054924">
        <w:rPr>
          <w:color w:val="000000"/>
          <w:lang w:eastAsia="tr-TR"/>
        </w:rPr>
        <w:t xml:space="preserve"> analizine göre </w:t>
      </w:r>
      <w:r>
        <w:rPr>
          <w:color w:val="000000"/>
          <w:lang w:eastAsia="tr-TR"/>
        </w:rPr>
        <w:t>bilim boyutu</w:t>
      </w:r>
      <w:r w:rsidRPr="00054924">
        <w:rPr>
          <w:color w:val="000000"/>
          <w:lang w:eastAsia="tr-TR"/>
        </w:rPr>
        <w:t xml:space="preserve"> ile </w:t>
      </w:r>
      <w:r>
        <w:rPr>
          <w:color w:val="000000"/>
          <w:lang w:eastAsia="tr-TR"/>
        </w:rPr>
        <w:t>teknoloji</w:t>
      </w:r>
      <w:r w:rsidRPr="00054924">
        <w:rPr>
          <w:color w:val="000000"/>
          <w:lang w:eastAsia="tr-TR"/>
        </w:rPr>
        <w:t xml:space="preserve"> boyutu arasından 0,</w:t>
      </w:r>
      <w:r>
        <w:rPr>
          <w:color w:val="000000"/>
          <w:lang w:eastAsia="tr-TR"/>
        </w:rPr>
        <w:t>425</w:t>
      </w:r>
      <w:r w:rsidRPr="00054924">
        <w:rPr>
          <w:color w:val="000000"/>
          <w:lang w:eastAsia="tr-TR"/>
        </w:rPr>
        <w:t xml:space="preserve"> (p&lt;0,001), </w:t>
      </w:r>
      <w:r>
        <w:rPr>
          <w:color w:val="000000"/>
          <w:lang w:eastAsia="tr-TR"/>
        </w:rPr>
        <w:t>bilim boyutu</w:t>
      </w:r>
      <w:r w:rsidRPr="00054924">
        <w:rPr>
          <w:color w:val="000000"/>
          <w:lang w:eastAsia="tr-TR"/>
        </w:rPr>
        <w:t xml:space="preserve"> ile </w:t>
      </w:r>
      <w:r>
        <w:rPr>
          <w:color w:val="000000"/>
          <w:lang w:eastAsia="tr-TR"/>
        </w:rPr>
        <w:t>mühendislik</w:t>
      </w:r>
      <w:r w:rsidRPr="00054924">
        <w:rPr>
          <w:color w:val="000000"/>
          <w:lang w:eastAsia="tr-TR"/>
        </w:rPr>
        <w:t xml:space="preserve"> boyutu arasından 0,</w:t>
      </w:r>
      <w:r>
        <w:rPr>
          <w:color w:val="000000"/>
          <w:lang w:eastAsia="tr-TR"/>
        </w:rPr>
        <w:t>457</w:t>
      </w:r>
      <w:r w:rsidRPr="00054924">
        <w:rPr>
          <w:color w:val="000000"/>
          <w:lang w:eastAsia="tr-TR"/>
        </w:rPr>
        <w:t xml:space="preserve"> (p&lt;0,001), </w:t>
      </w:r>
      <w:r>
        <w:rPr>
          <w:color w:val="000000"/>
          <w:lang w:eastAsia="tr-TR"/>
        </w:rPr>
        <w:t>bilim boyutu</w:t>
      </w:r>
      <w:r w:rsidRPr="00054924">
        <w:rPr>
          <w:color w:val="000000"/>
          <w:lang w:eastAsia="tr-TR"/>
        </w:rPr>
        <w:t xml:space="preserve"> ile </w:t>
      </w:r>
      <w:r>
        <w:rPr>
          <w:color w:val="000000"/>
          <w:lang w:eastAsia="tr-TR"/>
        </w:rPr>
        <w:t>matematik</w:t>
      </w:r>
      <w:r w:rsidRPr="00054924">
        <w:rPr>
          <w:color w:val="000000"/>
          <w:lang w:eastAsia="tr-TR"/>
        </w:rPr>
        <w:t xml:space="preserve"> boyutu arasından 0,</w:t>
      </w:r>
      <w:r>
        <w:rPr>
          <w:color w:val="000000"/>
          <w:lang w:eastAsia="tr-TR"/>
        </w:rPr>
        <w:t>457</w:t>
      </w:r>
      <w:r w:rsidRPr="00054924">
        <w:rPr>
          <w:color w:val="000000"/>
          <w:lang w:eastAsia="tr-TR"/>
        </w:rPr>
        <w:t xml:space="preserve"> (p&lt;0,001), </w:t>
      </w:r>
      <w:r>
        <w:rPr>
          <w:color w:val="000000"/>
          <w:lang w:eastAsia="tr-TR"/>
        </w:rPr>
        <w:t>teknoloji boyutu ile</w:t>
      </w:r>
      <w:r w:rsidRPr="00054924">
        <w:rPr>
          <w:color w:val="000000"/>
          <w:lang w:eastAsia="tr-TR"/>
        </w:rPr>
        <w:t xml:space="preserve"> </w:t>
      </w:r>
      <w:r>
        <w:rPr>
          <w:color w:val="000000"/>
          <w:lang w:eastAsia="tr-TR"/>
        </w:rPr>
        <w:t>mühendislik</w:t>
      </w:r>
      <w:r w:rsidRPr="00054924">
        <w:rPr>
          <w:color w:val="000000"/>
          <w:lang w:eastAsia="tr-TR"/>
        </w:rPr>
        <w:t xml:space="preserve"> boyutu arasından 0,</w:t>
      </w:r>
      <w:r>
        <w:rPr>
          <w:color w:val="000000"/>
          <w:lang w:eastAsia="tr-TR"/>
        </w:rPr>
        <w:t>384</w:t>
      </w:r>
      <w:r w:rsidRPr="00054924">
        <w:rPr>
          <w:color w:val="000000"/>
          <w:lang w:eastAsia="tr-TR"/>
        </w:rPr>
        <w:t xml:space="preserve"> (p&lt;0,001)</w:t>
      </w:r>
      <w:r>
        <w:rPr>
          <w:color w:val="000000"/>
          <w:lang w:eastAsia="tr-TR"/>
        </w:rPr>
        <w:t>, teknoloji boyutu ile matematik boyutu arasında</w:t>
      </w:r>
      <w:r w:rsidRPr="00054924">
        <w:rPr>
          <w:color w:val="000000"/>
          <w:lang w:eastAsia="tr-TR"/>
        </w:rPr>
        <w:t xml:space="preserve"> 0,</w:t>
      </w:r>
      <w:r>
        <w:rPr>
          <w:color w:val="000000"/>
          <w:lang w:eastAsia="tr-TR"/>
        </w:rPr>
        <w:t>384</w:t>
      </w:r>
      <w:r w:rsidRPr="00054924">
        <w:rPr>
          <w:color w:val="000000"/>
          <w:lang w:eastAsia="tr-TR"/>
        </w:rPr>
        <w:t xml:space="preserve"> (p&lt;0,001)</w:t>
      </w:r>
      <w:r>
        <w:rPr>
          <w:color w:val="000000"/>
          <w:lang w:eastAsia="tr-TR"/>
        </w:rPr>
        <w:t xml:space="preserve">, mühendislik boyutu ile matematik boyutu arasında </w:t>
      </w:r>
      <w:r w:rsidRPr="00054924">
        <w:rPr>
          <w:color w:val="000000"/>
          <w:lang w:eastAsia="tr-TR"/>
        </w:rPr>
        <w:t>0,</w:t>
      </w:r>
      <w:r>
        <w:rPr>
          <w:color w:val="000000"/>
          <w:lang w:eastAsia="tr-TR"/>
        </w:rPr>
        <w:t>406</w:t>
      </w:r>
      <w:r w:rsidRPr="00054924">
        <w:rPr>
          <w:color w:val="000000"/>
          <w:lang w:eastAsia="tr-TR"/>
        </w:rPr>
        <w:t xml:space="preserve"> (p&lt;0,001</w:t>
      </w:r>
      <w:r w:rsidR="00266DD8" w:rsidRPr="00054924">
        <w:rPr>
          <w:color w:val="000000"/>
          <w:lang w:eastAsia="tr-TR"/>
        </w:rPr>
        <w:t xml:space="preserve">), </w:t>
      </w:r>
      <w:proofErr w:type="spellStart"/>
      <w:r w:rsidR="00266DD8" w:rsidRPr="00054924">
        <w:rPr>
          <w:color w:val="000000"/>
          <w:lang w:eastAsia="tr-TR"/>
        </w:rPr>
        <w:t>kolerasyon</w:t>
      </w:r>
      <w:proofErr w:type="spellEnd"/>
      <w:r w:rsidRPr="00054924">
        <w:rPr>
          <w:color w:val="000000"/>
          <w:lang w:eastAsia="tr-TR"/>
        </w:rPr>
        <w:t xml:space="preserve"> hesaplanmıştır. </w:t>
      </w:r>
      <w:r w:rsidR="00324186">
        <w:rPr>
          <w:color w:val="000000"/>
          <w:lang w:eastAsia="tr-TR"/>
        </w:rPr>
        <w:t>B</w:t>
      </w:r>
      <w:r w:rsidRPr="00054924">
        <w:rPr>
          <w:color w:val="000000"/>
          <w:lang w:eastAsia="tr-TR"/>
        </w:rPr>
        <w:t xml:space="preserve">oyutlar arasında </w:t>
      </w:r>
      <w:r w:rsidR="00324186">
        <w:rPr>
          <w:color w:val="000000"/>
          <w:lang w:eastAsia="tr-TR"/>
        </w:rPr>
        <w:t xml:space="preserve">orta düzeyde </w:t>
      </w:r>
      <w:r w:rsidRPr="00054924">
        <w:rPr>
          <w:color w:val="000000"/>
          <w:lang w:eastAsia="tr-TR"/>
        </w:rPr>
        <w:t xml:space="preserve">pozitif yönde bir </w:t>
      </w:r>
      <w:proofErr w:type="spellStart"/>
      <w:r w:rsidRPr="00054924">
        <w:rPr>
          <w:color w:val="000000"/>
          <w:lang w:eastAsia="tr-TR"/>
        </w:rPr>
        <w:t>kolerasyon</w:t>
      </w:r>
      <w:proofErr w:type="spellEnd"/>
      <w:r w:rsidRPr="00054924">
        <w:rPr>
          <w:color w:val="000000"/>
          <w:lang w:eastAsia="tr-TR"/>
        </w:rPr>
        <w:t xml:space="preserve"> olduğu görülmektedir.</w:t>
      </w:r>
    </w:p>
    <w:p w:rsidR="00324186" w:rsidRPr="00DE6068" w:rsidRDefault="00324186" w:rsidP="00DE6068">
      <w:pPr>
        <w:autoSpaceDE w:val="0"/>
        <w:autoSpaceDN w:val="0"/>
        <w:adjustRightInd w:val="0"/>
        <w:spacing w:line="360" w:lineRule="auto"/>
        <w:jc w:val="both"/>
        <w:rPr>
          <w:color w:val="000000"/>
          <w:lang w:eastAsia="tr-TR"/>
        </w:rPr>
      </w:pPr>
    </w:p>
    <w:p w:rsidR="00B976F3" w:rsidRPr="00B976F3" w:rsidRDefault="006527FB" w:rsidP="006527FB">
      <w:pPr>
        <w:autoSpaceDE w:val="0"/>
        <w:autoSpaceDN w:val="0"/>
        <w:adjustRightInd w:val="0"/>
        <w:spacing w:line="360" w:lineRule="auto"/>
        <w:ind w:firstLine="709"/>
        <w:jc w:val="center"/>
        <w:rPr>
          <w:b/>
          <w:color w:val="000000"/>
          <w:lang w:val="en-US" w:eastAsia="tr-TR"/>
        </w:rPr>
      </w:pPr>
      <w:proofErr w:type="spellStart"/>
      <w:r w:rsidRPr="00B976F3">
        <w:rPr>
          <w:b/>
          <w:color w:val="000000"/>
          <w:lang w:val="en-US" w:eastAsia="tr-TR"/>
        </w:rPr>
        <w:t>Tart</w:t>
      </w:r>
      <w:r>
        <w:rPr>
          <w:b/>
          <w:color w:val="000000"/>
          <w:lang w:val="en-US" w:eastAsia="tr-TR"/>
        </w:rPr>
        <w:t>ı</w:t>
      </w:r>
      <w:r w:rsidRPr="00B976F3">
        <w:rPr>
          <w:b/>
          <w:color w:val="000000"/>
          <w:lang w:val="en-US" w:eastAsia="tr-TR"/>
        </w:rPr>
        <w:t>şma</w:t>
      </w:r>
      <w:proofErr w:type="spellEnd"/>
      <w:r w:rsidRPr="00B976F3">
        <w:rPr>
          <w:b/>
          <w:color w:val="000000"/>
          <w:lang w:val="en-US" w:eastAsia="tr-TR"/>
        </w:rPr>
        <w:t xml:space="preserve">, </w:t>
      </w:r>
      <w:proofErr w:type="spellStart"/>
      <w:r w:rsidRPr="00B976F3">
        <w:rPr>
          <w:b/>
          <w:color w:val="000000"/>
          <w:lang w:val="en-US" w:eastAsia="tr-TR"/>
        </w:rPr>
        <w:t>Sonuç</w:t>
      </w:r>
      <w:proofErr w:type="spellEnd"/>
      <w:r w:rsidRPr="00B976F3">
        <w:rPr>
          <w:b/>
          <w:color w:val="000000"/>
          <w:lang w:val="en-US" w:eastAsia="tr-TR"/>
        </w:rPr>
        <w:t xml:space="preserve"> </w:t>
      </w:r>
      <w:proofErr w:type="spellStart"/>
      <w:r>
        <w:rPr>
          <w:b/>
          <w:color w:val="000000"/>
          <w:lang w:val="en-US" w:eastAsia="tr-TR"/>
        </w:rPr>
        <w:t>v</w:t>
      </w:r>
      <w:r w:rsidRPr="00B976F3">
        <w:rPr>
          <w:b/>
          <w:color w:val="000000"/>
          <w:lang w:val="en-US" w:eastAsia="tr-TR"/>
        </w:rPr>
        <w:t>e</w:t>
      </w:r>
      <w:proofErr w:type="spellEnd"/>
      <w:r w:rsidRPr="00B976F3">
        <w:rPr>
          <w:b/>
          <w:color w:val="000000"/>
          <w:lang w:val="en-US" w:eastAsia="tr-TR"/>
        </w:rPr>
        <w:t xml:space="preserve"> </w:t>
      </w:r>
      <w:proofErr w:type="spellStart"/>
      <w:r w:rsidRPr="00B976F3">
        <w:rPr>
          <w:b/>
          <w:color w:val="000000"/>
          <w:lang w:val="en-US" w:eastAsia="tr-TR"/>
        </w:rPr>
        <w:t>Öneriler</w:t>
      </w:r>
      <w:proofErr w:type="spellEnd"/>
    </w:p>
    <w:p w:rsidR="001707BF" w:rsidRDefault="00B976F3" w:rsidP="00B976F3">
      <w:pPr>
        <w:autoSpaceDE w:val="0"/>
        <w:autoSpaceDN w:val="0"/>
        <w:adjustRightInd w:val="0"/>
        <w:spacing w:line="360" w:lineRule="auto"/>
        <w:ind w:firstLine="709"/>
        <w:jc w:val="both"/>
        <w:rPr>
          <w:color w:val="000000"/>
          <w:lang w:eastAsia="tr-TR"/>
        </w:rPr>
      </w:pPr>
      <w:r w:rsidRPr="00B976F3">
        <w:rPr>
          <w:color w:val="000000"/>
          <w:lang w:eastAsia="tr-TR"/>
        </w:rPr>
        <w:t>STEM eğitiminin son yıllarda eğitim ortamlarında yaygınlaşmasının STEM alanlarında yetişmiş insan gücüne olan ihtiyacın bir sonucu olduğu görülmektedir (</w:t>
      </w:r>
      <w:proofErr w:type="spellStart"/>
      <w:r w:rsidRPr="00B976F3">
        <w:rPr>
          <w:color w:val="000000"/>
          <w:lang w:eastAsia="tr-TR"/>
        </w:rPr>
        <w:t>Lacey</w:t>
      </w:r>
      <w:proofErr w:type="spellEnd"/>
      <w:r w:rsidRPr="00B976F3">
        <w:rPr>
          <w:color w:val="000000"/>
          <w:lang w:eastAsia="tr-TR"/>
        </w:rPr>
        <w:t xml:space="preserve"> &amp; Wright (2009); </w:t>
      </w:r>
      <w:r w:rsidRPr="00B976F3">
        <w:rPr>
          <w:color w:val="000000"/>
          <w:lang w:val="en-US" w:eastAsia="tr-TR"/>
        </w:rPr>
        <w:t xml:space="preserve">NRC, 2011). </w:t>
      </w:r>
      <w:r w:rsidRPr="000934FD">
        <w:rPr>
          <w:color w:val="000000"/>
          <w:lang w:eastAsia="tr-TR"/>
        </w:rPr>
        <w:t>STEM’ e yönelik iş gücünün karşılanması için ders içeriklerinde STEM uygulamalarının yapılması önerilmektedir. STEM uygulamalarında öğre</w:t>
      </w:r>
      <w:r w:rsidR="000934FD">
        <w:rPr>
          <w:color w:val="000000"/>
          <w:lang w:eastAsia="tr-TR"/>
        </w:rPr>
        <w:t>n</w:t>
      </w:r>
      <w:r w:rsidRPr="000934FD">
        <w:rPr>
          <w:color w:val="000000"/>
          <w:lang w:eastAsia="tr-TR"/>
        </w:rPr>
        <w:t xml:space="preserve">cilerin </w:t>
      </w:r>
      <w:proofErr w:type="spellStart"/>
      <w:r w:rsidRPr="000934FD">
        <w:rPr>
          <w:color w:val="000000"/>
          <w:lang w:eastAsia="tr-TR"/>
        </w:rPr>
        <w:t>STEM'e</w:t>
      </w:r>
      <w:proofErr w:type="spellEnd"/>
      <w:r w:rsidRPr="000934FD">
        <w:rPr>
          <w:color w:val="000000"/>
          <w:lang w:eastAsia="tr-TR"/>
        </w:rPr>
        <w:t xml:space="preserve"> yönelik tutumları, STEM konularını öğrenmeleri ve STEM kariyeri (</w:t>
      </w:r>
      <w:proofErr w:type="spellStart"/>
      <w:r w:rsidRPr="000934FD">
        <w:rPr>
          <w:color w:val="000000"/>
          <w:lang w:eastAsia="tr-TR"/>
        </w:rPr>
        <w:t>Maltese</w:t>
      </w:r>
      <w:proofErr w:type="spellEnd"/>
      <w:r w:rsidRPr="000934FD">
        <w:rPr>
          <w:color w:val="000000"/>
          <w:lang w:eastAsia="tr-TR"/>
        </w:rPr>
        <w:t xml:space="preserve"> ve </w:t>
      </w:r>
      <w:proofErr w:type="spellStart"/>
      <w:r w:rsidRPr="000934FD">
        <w:rPr>
          <w:color w:val="000000"/>
          <w:lang w:eastAsia="tr-TR"/>
        </w:rPr>
        <w:t>Tai</w:t>
      </w:r>
      <w:proofErr w:type="spellEnd"/>
      <w:r w:rsidRPr="000934FD">
        <w:rPr>
          <w:color w:val="000000"/>
          <w:lang w:eastAsia="tr-TR"/>
        </w:rPr>
        <w:t xml:space="preserve">, 2011) alanlarına yönelmede motivasyon önemli bir faktör olduğu görülmektedir. </w:t>
      </w:r>
      <w:r w:rsidRPr="00B976F3">
        <w:rPr>
          <w:color w:val="000000"/>
          <w:lang w:eastAsia="tr-TR"/>
        </w:rPr>
        <w:t xml:space="preserve">Motivasyonu yüksek olan öğrenciler, yıllar geçtikçe STEM alanlarına katılımlarını sürdürürken, motivasyonu düşük öğrenciler zamanla </w:t>
      </w:r>
      <w:r w:rsidR="00266DD8">
        <w:rPr>
          <w:color w:val="000000"/>
          <w:lang w:eastAsia="tr-TR"/>
        </w:rPr>
        <w:t xml:space="preserve">STEM alanlarından </w:t>
      </w:r>
      <w:proofErr w:type="gramStart"/>
      <w:r w:rsidR="00266DD8">
        <w:rPr>
          <w:color w:val="000000"/>
          <w:lang w:eastAsia="tr-TR"/>
        </w:rPr>
        <w:t>data</w:t>
      </w:r>
      <w:proofErr w:type="gramEnd"/>
      <w:r w:rsidR="00266DD8">
        <w:rPr>
          <w:color w:val="000000"/>
          <w:lang w:eastAsia="tr-TR"/>
        </w:rPr>
        <w:t xml:space="preserve"> fazla</w:t>
      </w:r>
      <w:r w:rsidRPr="00B976F3">
        <w:rPr>
          <w:color w:val="000000"/>
          <w:lang w:eastAsia="tr-TR"/>
        </w:rPr>
        <w:t xml:space="preserve"> </w:t>
      </w:r>
      <w:r w:rsidRPr="00266DD8">
        <w:rPr>
          <w:bCs/>
          <w:lang w:eastAsia="tr-TR"/>
        </w:rPr>
        <w:t xml:space="preserve">ayrılma </w:t>
      </w:r>
      <w:r w:rsidRPr="00B976F3">
        <w:rPr>
          <w:color w:val="000000"/>
          <w:lang w:eastAsia="tr-TR"/>
        </w:rPr>
        <w:t>eğilimindedir (</w:t>
      </w:r>
      <w:proofErr w:type="spellStart"/>
      <w:r w:rsidRPr="00B976F3">
        <w:rPr>
          <w:color w:val="000000"/>
          <w:lang w:eastAsia="tr-TR"/>
        </w:rPr>
        <w:t>Skinner</w:t>
      </w:r>
      <w:proofErr w:type="spellEnd"/>
      <w:r w:rsidRPr="00B976F3">
        <w:rPr>
          <w:color w:val="000000"/>
          <w:lang w:eastAsia="tr-TR"/>
        </w:rPr>
        <w:t xml:space="preserve">, </w:t>
      </w:r>
      <w:proofErr w:type="spellStart"/>
      <w:r w:rsidRPr="00B976F3">
        <w:rPr>
          <w:color w:val="000000"/>
          <w:lang w:eastAsia="tr-TR"/>
        </w:rPr>
        <w:t>Furrer</w:t>
      </w:r>
      <w:proofErr w:type="spellEnd"/>
      <w:r w:rsidRPr="00B976F3">
        <w:rPr>
          <w:color w:val="000000"/>
          <w:lang w:eastAsia="tr-TR"/>
        </w:rPr>
        <w:t xml:space="preserve">, </w:t>
      </w:r>
      <w:proofErr w:type="spellStart"/>
      <w:r w:rsidRPr="00B976F3">
        <w:rPr>
          <w:color w:val="000000"/>
          <w:lang w:eastAsia="tr-TR"/>
        </w:rPr>
        <w:t>Marchand</w:t>
      </w:r>
      <w:proofErr w:type="spellEnd"/>
      <w:r w:rsidRPr="00B976F3">
        <w:rPr>
          <w:color w:val="000000"/>
          <w:lang w:eastAsia="tr-TR"/>
        </w:rPr>
        <w:t xml:space="preserve"> &amp; </w:t>
      </w:r>
      <w:proofErr w:type="spellStart"/>
      <w:r w:rsidRPr="00B976F3">
        <w:rPr>
          <w:color w:val="000000"/>
          <w:lang w:eastAsia="tr-TR"/>
        </w:rPr>
        <w:t>Kindermann</w:t>
      </w:r>
      <w:proofErr w:type="spellEnd"/>
      <w:r w:rsidRPr="00B976F3">
        <w:rPr>
          <w:color w:val="000000"/>
          <w:lang w:eastAsia="tr-TR"/>
        </w:rPr>
        <w:t>, 2008).</w:t>
      </w:r>
      <w:r w:rsidR="001707BF">
        <w:rPr>
          <w:color w:val="000000"/>
          <w:lang w:eastAsia="tr-TR"/>
        </w:rPr>
        <w:t xml:space="preserve"> STEM motivasyon</w:t>
      </w:r>
      <w:r w:rsidRPr="00B976F3">
        <w:rPr>
          <w:color w:val="000000"/>
          <w:lang w:eastAsia="tr-TR"/>
        </w:rPr>
        <w:t xml:space="preserve"> </w:t>
      </w:r>
      <w:proofErr w:type="spellStart"/>
      <w:r w:rsidR="001707BF" w:rsidRPr="001707BF">
        <w:rPr>
          <w:color w:val="000000"/>
          <w:lang w:eastAsia="tr-TR"/>
        </w:rPr>
        <w:t>Zollman'ın</w:t>
      </w:r>
      <w:proofErr w:type="spellEnd"/>
      <w:r w:rsidR="001707BF" w:rsidRPr="001707BF">
        <w:rPr>
          <w:color w:val="000000"/>
          <w:lang w:eastAsia="tr-TR"/>
        </w:rPr>
        <w:t xml:space="preserve"> (2012) gelecekteki vatandaşların sahip olması gerektiğini iddia ettiği STEM okuryazarlığının bir bileşenidir. Bu nedenle, STEM </w:t>
      </w:r>
      <w:r w:rsidR="001707BF">
        <w:rPr>
          <w:color w:val="000000"/>
          <w:lang w:eastAsia="tr-TR"/>
        </w:rPr>
        <w:t xml:space="preserve">eğitimde devam eden motivasyon faktörü </w:t>
      </w:r>
      <w:r w:rsidR="001707BF" w:rsidRPr="001707BF">
        <w:rPr>
          <w:color w:val="000000"/>
          <w:lang w:eastAsia="tr-TR"/>
        </w:rPr>
        <w:t>önemli bir eğitim sonucu olarak değerlendirilmelidir (</w:t>
      </w:r>
      <w:proofErr w:type="spellStart"/>
      <w:r w:rsidR="001707BF" w:rsidRPr="001707BF">
        <w:rPr>
          <w:color w:val="000000"/>
          <w:lang w:eastAsia="tr-TR"/>
        </w:rPr>
        <w:t>Fortus</w:t>
      </w:r>
      <w:proofErr w:type="spellEnd"/>
      <w:r w:rsidR="001707BF" w:rsidRPr="001707BF">
        <w:rPr>
          <w:color w:val="000000"/>
          <w:lang w:eastAsia="tr-TR"/>
        </w:rPr>
        <w:t xml:space="preserve"> ve </w:t>
      </w:r>
      <w:proofErr w:type="spellStart"/>
      <w:r w:rsidR="001707BF" w:rsidRPr="001707BF">
        <w:rPr>
          <w:color w:val="000000"/>
          <w:lang w:eastAsia="tr-TR"/>
        </w:rPr>
        <w:t>Vedder-Weiss</w:t>
      </w:r>
      <w:proofErr w:type="spellEnd"/>
      <w:r w:rsidR="001707BF" w:rsidRPr="001707BF">
        <w:rPr>
          <w:color w:val="000000"/>
          <w:lang w:eastAsia="tr-TR"/>
        </w:rPr>
        <w:t xml:space="preserve">, 2014; </w:t>
      </w:r>
      <w:proofErr w:type="spellStart"/>
      <w:r w:rsidR="001707BF" w:rsidRPr="001707BF">
        <w:rPr>
          <w:color w:val="000000"/>
          <w:lang w:eastAsia="tr-TR"/>
        </w:rPr>
        <w:t>Maehr</w:t>
      </w:r>
      <w:proofErr w:type="spellEnd"/>
      <w:r w:rsidR="001707BF" w:rsidRPr="001707BF">
        <w:rPr>
          <w:color w:val="000000"/>
          <w:lang w:eastAsia="tr-TR"/>
        </w:rPr>
        <w:t>, 1976)</w:t>
      </w:r>
      <w:r w:rsidR="001707BF">
        <w:rPr>
          <w:color w:val="000000"/>
          <w:lang w:eastAsia="tr-TR"/>
        </w:rPr>
        <w:t xml:space="preserve">. </w:t>
      </w:r>
    </w:p>
    <w:p w:rsidR="00B976F3" w:rsidRDefault="00B976F3" w:rsidP="00B976F3">
      <w:pPr>
        <w:autoSpaceDE w:val="0"/>
        <w:autoSpaceDN w:val="0"/>
        <w:adjustRightInd w:val="0"/>
        <w:spacing w:line="360" w:lineRule="auto"/>
        <w:ind w:firstLine="709"/>
        <w:jc w:val="both"/>
        <w:rPr>
          <w:color w:val="000000"/>
          <w:lang w:eastAsia="tr-TR"/>
        </w:rPr>
      </w:pPr>
      <w:r w:rsidRPr="00B976F3">
        <w:rPr>
          <w:color w:val="000000"/>
          <w:lang w:eastAsia="tr-TR"/>
        </w:rPr>
        <w:t xml:space="preserve">Bu araştırmada </w:t>
      </w:r>
      <w:proofErr w:type="spellStart"/>
      <w:r w:rsidRPr="00B976F3">
        <w:rPr>
          <w:color w:val="000000"/>
          <w:lang w:eastAsia="tr-TR"/>
        </w:rPr>
        <w:t>Luo</w:t>
      </w:r>
      <w:proofErr w:type="spellEnd"/>
      <w:r w:rsidRPr="00B976F3">
        <w:rPr>
          <w:color w:val="000000"/>
          <w:lang w:eastAsia="tr-TR"/>
        </w:rPr>
        <w:t xml:space="preserve">, </w:t>
      </w:r>
      <w:proofErr w:type="spellStart"/>
      <w:r w:rsidRPr="00B976F3">
        <w:rPr>
          <w:color w:val="000000"/>
          <w:lang w:eastAsia="tr-TR"/>
        </w:rPr>
        <w:t>Wang</w:t>
      </w:r>
      <w:proofErr w:type="spellEnd"/>
      <w:r w:rsidRPr="00B976F3">
        <w:rPr>
          <w:color w:val="000000"/>
          <w:lang w:eastAsia="tr-TR"/>
        </w:rPr>
        <w:t xml:space="preserve">, </w:t>
      </w:r>
      <w:proofErr w:type="spellStart"/>
      <w:r w:rsidRPr="00B976F3">
        <w:rPr>
          <w:color w:val="000000"/>
          <w:lang w:eastAsia="tr-TR"/>
        </w:rPr>
        <w:t>Liu</w:t>
      </w:r>
      <w:proofErr w:type="spellEnd"/>
      <w:r w:rsidRPr="00B976F3">
        <w:rPr>
          <w:color w:val="000000"/>
          <w:lang w:eastAsia="tr-TR"/>
        </w:rPr>
        <w:t xml:space="preserve"> &amp; </w:t>
      </w:r>
      <w:proofErr w:type="spellStart"/>
      <w:r w:rsidRPr="00B976F3">
        <w:rPr>
          <w:color w:val="000000"/>
          <w:lang w:eastAsia="tr-TR"/>
        </w:rPr>
        <w:t>Zhou</w:t>
      </w:r>
      <w:proofErr w:type="spellEnd"/>
      <w:r w:rsidRPr="00B976F3">
        <w:rPr>
          <w:color w:val="000000"/>
          <w:lang w:eastAsia="tr-TR"/>
        </w:rPr>
        <w:t xml:space="preserve">, (2019) tarafından geliştirilen </w:t>
      </w:r>
      <w:r w:rsidR="00857DD5">
        <w:rPr>
          <w:color w:val="000000"/>
          <w:lang w:eastAsia="tr-TR"/>
        </w:rPr>
        <w:t xml:space="preserve">devam eden </w:t>
      </w:r>
      <w:r w:rsidRPr="00B976F3">
        <w:rPr>
          <w:color w:val="000000"/>
          <w:lang w:eastAsia="tr-TR"/>
        </w:rPr>
        <w:t xml:space="preserve">STEM motivasyon ölçeğinin </w:t>
      </w:r>
      <w:proofErr w:type="spellStart"/>
      <w:r w:rsidRPr="00B976F3">
        <w:rPr>
          <w:color w:val="000000"/>
          <w:lang w:eastAsia="tr-TR"/>
        </w:rPr>
        <w:t>Türkçe’ye</w:t>
      </w:r>
      <w:proofErr w:type="spellEnd"/>
      <w:r w:rsidRPr="00B976F3">
        <w:rPr>
          <w:color w:val="000000"/>
          <w:lang w:eastAsia="tr-TR"/>
        </w:rPr>
        <w:t xml:space="preserve"> uyarlayarak geçerlilik ve güvenirlik çalışmasını yapmaktır. STEM motivasyon ö</w:t>
      </w:r>
      <w:r w:rsidR="000934FD">
        <w:rPr>
          <w:color w:val="000000"/>
          <w:lang w:eastAsia="tr-TR"/>
        </w:rPr>
        <w:t>l</w:t>
      </w:r>
      <w:r w:rsidRPr="00B976F3">
        <w:rPr>
          <w:color w:val="000000"/>
          <w:lang w:eastAsia="tr-TR"/>
        </w:rPr>
        <w:t>çeğinin Türkçe uyarlaması sonucunda or</w:t>
      </w:r>
      <w:r w:rsidR="000934FD">
        <w:rPr>
          <w:color w:val="000000"/>
          <w:lang w:eastAsia="tr-TR"/>
        </w:rPr>
        <w:t>i</w:t>
      </w:r>
      <w:r w:rsidRPr="00B976F3">
        <w:rPr>
          <w:color w:val="000000"/>
          <w:lang w:eastAsia="tr-TR"/>
        </w:rPr>
        <w:t>jinal ölçekte olduğu gibi bilim, teknoloji, mühendislik ve matematik boyutlarını olmak üzere 4 boyutlu bir yapıda olduğu görülmüştür. Ölçeğin or</w:t>
      </w:r>
      <w:r w:rsidR="000934FD">
        <w:rPr>
          <w:color w:val="000000"/>
          <w:lang w:eastAsia="tr-TR"/>
        </w:rPr>
        <w:t>i</w:t>
      </w:r>
      <w:r w:rsidRPr="00B976F3">
        <w:rPr>
          <w:color w:val="000000"/>
          <w:lang w:eastAsia="tr-TR"/>
        </w:rPr>
        <w:t xml:space="preserve">jinalinde olduğu gibi 4lü </w:t>
      </w:r>
      <w:proofErr w:type="spellStart"/>
      <w:r w:rsidRPr="00B976F3">
        <w:rPr>
          <w:color w:val="000000"/>
          <w:lang w:eastAsia="tr-TR"/>
        </w:rPr>
        <w:t>likert</w:t>
      </w:r>
      <w:proofErr w:type="spellEnd"/>
      <w:r w:rsidRPr="00B976F3">
        <w:rPr>
          <w:color w:val="000000"/>
          <w:lang w:eastAsia="tr-TR"/>
        </w:rPr>
        <w:t xml:space="preserve"> tipte düzenlemiştir. </w:t>
      </w:r>
      <w:r w:rsidR="00324186" w:rsidRPr="00324186">
        <w:rPr>
          <w:color w:val="000000"/>
          <w:lang w:eastAsia="tr-TR"/>
        </w:rPr>
        <w:t xml:space="preserve">25 maddeden oluşan ölçeğin faktör yüklerini belirlemek için doğrulayıcı faktör analizi yapılmıştır. </w:t>
      </w:r>
      <w:r w:rsidRPr="00B976F3">
        <w:rPr>
          <w:color w:val="000000"/>
          <w:lang w:eastAsia="tr-TR"/>
        </w:rPr>
        <w:t xml:space="preserve">Doğrulayıcı faktör analizi sonucunda </w:t>
      </w:r>
      <w:proofErr w:type="spellStart"/>
      <w:r w:rsidRPr="00B976F3">
        <w:rPr>
          <w:color w:val="000000"/>
          <w:lang w:eastAsia="tr-TR"/>
        </w:rPr>
        <w:t>Cronbach</w:t>
      </w:r>
      <w:proofErr w:type="spellEnd"/>
      <w:r w:rsidRPr="00B976F3">
        <w:rPr>
          <w:color w:val="000000"/>
          <w:lang w:eastAsia="tr-TR"/>
        </w:rPr>
        <w:t xml:space="preserve"> </w:t>
      </w:r>
      <w:proofErr w:type="spellStart"/>
      <w:r w:rsidRPr="00B976F3">
        <w:rPr>
          <w:color w:val="000000"/>
          <w:lang w:eastAsia="tr-TR"/>
        </w:rPr>
        <w:t>alpha</w:t>
      </w:r>
      <w:proofErr w:type="spellEnd"/>
      <w:r w:rsidRPr="00B976F3">
        <w:rPr>
          <w:color w:val="000000"/>
          <w:lang w:eastAsia="tr-TR"/>
        </w:rPr>
        <w:t xml:space="preserve">, KMO, </w:t>
      </w:r>
      <w:proofErr w:type="spellStart"/>
      <w:r w:rsidRPr="00B976F3">
        <w:rPr>
          <w:color w:val="000000"/>
          <w:lang w:eastAsia="tr-TR"/>
        </w:rPr>
        <w:t>Bartlett</w:t>
      </w:r>
      <w:proofErr w:type="spellEnd"/>
      <w:r w:rsidRPr="00B976F3">
        <w:rPr>
          <w:color w:val="000000"/>
          <w:lang w:eastAsia="tr-TR"/>
        </w:rPr>
        <w:t xml:space="preserve"> anlamlılık testi uygulanmış elde edilen değerlerin yeterli olduğu görülmüştür. Doğrulayıcı faktör analizi için RMSEA, SRMR, CFI, AGFI değerlerine bakılmış, elde </w:t>
      </w:r>
      <w:r w:rsidRPr="00B976F3">
        <w:rPr>
          <w:color w:val="000000"/>
          <w:lang w:eastAsia="tr-TR"/>
        </w:rPr>
        <w:lastRenderedPageBreak/>
        <w:t xml:space="preserve">edilen değerlerin yeterli olduğu görülmüştür. STEM motivasyon ölçeğini oluşturan alt boyutlar arasında </w:t>
      </w:r>
      <w:r w:rsidR="001707BF">
        <w:rPr>
          <w:color w:val="000000"/>
          <w:lang w:eastAsia="tr-TR"/>
        </w:rPr>
        <w:t xml:space="preserve">ve bu boyutlarında kendi arasında </w:t>
      </w:r>
      <w:proofErr w:type="spellStart"/>
      <w:r w:rsidRPr="00B976F3">
        <w:rPr>
          <w:color w:val="000000"/>
          <w:lang w:eastAsia="tr-TR"/>
        </w:rPr>
        <w:t>kolerasyon</w:t>
      </w:r>
      <w:proofErr w:type="spellEnd"/>
      <w:r w:rsidRPr="00B976F3">
        <w:rPr>
          <w:color w:val="000000"/>
          <w:lang w:eastAsia="tr-TR"/>
        </w:rPr>
        <w:t xml:space="preserve"> analizi yapılmıştır. </w:t>
      </w:r>
      <w:proofErr w:type="spellStart"/>
      <w:r w:rsidR="001707BF">
        <w:rPr>
          <w:color w:val="000000"/>
          <w:lang w:eastAsia="tr-TR"/>
        </w:rPr>
        <w:t>Kolerasyon</w:t>
      </w:r>
      <w:proofErr w:type="spellEnd"/>
      <w:r w:rsidR="001707BF">
        <w:rPr>
          <w:color w:val="000000"/>
          <w:lang w:eastAsia="tr-TR"/>
        </w:rPr>
        <w:t xml:space="preserve"> analizlerinde boyutlar arasında anlamlı bir farklılık olduğu görülmüştür. </w:t>
      </w:r>
      <w:r w:rsidR="00324186" w:rsidRPr="00324186">
        <w:rPr>
          <w:color w:val="000000"/>
          <w:lang w:eastAsia="tr-TR"/>
        </w:rPr>
        <w:t>Ölçek maddelerinin uyarlamasının yapmak için öncelikle güvenirlik analizi yapılmış, üç maddenin güvenirlik katsayılarının düşük olması nedeniyle ölçekten çıkarılması uygun görülmüştür</w:t>
      </w:r>
      <w:r w:rsidR="00324186">
        <w:rPr>
          <w:color w:val="000000"/>
          <w:lang w:eastAsia="tr-TR"/>
        </w:rPr>
        <w:t xml:space="preserve">. </w:t>
      </w:r>
      <w:r w:rsidRPr="00B976F3">
        <w:rPr>
          <w:color w:val="000000"/>
          <w:lang w:eastAsia="tr-TR"/>
        </w:rPr>
        <w:t xml:space="preserve">Bilim, Teknoloji, Mühendislik ve matematik boyutları ile STEM motivasyon tümü arasında pozitif yönde güçlü bir </w:t>
      </w:r>
      <w:proofErr w:type="spellStart"/>
      <w:r w:rsidRPr="00B976F3">
        <w:rPr>
          <w:color w:val="000000"/>
          <w:lang w:eastAsia="tr-TR"/>
        </w:rPr>
        <w:t>kolerasyon</w:t>
      </w:r>
      <w:proofErr w:type="spellEnd"/>
      <w:r w:rsidRPr="00B976F3">
        <w:rPr>
          <w:color w:val="000000"/>
          <w:lang w:eastAsia="tr-TR"/>
        </w:rPr>
        <w:t xml:space="preserve"> olduğu görülüştür. Elde edilen sonuçlar STEM motivasyon ölçeğinin</w:t>
      </w:r>
      <w:r w:rsidR="001707BF">
        <w:rPr>
          <w:color w:val="000000"/>
          <w:lang w:eastAsia="tr-TR"/>
        </w:rPr>
        <w:t>,</w:t>
      </w:r>
      <w:r w:rsidRPr="00B976F3">
        <w:rPr>
          <w:color w:val="000000"/>
          <w:lang w:eastAsia="tr-TR"/>
        </w:rPr>
        <w:t xml:space="preserve"> ortaokul öğrencilerine yönelik motivasyon çalışmalarında kullanılabilecek geçerli ve güvenilir bir araç olduğuna işaret etmektedir (EK-1).</w:t>
      </w:r>
    </w:p>
    <w:p w:rsidR="00E57E0E" w:rsidRPr="00B976F3" w:rsidRDefault="00E57E0E" w:rsidP="00B976F3">
      <w:pPr>
        <w:autoSpaceDE w:val="0"/>
        <w:autoSpaceDN w:val="0"/>
        <w:adjustRightInd w:val="0"/>
        <w:spacing w:line="360" w:lineRule="auto"/>
        <w:ind w:firstLine="709"/>
        <w:jc w:val="both"/>
        <w:rPr>
          <w:color w:val="000000"/>
          <w:lang w:eastAsia="tr-TR"/>
        </w:rPr>
      </w:pPr>
      <w:r w:rsidRPr="00E57E0E">
        <w:rPr>
          <w:color w:val="000000"/>
          <w:lang w:eastAsia="tr-TR"/>
        </w:rPr>
        <w:t xml:space="preserve">Ölçek, öğrencilerin </w:t>
      </w:r>
      <w:r>
        <w:rPr>
          <w:color w:val="000000"/>
          <w:lang w:eastAsia="tr-TR"/>
        </w:rPr>
        <w:t xml:space="preserve">ders içi ve ders dışı zamanlarda </w:t>
      </w:r>
      <w:r w:rsidRPr="00E57E0E">
        <w:rPr>
          <w:color w:val="000000"/>
          <w:lang w:eastAsia="tr-TR"/>
        </w:rPr>
        <w:t xml:space="preserve">STEM ile ilgili şeyler yapmak için </w:t>
      </w:r>
      <w:r>
        <w:rPr>
          <w:color w:val="000000"/>
          <w:lang w:eastAsia="tr-TR"/>
        </w:rPr>
        <w:t>devam eden motivasyonlarını</w:t>
      </w:r>
      <w:r w:rsidRPr="00E57E0E">
        <w:rPr>
          <w:color w:val="000000"/>
          <w:lang w:eastAsia="tr-TR"/>
        </w:rPr>
        <w:t xml:space="preserve"> ve kariyer ilgi alanları</w:t>
      </w:r>
      <w:r>
        <w:rPr>
          <w:color w:val="000000"/>
          <w:lang w:eastAsia="tr-TR"/>
        </w:rPr>
        <w:t xml:space="preserve">na yönelik </w:t>
      </w:r>
      <w:r w:rsidRPr="00E57E0E">
        <w:rPr>
          <w:color w:val="000000"/>
          <w:lang w:eastAsia="tr-TR"/>
        </w:rPr>
        <w:t>seçimler</w:t>
      </w:r>
      <w:r>
        <w:rPr>
          <w:color w:val="000000"/>
          <w:lang w:eastAsia="tr-TR"/>
        </w:rPr>
        <w:t xml:space="preserve">ini </w:t>
      </w:r>
      <w:r w:rsidRPr="00E57E0E">
        <w:rPr>
          <w:color w:val="000000"/>
          <w:lang w:eastAsia="tr-TR"/>
        </w:rPr>
        <w:t xml:space="preserve">keşfetmeye yardımcı olabilir. </w:t>
      </w:r>
      <w:r>
        <w:rPr>
          <w:color w:val="000000"/>
          <w:lang w:eastAsia="tr-TR"/>
        </w:rPr>
        <w:t>Sınıf seviyelerinde STEM alanlarına yönelik devam eden motivasyonların ya da cinsiyet faktörüne yönelik motivasyon çalışmalarında kullanılabilir.</w:t>
      </w:r>
    </w:p>
    <w:p w:rsidR="00604FE0" w:rsidRDefault="00B976F3" w:rsidP="00E57E0E">
      <w:pPr>
        <w:autoSpaceDE w:val="0"/>
        <w:autoSpaceDN w:val="0"/>
        <w:adjustRightInd w:val="0"/>
        <w:spacing w:line="360" w:lineRule="auto"/>
        <w:ind w:firstLine="709"/>
        <w:jc w:val="both"/>
        <w:rPr>
          <w:color w:val="000000"/>
          <w:lang w:eastAsia="tr-TR"/>
        </w:rPr>
      </w:pPr>
      <w:r w:rsidRPr="00B976F3">
        <w:rPr>
          <w:color w:val="000000"/>
          <w:lang w:eastAsia="tr-TR"/>
        </w:rPr>
        <w:t>Öğrencilerin STEM alanlarına yönelik içeriklere ulaşması öğrencilerin hem STEM okuryazarlığına ilişkin bilgi ve becerilerinin geliş</w:t>
      </w:r>
      <w:r w:rsidR="000934FD">
        <w:rPr>
          <w:color w:val="000000"/>
          <w:lang w:eastAsia="tr-TR"/>
        </w:rPr>
        <w:t>i</w:t>
      </w:r>
      <w:r w:rsidRPr="00B976F3">
        <w:rPr>
          <w:color w:val="000000"/>
          <w:lang w:eastAsia="tr-TR"/>
        </w:rPr>
        <w:t>mine katkı sunacak hem</w:t>
      </w:r>
      <w:r w:rsidR="000934FD">
        <w:rPr>
          <w:color w:val="000000"/>
          <w:lang w:eastAsia="tr-TR"/>
        </w:rPr>
        <w:t xml:space="preserve"> </w:t>
      </w:r>
      <w:r w:rsidRPr="00B976F3">
        <w:rPr>
          <w:color w:val="000000"/>
          <w:lang w:eastAsia="tr-TR"/>
        </w:rPr>
        <w:t xml:space="preserve">de STEM alanlarına yönelik kariyer devamlılığının oluşmasına katkı sağlayacaktır. STEM eğitiminin amaçlarına ulaşmasında motivasyon önemli bir faktör olduğu görülmektedir. Dolayısıyla STEM alanlarında öğrencilerin motivasyonlarının ölçülmesi hem akademik içeriğe katkı sunacak hem de eğiticilere öğrencilerinin motivasyonları hakkında bilgi verecektir. </w:t>
      </w:r>
    </w:p>
    <w:p w:rsidR="00E57E0E" w:rsidRPr="00B976F3" w:rsidRDefault="00E57E0E" w:rsidP="00E57E0E">
      <w:pPr>
        <w:autoSpaceDE w:val="0"/>
        <w:autoSpaceDN w:val="0"/>
        <w:adjustRightInd w:val="0"/>
        <w:spacing w:line="360" w:lineRule="auto"/>
        <w:ind w:firstLine="709"/>
        <w:jc w:val="both"/>
        <w:rPr>
          <w:color w:val="000000"/>
          <w:lang w:eastAsia="tr-TR"/>
        </w:rPr>
      </w:pPr>
    </w:p>
    <w:p w:rsidR="00451A8E" w:rsidRPr="00451A8E" w:rsidRDefault="00451A8E" w:rsidP="00451A8E">
      <w:pPr>
        <w:shd w:val="clear" w:color="auto" w:fill="FFFFFF"/>
        <w:spacing w:line="360" w:lineRule="auto"/>
        <w:contextualSpacing/>
        <w:jc w:val="center"/>
        <w:textAlignment w:val="baseline"/>
        <w:rPr>
          <w:rFonts w:eastAsia="Times New Roman"/>
          <w:b/>
          <w:bCs/>
          <w:color w:val="000000"/>
          <w:bdr w:val="none" w:sz="0" w:space="0" w:color="auto" w:frame="1"/>
          <w:lang w:eastAsia="tr-TR"/>
        </w:rPr>
      </w:pPr>
      <w:r w:rsidRPr="0064541B">
        <w:rPr>
          <w:b/>
        </w:rPr>
        <w:t>Makalenin Bilimdeki Konumu</w:t>
      </w:r>
    </w:p>
    <w:p w:rsidR="00451A8E" w:rsidRPr="00451A8E" w:rsidRDefault="006355EC" w:rsidP="00F76AE8">
      <w:pPr>
        <w:shd w:val="clear" w:color="auto" w:fill="FFFFFF"/>
        <w:spacing w:line="360" w:lineRule="auto"/>
        <w:contextualSpacing/>
        <w:textAlignment w:val="baseline"/>
        <w:rPr>
          <w:rFonts w:eastAsia="Times New Roman"/>
          <w:bCs/>
          <w:color w:val="000000"/>
          <w:bdr w:val="none" w:sz="0" w:space="0" w:color="auto" w:frame="1"/>
          <w:lang w:eastAsia="tr-TR"/>
        </w:rPr>
      </w:pPr>
      <w:r>
        <w:rPr>
          <w:rFonts w:eastAsia="Times New Roman"/>
          <w:bCs/>
          <w:color w:val="000000"/>
          <w:bdr w:val="none" w:sz="0" w:space="0" w:color="auto" w:frame="1"/>
          <w:lang w:eastAsia="tr-TR"/>
        </w:rPr>
        <w:t>STEM</w:t>
      </w:r>
      <w:r w:rsidR="00451A8E" w:rsidRPr="00451A8E">
        <w:rPr>
          <w:rFonts w:eastAsia="Times New Roman"/>
          <w:bCs/>
          <w:color w:val="000000"/>
          <w:bdr w:val="none" w:sz="0" w:space="0" w:color="auto" w:frame="1"/>
          <w:lang w:eastAsia="tr-TR"/>
        </w:rPr>
        <w:t xml:space="preserve"> Eğitimi/Fen Bilgisi Eğitimi</w:t>
      </w:r>
    </w:p>
    <w:p w:rsidR="00451A8E" w:rsidRPr="00451A8E" w:rsidRDefault="00451A8E" w:rsidP="00451A8E">
      <w:pPr>
        <w:shd w:val="clear" w:color="auto" w:fill="FFFFFF"/>
        <w:spacing w:line="360" w:lineRule="auto"/>
        <w:contextualSpacing/>
        <w:jc w:val="center"/>
        <w:textAlignment w:val="baseline"/>
        <w:rPr>
          <w:rFonts w:eastAsia="Times New Roman"/>
          <w:b/>
          <w:bCs/>
          <w:color w:val="000000"/>
          <w:bdr w:val="none" w:sz="0" w:space="0" w:color="auto" w:frame="1"/>
          <w:lang w:eastAsia="tr-TR"/>
        </w:rPr>
      </w:pPr>
      <w:r w:rsidRPr="0064541B">
        <w:rPr>
          <w:b/>
        </w:rPr>
        <w:t>Makalenin Bilimdeki Özgünlüğü</w:t>
      </w:r>
    </w:p>
    <w:p w:rsidR="00451A8E" w:rsidRPr="006355EC" w:rsidRDefault="006355EC" w:rsidP="00857DD5">
      <w:pPr>
        <w:spacing w:line="360" w:lineRule="auto"/>
        <w:ind w:firstLine="708"/>
        <w:jc w:val="both"/>
      </w:pPr>
      <w:r w:rsidRPr="00B976F3">
        <w:t xml:space="preserve">Öğrencilerin </w:t>
      </w:r>
      <w:proofErr w:type="spellStart"/>
      <w:r w:rsidRPr="00B976F3">
        <w:t>STEM'e</w:t>
      </w:r>
      <w:proofErr w:type="spellEnd"/>
      <w:r w:rsidRPr="00B976F3">
        <w:t xml:space="preserve"> </w:t>
      </w:r>
      <w:r w:rsidR="00857DD5">
        <w:t xml:space="preserve">yönelik devam eden </w:t>
      </w:r>
      <w:r w:rsidRPr="00B976F3">
        <w:t>motivasyonlarını ve katılımlarını artırmak için, STEM öğrenme ortamında hangi faktörlerin destekleyebileceğini araştırmak önemlidir. Ancak her yeni kavram beraberinde o kavramın nasıl ölçüleceği konusunda bir tartışma getirir. Ülkemiz</w:t>
      </w:r>
      <w:r w:rsidR="00857DD5">
        <w:t xml:space="preserve"> ölçeğinde</w:t>
      </w:r>
      <w:r w:rsidRPr="00B976F3">
        <w:t xml:space="preserve"> STEM motivasyon ile ilgili çalışma bulunmaması özellikle öğrencilerin STEM motivasyonlarının araştırılması için bir ölçek uyarlama çalışması literatürdeki eksikliğe katkı sağlayacağı düşünülmektedir. Bu </w:t>
      </w:r>
      <w:r w:rsidRPr="00B976F3">
        <w:lastRenderedPageBreak/>
        <w:t>araştırma</w:t>
      </w:r>
      <w:r>
        <w:t>da</w:t>
      </w:r>
      <w:r w:rsidRPr="00B976F3">
        <w:t xml:space="preserve"> </w:t>
      </w:r>
      <w:proofErr w:type="spellStart"/>
      <w:r w:rsidRPr="00B976F3">
        <w:t>Luo</w:t>
      </w:r>
      <w:proofErr w:type="spellEnd"/>
      <w:r w:rsidRPr="00B976F3">
        <w:t xml:space="preserve">, </w:t>
      </w:r>
      <w:proofErr w:type="spellStart"/>
      <w:r w:rsidRPr="00B976F3">
        <w:t>Wang</w:t>
      </w:r>
      <w:proofErr w:type="spellEnd"/>
      <w:r w:rsidRPr="00B976F3">
        <w:t xml:space="preserve">, </w:t>
      </w:r>
      <w:proofErr w:type="spellStart"/>
      <w:r w:rsidRPr="00B976F3">
        <w:t>Liu</w:t>
      </w:r>
      <w:proofErr w:type="spellEnd"/>
      <w:r w:rsidRPr="006355EC">
        <w:t xml:space="preserve"> </w:t>
      </w:r>
      <w:r w:rsidRPr="00B976F3">
        <w:t xml:space="preserve">&amp; </w:t>
      </w:r>
      <w:proofErr w:type="spellStart"/>
      <w:r w:rsidRPr="00B976F3">
        <w:t>Zhou</w:t>
      </w:r>
      <w:proofErr w:type="spellEnd"/>
      <w:r w:rsidRPr="006355EC">
        <w:t xml:space="preserve"> </w:t>
      </w:r>
      <w:r w:rsidRPr="00B976F3">
        <w:t>(2019) tarafından geliştirilen STEM motivasyon ölçeğinin Türkçeye uyarlanmasını yaparak geçerlik ve güvenirlik çalışması</w:t>
      </w:r>
      <w:r>
        <w:t xml:space="preserve"> yapılmıştır.</w:t>
      </w:r>
      <w:r w:rsidRPr="006355EC">
        <w:rPr>
          <w:color w:val="000000"/>
          <w:lang w:eastAsia="tr-TR"/>
        </w:rPr>
        <w:t xml:space="preserve"> </w:t>
      </w:r>
      <w:r w:rsidRPr="00B976F3">
        <w:t xml:space="preserve">Elde edilen sonuçlar STEM motivasyon ölçeğinin ortaokul öğrencilerine yönelik </w:t>
      </w:r>
      <w:r w:rsidR="00857DD5">
        <w:t xml:space="preserve">devam eden </w:t>
      </w:r>
      <w:r w:rsidRPr="00B976F3">
        <w:t xml:space="preserve">motivasyon alanları </w:t>
      </w:r>
      <w:r w:rsidR="00857DD5">
        <w:t xml:space="preserve">için </w:t>
      </w:r>
      <w:r w:rsidRPr="00B976F3">
        <w:t>kullanılabilecek geçerli ve güvenilir bir araç olduğuna işaret etmektedir Öğrencilerin STEM alanlarına yönelik içeriklere ulaşması öğrencilerin hem STEM okuryazarlığına ilişkin bilgi ve becerilerinin geliş</w:t>
      </w:r>
      <w:r w:rsidR="000934FD">
        <w:t>i</w:t>
      </w:r>
      <w:r w:rsidRPr="00B976F3">
        <w:t>mine katkı sunacak hem</w:t>
      </w:r>
      <w:r w:rsidR="000934FD">
        <w:t xml:space="preserve"> </w:t>
      </w:r>
      <w:r w:rsidRPr="00B976F3">
        <w:t>de STEM alanlarına yönelik kariyer devamlılığının oluşmasına katkı sağlayacaktır.</w:t>
      </w:r>
    </w:p>
    <w:p w:rsidR="006527FB" w:rsidRDefault="006527FB" w:rsidP="00F76AE8">
      <w:pPr>
        <w:rPr>
          <w:b/>
        </w:rPr>
      </w:pPr>
    </w:p>
    <w:p w:rsidR="00E7114C" w:rsidRDefault="00E7114C" w:rsidP="00F76AE8">
      <w:pPr>
        <w:rPr>
          <w:b/>
        </w:rPr>
      </w:pPr>
    </w:p>
    <w:p w:rsidR="00E7114C" w:rsidRDefault="00E7114C" w:rsidP="00F76AE8">
      <w:pPr>
        <w:rPr>
          <w:b/>
        </w:rPr>
      </w:pPr>
    </w:p>
    <w:p w:rsidR="00E7114C" w:rsidRDefault="00E7114C" w:rsidP="00F76AE8">
      <w:pPr>
        <w:rPr>
          <w:b/>
        </w:rPr>
      </w:pPr>
    </w:p>
    <w:p w:rsidR="00E7114C" w:rsidRDefault="00E7114C" w:rsidP="00F76AE8">
      <w:pPr>
        <w:rPr>
          <w:b/>
        </w:rPr>
      </w:pPr>
    </w:p>
    <w:p w:rsidR="00E7114C" w:rsidRDefault="00E7114C" w:rsidP="00F76AE8">
      <w:pPr>
        <w:rPr>
          <w:b/>
        </w:rPr>
      </w:pPr>
    </w:p>
    <w:p w:rsidR="00E7114C" w:rsidRDefault="00E7114C" w:rsidP="00F76AE8">
      <w:pPr>
        <w:rPr>
          <w:b/>
        </w:rPr>
      </w:pPr>
    </w:p>
    <w:p w:rsidR="00E7114C" w:rsidRDefault="00E7114C" w:rsidP="00F76AE8">
      <w:pPr>
        <w:rPr>
          <w:b/>
        </w:rPr>
      </w:pPr>
    </w:p>
    <w:p w:rsidR="00E7114C" w:rsidRDefault="00E7114C" w:rsidP="00F76AE8">
      <w:pPr>
        <w:rPr>
          <w:b/>
        </w:rPr>
      </w:pPr>
    </w:p>
    <w:p w:rsidR="00E7114C" w:rsidRDefault="00E7114C" w:rsidP="00F76AE8">
      <w:pPr>
        <w:rPr>
          <w:b/>
        </w:rPr>
      </w:pPr>
    </w:p>
    <w:p w:rsidR="00E7114C" w:rsidRDefault="00E7114C" w:rsidP="00F76AE8">
      <w:pPr>
        <w:rPr>
          <w:b/>
        </w:rPr>
      </w:pPr>
    </w:p>
    <w:p w:rsidR="00E7114C" w:rsidRDefault="00E7114C" w:rsidP="00F76AE8">
      <w:pPr>
        <w:rPr>
          <w:b/>
        </w:rPr>
      </w:pPr>
    </w:p>
    <w:p w:rsidR="00E7114C" w:rsidRDefault="00E7114C" w:rsidP="00F76AE8">
      <w:pPr>
        <w:rPr>
          <w:b/>
        </w:rPr>
      </w:pPr>
    </w:p>
    <w:p w:rsidR="00E7114C" w:rsidRDefault="00E7114C" w:rsidP="00F76AE8">
      <w:pPr>
        <w:rPr>
          <w:b/>
        </w:rPr>
      </w:pPr>
    </w:p>
    <w:p w:rsidR="00E7114C" w:rsidRDefault="00E7114C" w:rsidP="00F76AE8">
      <w:pPr>
        <w:rPr>
          <w:b/>
        </w:rPr>
      </w:pPr>
    </w:p>
    <w:p w:rsidR="00E7114C" w:rsidRDefault="00E7114C" w:rsidP="00F76AE8">
      <w:pPr>
        <w:rPr>
          <w:b/>
        </w:rPr>
      </w:pPr>
    </w:p>
    <w:p w:rsidR="00E7114C" w:rsidRDefault="00E7114C" w:rsidP="00F76AE8">
      <w:pPr>
        <w:rPr>
          <w:b/>
        </w:rPr>
      </w:pPr>
    </w:p>
    <w:p w:rsidR="00E7114C" w:rsidRDefault="00E7114C" w:rsidP="00F76AE8">
      <w:pPr>
        <w:rPr>
          <w:b/>
        </w:rPr>
      </w:pPr>
    </w:p>
    <w:p w:rsidR="00E7114C" w:rsidRDefault="00E7114C" w:rsidP="00F76AE8">
      <w:pPr>
        <w:rPr>
          <w:b/>
        </w:rPr>
      </w:pPr>
    </w:p>
    <w:p w:rsidR="00E7114C" w:rsidRDefault="00E7114C" w:rsidP="00F76AE8">
      <w:pPr>
        <w:rPr>
          <w:b/>
        </w:rPr>
      </w:pPr>
    </w:p>
    <w:p w:rsidR="00E7114C" w:rsidRDefault="00E7114C" w:rsidP="00F76AE8">
      <w:pPr>
        <w:rPr>
          <w:b/>
        </w:rPr>
      </w:pPr>
    </w:p>
    <w:p w:rsidR="00E7114C" w:rsidRDefault="00E7114C" w:rsidP="00F76AE8">
      <w:pPr>
        <w:rPr>
          <w:b/>
        </w:rPr>
      </w:pPr>
    </w:p>
    <w:p w:rsidR="00E7114C" w:rsidRDefault="00E7114C" w:rsidP="00F76AE8">
      <w:pPr>
        <w:rPr>
          <w:b/>
        </w:rPr>
      </w:pPr>
    </w:p>
    <w:p w:rsidR="00E7114C" w:rsidRDefault="00E7114C" w:rsidP="00F76AE8">
      <w:pPr>
        <w:rPr>
          <w:b/>
        </w:rPr>
      </w:pPr>
    </w:p>
    <w:p w:rsidR="00E7114C" w:rsidRDefault="00E7114C" w:rsidP="00F76AE8">
      <w:pPr>
        <w:rPr>
          <w:b/>
        </w:rPr>
      </w:pPr>
    </w:p>
    <w:p w:rsidR="00E7114C" w:rsidRDefault="00E7114C" w:rsidP="00F76AE8">
      <w:pPr>
        <w:rPr>
          <w:b/>
        </w:rPr>
      </w:pPr>
    </w:p>
    <w:p w:rsidR="00E7114C" w:rsidRDefault="00E7114C" w:rsidP="00F76AE8">
      <w:pPr>
        <w:rPr>
          <w:b/>
        </w:rPr>
      </w:pPr>
    </w:p>
    <w:p w:rsidR="00E7114C" w:rsidRDefault="00E7114C" w:rsidP="00F76AE8">
      <w:pPr>
        <w:rPr>
          <w:b/>
        </w:rPr>
      </w:pPr>
    </w:p>
    <w:p w:rsidR="00E7114C" w:rsidRDefault="00E7114C" w:rsidP="00F76AE8">
      <w:pPr>
        <w:rPr>
          <w:b/>
        </w:rPr>
      </w:pPr>
    </w:p>
    <w:p w:rsidR="00E7114C" w:rsidRDefault="00E7114C" w:rsidP="00F76AE8">
      <w:pPr>
        <w:rPr>
          <w:b/>
        </w:rPr>
      </w:pPr>
    </w:p>
    <w:p w:rsidR="00E7114C" w:rsidRDefault="00E7114C" w:rsidP="00F76AE8">
      <w:pPr>
        <w:rPr>
          <w:b/>
        </w:rPr>
      </w:pPr>
    </w:p>
    <w:p w:rsidR="00E7114C" w:rsidRDefault="00E7114C" w:rsidP="00F76AE8">
      <w:pPr>
        <w:rPr>
          <w:b/>
        </w:rPr>
      </w:pPr>
    </w:p>
    <w:p w:rsidR="00E7114C" w:rsidRDefault="00E7114C" w:rsidP="00F76AE8">
      <w:pPr>
        <w:rPr>
          <w:b/>
        </w:rPr>
      </w:pPr>
    </w:p>
    <w:p w:rsidR="00E7114C" w:rsidRDefault="00E7114C" w:rsidP="00F76AE8">
      <w:pPr>
        <w:rPr>
          <w:b/>
        </w:rPr>
      </w:pPr>
    </w:p>
    <w:p w:rsidR="00E7114C" w:rsidRDefault="00E7114C" w:rsidP="00F76AE8">
      <w:pPr>
        <w:rPr>
          <w:b/>
        </w:rPr>
      </w:pPr>
    </w:p>
    <w:p w:rsidR="00E7114C" w:rsidRDefault="00E7114C" w:rsidP="00F76AE8">
      <w:pPr>
        <w:rPr>
          <w:b/>
        </w:rPr>
      </w:pPr>
    </w:p>
    <w:p w:rsidR="00E7114C" w:rsidRDefault="00E7114C" w:rsidP="00F76AE8">
      <w:pPr>
        <w:rPr>
          <w:b/>
        </w:rPr>
      </w:pPr>
    </w:p>
    <w:p w:rsidR="00E7114C" w:rsidRDefault="00E7114C" w:rsidP="00F76AE8">
      <w:pPr>
        <w:rPr>
          <w:b/>
        </w:rPr>
      </w:pPr>
    </w:p>
    <w:p w:rsidR="00E7114C" w:rsidRDefault="00E7114C" w:rsidP="00F76AE8">
      <w:pPr>
        <w:rPr>
          <w:b/>
        </w:rPr>
      </w:pPr>
    </w:p>
    <w:p w:rsidR="00E7114C" w:rsidRDefault="00E7114C" w:rsidP="00F76AE8">
      <w:pPr>
        <w:rPr>
          <w:b/>
        </w:rPr>
      </w:pPr>
    </w:p>
    <w:p w:rsidR="00451A8E" w:rsidRDefault="006527FB" w:rsidP="00451A8E">
      <w:pPr>
        <w:spacing w:line="360" w:lineRule="auto"/>
        <w:jc w:val="center"/>
        <w:rPr>
          <w:b/>
        </w:rPr>
      </w:pPr>
      <w:r w:rsidRPr="00497750">
        <w:rPr>
          <w:b/>
        </w:rPr>
        <w:t>K</w:t>
      </w:r>
      <w:r>
        <w:rPr>
          <w:b/>
        </w:rPr>
        <w:t>aynaklar</w:t>
      </w:r>
    </w:p>
    <w:p w:rsidR="006355EC" w:rsidRPr="006355EC" w:rsidRDefault="006355EC" w:rsidP="006355EC">
      <w:pPr>
        <w:pStyle w:val="DzMetin"/>
        <w:spacing w:before="60" w:beforeAutospacing="0" w:after="60" w:afterAutospacing="0" w:line="360" w:lineRule="auto"/>
        <w:ind w:left="567" w:right="-2" w:hanging="567"/>
        <w:jc w:val="both"/>
        <w:rPr>
          <w:color w:val="auto"/>
          <w:lang w:val="en-US" w:eastAsia="en-US"/>
        </w:rPr>
      </w:pPr>
      <w:r w:rsidRPr="006355EC">
        <w:rPr>
          <w:color w:val="auto"/>
          <w:lang w:val="en-US" w:eastAsia="en-US"/>
        </w:rPr>
        <w:t xml:space="preserve">Abraham, J., &amp; Barker, K. (2014). Sustaining young people’s enrolment intentions in relation to Physics: Development and validation of a tool. </w:t>
      </w:r>
      <w:r w:rsidRPr="006355EC">
        <w:rPr>
          <w:i/>
          <w:iCs/>
          <w:color w:val="auto"/>
          <w:lang w:val="en-US" w:eastAsia="en-US"/>
        </w:rPr>
        <w:t>Australian Journal of Educational &amp; Developmental Psychology, 14</w:t>
      </w:r>
      <w:r w:rsidRPr="006355EC">
        <w:rPr>
          <w:color w:val="auto"/>
          <w:lang w:val="en-US" w:eastAsia="en-US"/>
        </w:rPr>
        <w:t>, 93–116.</w:t>
      </w:r>
    </w:p>
    <w:p w:rsidR="006355EC" w:rsidRPr="006355EC" w:rsidRDefault="006355EC" w:rsidP="006355EC">
      <w:pPr>
        <w:tabs>
          <w:tab w:val="left" w:pos="1620"/>
        </w:tabs>
        <w:autoSpaceDE w:val="0"/>
        <w:autoSpaceDN w:val="0"/>
        <w:adjustRightInd w:val="0"/>
        <w:spacing w:before="60" w:after="60" w:line="360" w:lineRule="auto"/>
        <w:ind w:left="567" w:right="-2" w:hanging="567"/>
        <w:jc w:val="both"/>
        <w:rPr>
          <w:lang w:eastAsia="tr-TR"/>
        </w:rPr>
      </w:pPr>
      <w:r w:rsidRPr="006355EC">
        <w:rPr>
          <w:lang w:eastAsia="tr-TR"/>
        </w:rPr>
        <w:t xml:space="preserve">Akgündüz, D., Aydeniz, M., Çakmakçı, G., </w:t>
      </w:r>
      <w:proofErr w:type="spellStart"/>
      <w:r w:rsidRPr="006355EC">
        <w:rPr>
          <w:lang w:eastAsia="tr-TR"/>
        </w:rPr>
        <w:t>Çavaş</w:t>
      </w:r>
      <w:proofErr w:type="spellEnd"/>
      <w:r w:rsidRPr="006355EC">
        <w:rPr>
          <w:lang w:eastAsia="tr-TR"/>
        </w:rPr>
        <w:t xml:space="preserve">, B., Çorlu, M., Öner, T., &amp; Özdemir, S. (2015). </w:t>
      </w:r>
      <w:r w:rsidRPr="006355EC">
        <w:rPr>
          <w:i/>
          <w:iCs/>
          <w:lang w:eastAsia="tr-TR"/>
        </w:rPr>
        <w:t>STEM E</w:t>
      </w:r>
      <w:r w:rsidRPr="006355EC">
        <w:rPr>
          <w:rFonts w:hint="eastAsia"/>
          <w:i/>
          <w:iCs/>
          <w:lang w:eastAsia="tr-TR"/>
        </w:rPr>
        <w:t>ğ</w:t>
      </w:r>
      <w:r w:rsidRPr="006355EC">
        <w:rPr>
          <w:i/>
          <w:iCs/>
          <w:lang w:eastAsia="tr-TR"/>
        </w:rPr>
        <w:t>itimi T</w:t>
      </w:r>
      <w:r w:rsidRPr="006355EC">
        <w:rPr>
          <w:rFonts w:hint="eastAsia"/>
          <w:i/>
          <w:iCs/>
          <w:lang w:eastAsia="tr-TR"/>
        </w:rPr>
        <w:t>ü</w:t>
      </w:r>
      <w:r w:rsidRPr="006355EC">
        <w:rPr>
          <w:i/>
          <w:iCs/>
          <w:lang w:eastAsia="tr-TR"/>
        </w:rPr>
        <w:t xml:space="preserve">rkiye Raporu: </w:t>
      </w:r>
      <w:r w:rsidRPr="006355EC">
        <w:rPr>
          <w:rFonts w:hint="eastAsia"/>
          <w:i/>
          <w:iCs/>
          <w:lang w:eastAsia="tr-TR"/>
        </w:rPr>
        <w:t>“</w:t>
      </w:r>
      <w:r w:rsidRPr="006355EC">
        <w:rPr>
          <w:i/>
          <w:iCs/>
          <w:lang w:eastAsia="tr-TR"/>
        </w:rPr>
        <w:t>G</w:t>
      </w:r>
      <w:r w:rsidRPr="006355EC">
        <w:rPr>
          <w:rFonts w:hint="eastAsia"/>
          <w:i/>
          <w:iCs/>
          <w:lang w:eastAsia="tr-TR"/>
        </w:rPr>
        <w:t>ü</w:t>
      </w:r>
      <w:r w:rsidRPr="006355EC">
        <w:rPr>
          <w:i/>
          <w:iCs/>
          <w:lang w:eastAsia="tr-TR"/>
        </w:rPr>
        <w:t>n</w:t>
      </w:r>
      <w:r w:rsidRPr="006355EC">
        <w:rPr>
          <w:rFonts w:hint="eastAsia"/>
          <w:i/>
          <w:iCs/>
          <w:lang w:eastAsia="tr-TR"/>
        </w:rPr>
        <w:t>ü</w:t>
      </w:r>
      <w:r w:rsidRPr="006355EC">
        <w:rPr>
          <w:i/>
          <w:iCs/>
          <w:lang w:eastAsia="tr-TR"/>
        </w:rPr>
        <w:t>m</w:t>
      </w:r>
      <w:r w:rsidRPr="006355EC">
        <w:rPr>
          <w:rFonts w:hint="eastAsia"/>
          <w:i/>
          <w:iCs/>
          <w:lang w:eastAsia="tr-TR"/>
        </w:rPr>
        <w:t>ü</w:t>
      </w:r>
      <w:r w:rsidRPr="006355EC">
        <w:rPr>
          <w:i/>
          <w:iCs/>
          <w:lang w:eastAsia="tr-TR"/>
        </w:rPr>
        <w:t>z Modas</w:t>
      </w:r>
      <w:r w:rsidRPr="006355EC">
        <w:rPr>
          <w:rFonts w:hint="eastAsia"/>
          <w:i/>
          <w:iCs/>
          <w:lang w:eastAsia="tr-TR"/>
        </w:rPr>
        <w:t>ı</w:t>
      </w:r>
      <w:r w:rsidRPr="006355EC">
        <w:rPr>
          <w:i/>
          <w:iCs/>
          <w:lang w:eastAsia="tr-TR"/>
        </w:rPr>
        <w:t xml:space="preserve"> m</w:t>
      </w:r>
      <w:r w:rsidRPr="006355EC">
        <w:rPr>
          <w:rFonts w:hint="eastAsia"/>
          <w:i/>
          <w:iCs/>
          <w:lang w:eastAsia="tr-TR"/>
        </w:rPr>
        <w:t>ı</w:t>
      </w:r>
      <w:r w:rsidRPr="006355EC">
        <w:rPr>
          <w:i/>
          <w:iCs/>
          <w:lang w:eastAsia="tr-TR"/>
        </w:rPr>
        <w:t xml:space="preserve"> Yoksa Gereksinim</w:t>
      </w:r>
      <w:r w:rsidRPr="006355EC">
        <w:rPr>
          <w:lang w:eastAsia="tr-TR"/>
        </w:rPr>
        <w:t xml:space="preserve"> </w:t>
      </w:r>
      <w:r w:rsidRPr="006355EC">
        <w:rPr>
          <w:i/>
          <w:iCs/>
          <w:lang w:eastAsia="tr-TR"/>
        </w:rPr>
        <w:t>mi?</w:t>
      </w:r>
      <w:r w:rsidRPr="006355EC">
        <w:rPr>
          <w:rFonts w:hint="eastAsia"/>
          <w:i/>
          <w:iCs/>
          <w:lang w:eastAsia="tr-TR"/>
        </w:rPr>
        <w:t>”</w:t>
      </w:r>
      <w:r w:rsidRPr="006355EC">
        <w:rPr>
          <w:lang w:eastAsia="tr-TR"/>
        </w:rPr>
        <w:t>. http://www.aydin.edu.tr/belgeler/IAU-STEM-Egitimi-Turkiye-Raporu-2015.pdf sayfasından erişilmiştir.</w:t>
      </w:r>
    </w:p>
    <w:p w:rsidR="006355EC" w:rsidRPr="006355EC" w:rsidRDefault="006355EC" w:rsidP="006355EC">
      <w:pPr>
        <w:tabs>
          <w:tab w:val="left" w:pos="1620"/>
        </w:tabs>
        <w:autoSpaceDE w:val="0"/>
        <w:autoSpaceDN w:val="0"/>
        <w:adjustRightInd w:val="0"/>
        <w:spacing w:before="60" w:after="60" w:line="360" w:lineRule="auto"/>
        <w:ind w:left="567" w:right="-2" w:hanging="567"/>
        <w:jc w:val="both"/>
        <w:rPr>
          <w:lang w:eastAsia="tr-TR"/>
        </w:rPr>
      </w:pPr>
      <w:proofErr w:type="spellStart"/>
      <w:r w:rsidRPr="006355EC">
        <w:rPr>
          <w:lang w:eastAsia="tr-TR"/>
        </w:rPr>
        <w:t>Auger</w:t>
      </w:r>
      <w:proofErr w:type="spellEnd"/>
      <w:r w:rsidRPr="006355EC">
        <w:rPr>
          <w:lang w:eastAsia="tr-TR"/>
        </w:rPr>
        <w:t xml:space="preserve">, R. W., </w:t>
      </w:r>
      <w:proofErr w:type="spellStart"/>
      <w:r w:rsidRPr="006355EC">
        <w:rPr>
          <w:lang w:eastAsia="tr-TR"/>
        </w:rPr>
        <w:t>Blackhurst</w:t>
      </w:r>
      <w:proofErr w:type="spellEnd"/>
      <w:r w:rsidRPr="006355EC">
        <w:rPr>
          <w:lang w:eastAsia="tr-TR"/>
        </w:rPr>
        <w:t xml:space="preserve">, A. &amp; </w:t>
      </w:r>
      <w:proofErr w:type="spellStart"/>
      <w:r w:rsidRPr="006355EC">
        <w:rPr>
          <w:lang w:eastAsia="tr-TR"/>
        </w:rPr>
        <w:t>Herting</w:t>
      </w:r>
      <w:proofErr w:type="spellEnd"/>
      <w:r w:rsidRPr="006355EC">
        <w:rPr>
          <w:lang w:eastAsia="tr-TR"/>
        </w:rPr>
        <w:t xml:space="preserve"> </w:t>
      </w:r>
      <w:proofErr w:type="spellStart"/>
      <w:r w:rsidRPr="006355EC">
        <w:rPr>
          <w:lang w:eastAsia="tr-TR"/>
        </w:rPr>
        <w:t>Wahl</w:t>
      </w:r>
      <w:proofErr w:type="spellEnd"/>
      <w:r w:rsidRPr="006355EC">
        <w:rPr>
          <w:lang w:eastAsia="tr-TR"/>
        </w:rPr>
        <w:t xml:space="preserve">, K. (2005). </w:t>
      </w:r>
      <w:proofErr w:type="spellStart"/>
      <w:r w:rsidRPr="006355EC">
        <w:rPr>
          <w:lang w:eastAsia="tr-TR"/>
        </w:rPr>
        <w:t>The</w:t>
      </w:r>
      <w:proofErr w:type="spellEnd"/>
      <w:r w:rsidRPr="006355EC">
        <w:rPr>
          <w:lang w:eastAsia="tr-TR"/>
        </w:rPr>
        <w:t xml:space="preserve"> </w:t>
      </w:r>
      <w:proofErr w:type="spellStart"/>
      <w:r w:rsidRPr="006355EC">
        <w:rPr>
          <w:lang w:eastAsia="tr-TR"/>
        </w:rPr>
        <w:t>development</w:t>
      </w:r>
      <w:proofErr w:type="spellEnd"/>
      <w:r w:rsidRPr="006355EC">
        <w:rPr>
          <w:lang w:eastAsia="tr-TR"/>
        </w:rPr>
        <w:t xml:space="preserve"> of </w:t>
      </w:r>
      <w:proofErr w:type="spellStart"/>
      <w:r w:rsidRPr="006355EC">
        <w:rPr>
          <w:lang w:eastAsia="tr-TR"/>
        </w:rPr>
        <w:t>elementaryaged</w:t>
      </w:r>
      <w:proofErr w:type="spellEnd"/>
      <w:r w:rsidRPr="006355EC">
        <w:rPr>
          <w:lang w:eastAsia="tr-TR"/>
        </w:rPr>
        <w:t xml:space="preserve"> </w:t>
      </w:r>
      <w:proofErr w:type="spellStart"/>
      <w:r w:rsidRPr="006355EC">
        <w:rPr>
          <w:lang w:eastAsia="tr-TR"/>
        </w:rPr>
        <w:t>children’s</w:t>
      </w:r>
      <w:proofErr w:type="spellEnd"/>
      <w:r w:rsidRPr="006355EC">
        <w:rPr>
          <w:lang w:eastAsia="tr-TR"/>
        </w:rPr>
        <w:t xml:space="preserve"> </w:t>
      </w:r>
      <w:proofErr w:type="spellStart"/>
      <w:r w:rsidRPr="006355EC">
        <w:rPr>
          <w:lang w:eastAsia="tr-TR"/>
        </w:rPr>
        <w:t>career</w:t>
      </w:r>
      <w:proofErr w:type="spellEnd"/>
      <w:r w:rsidRPr="006355EC">
        <w:rPr>
          <w:lang w:eastAsia="tr-TR"/>
        </w:rPr>
        <w:t xml:space="preserve"> </w:t>
      </w:r>
      <w:proofErr w:type="spellStart"/>
      <w:r w:rsidRPr="006355EC">
        <w:rPr>
          <w:lang w:eastAsia="tr-TR"/>
        </w:rPr>
        <w:t>aspirations</w:t>
      </w:r>
      <w:proofErr w:type="spellEnd"/>
      <w:r w:rsidRPr="006355EC">
        <w:rPr>
          <w:lang w:eastAsia="tr-TR"/>
        </w:rPr>
        <w:t xml:space="preserve"> </w:t>
      </w:r>
      <w:proofErr w:type="spellStart"/>
      <w:r w:rsidRPr="006355EC">
        <w:rPr>
          <w:lang w:eastAsia="tr-TR"/>
        </w:rPr>
        <w:t>and</w:t>
      </w:r>
      <w:proofErr w:type="spellEnd"/>
      <w:r w:rsidRPr="006355EC">
        <w:rPr>
          <w:lang w:eastAsia="tr-TR"/>
        </w:rPr>
        <w:t xml:space="preserve"> </w:t>
      </w:r>
      <w:proofErr w:type="spellStart"/>
      <w:r w:rsidRPr="006355EC">
        <w:rPr>
          <w:lang w:eastAsia="tr-TR"/>
        </w:rPr>
        <w:t>expectations</w:t>
      </w:r>
      <w:proofErr w:type="spellEnd"/>
      <w:r w:rsidRPr="006355EC">
        <w:rPr>
          <w:lang w:eastAsia="tr-TR"/>
        </w:rPr>
        <w:t xml:space="preserve">. </w:t>
      </w:r>
      <w:r w:rsidRPr="006355EC">
        <w:rPr>
          <w:i/>
          <w:iCs/>
          <w:lang w:eastAsia="tr-TR"/>
        </w:rPr>
        <w:t xml:space="preserve">Professional School </w:t>
      </w:r>
      <w:proofErr w:type="spellStart"/>
      <w:r w:rsidRPr="006355EC">
        <w:rPr>
          <w:i/>
          <w:iCs/>
          <w:lang w:eastAsia="tr-TR"/>
        </w:rPr>
        <w:t>Counseling</w:t>
      </w:r>
      <w:proofErr w:type="spellEnd"/>
      <w:r w:rsidRPr="006355EC">
        <w:rPr>
          <w:i/>
          <w:iCs/>
          <w:lang w:eastAsia="tr-TR"/>
        </w:rPr>
        <w:t>, 8</w:t>
      </w:r>
      <w:r w:rsidRPr="006355EC">
        <w:rPr>
          <w:lang w:eastAsia="tr-TR"/>
        </w:rPr>
        <w:t>(4), 322-329.</w:t>
      </w:r>
    </w:p>
    <w:p w:rsidR="006355EC" w:rsidRPr="006355EC" w:rsidRDefault="006355EC" w:rsidP="006355EC">
      <w:pPr>
        <w:tabs>
          <w:tab w:val="left" w:pos="1620"/>
        </w:tabs>
        <w:autoSpaceDE w:val="0"/>
        <w:autoSpaceDN w:val="0"/>
        <w:adjustRightInd w:val="0"/>
        <w:spacing w:before="60" w:after="60" w:line="360" w:lineRule="auto"/>
        <w:ind w:left="567" w:right="-2" w:hanging="567"/>
        <w:jc w:val="both"/>
        <w:rPr>
          <w:lang w:eastAsia="tr-TR"/>
        </w:rPr>
      </w:pPr>
      <w:proofErr w:type="spellStart"/>
      <w:r w:rsidRPr="006355EC">
        <w:rPr>
          <w:lang w:eastAsia="tr-TR"/>
        </w:rPr>
        <w:t>Baird</w:t>
      </w:r>
      <w:proofErr w:type="spellEnd"/>
      <w:r w:rsidRPr="006355EC">
        <w:rPr>
          <w:lang w:eastAsia="tr-TR"/>
        </w:rPr>
        <w:t xml:space="preserve"> J. R. &amp; </w:t>
      </w:r>
      <w:proofErr w:type="spellStart"/>
      <w:r w:rsidRPr="006355EC">
        <w:rPr>
          <w:lang w:eastAsia="tr-TR"/>
        </w:rPr>
        <w:t>Penna</w:t>
      </w:r>
      <w:proofErr w:type="spellEnd"/>
      <w:r w:rsidRPr="006355EC">
        <w:rPr>
          <w:lang w:eastAsia="tr-TR"/>
        </w:rPr>
        <w:t xml:space="preserve"> C. (1992). </w:t>
      </w:r>
      <w:proofErr w:type="spellStart"/>
      <w:r w:rsidRPr="006355EC">
        <w:rPr>
          <w:lang w:eastAsia="tr-TR"/>
        </w:rPr>
        <w:t>Shared</w:t>
      </w:r>
      <w:proofErr w:type="spellEnd"/>
      <w:r w:rsidRPr="006355EC">
        <w:rPr>
          <w:lang w:eastAsia="tr-TR"/>
        </w:rPr>
        <w:t xml:space="preserve"> </w:t>
      </w:r>
      <w:proofErr w:type="spellStart"/>
      <w:r w:rsidRPr="006355EC">
        <w:rPr>
          <w:lang w:eastAsia="tr-TR"/>
        </w:rPr>
        <w:t>adventure</w:t>
      </w:r>
      <w:proofErr w:type="spellEnd"/>
      <w:r w:rsidRPr="006355EC">
        <w:rPr>
          <w:lang w:eastAsia="tr-TR"/>
        </w:rPr>
        <w:t xml:space="preserve">: a </w:t>
      </w:r>
      <w:proofErr w:type="spellStart"/>
      <w:r w:rsidRPr="006355EC">
        <w:rPr>
          <w:lang w:eastAsia="tr-TR"/>
        </w:rPr>
        <w:t>view</w:t>
      </w:r>
      <w:proofErr w:type="spellEnd"/>
      <w:r w:rsidRPr="006355EC">
        <w:rPr>
          <w:lang w:eastAsia="tr-TR"/>
        </w:rPr>
        <w:t xml:space="preserve"> of </w:t>
      </w:r>
      <w:proofErr w:type="spellStart"/>
      <w:r w:rsidRPr="006355EC">
        <w:rPr>
          <w:lang w:eastAsia="tr-TR"/>
        </w:rPr>
        <w:t>quality</w:t>
      </w:r>
      <w:proofErr w:type="spellEnd"/>
      <w:r w:rsidRPr="006355EC">
        <w:rPr>
          <w:lang w:eastAsia="tr-TR"/>
        </w:rPr>
        <w:t xml:space="preserve"> </w:t>
      </w:r>
      <w:proofErr w:type="spellStart"/>
      <w:r w:rsidRPr="006355EC">
        <w:rPr>
          <w:lang w:eastAsia="tr-TR"/>
        </w:rPr>
        <w:t>teaching</w:t>
      </w:r>
      <w:proofErr w:type="spellEnd"/>
      <w:r w:rsidRPr="006355EC">
        <w:rPr>
          <w:lang w:eastAsia="tr-TR"/>
        </w:rPr>
        <w:t xml:space="preserve"> </w:t>
      </w:r>
      <w:proofErr w:type="spellStart"/>
      <w:r w:rsidRPr="006355EC">
        <w:rPr>
          <w:lang w:eastAsia="tr-TR"/>
        </w:rPr>
        <w:t>and</w:t>
      </w:r>
      <w:proofErr w:type="spellEnd"/>
      <w:r w:rsidRPr="006355EC">
        <w:rPr>
          <w:lang w:eastAsia="tr-TR"/>
        </w:rPr>
        <w:t xml:space="preserve"> </w:t>
      </w:r>
      <w:proofErr w:type="spellStart"/>
      <w:r w:rsidRPr="006355EC">
        <w:rPr>
          <w:lang w:eastAsia="tr-TR"/>
        </w:rPr>
        <w:t>learning</w:t>
      </w:r>
      <w:proofErr w:type="spellEnd"/>
      <w:r w:rsidRPr="006355EC">
        <w:rPr>
          <w:lang w:eastAsia="tr-TR"/>
        </w:rPr>
        <w:t xml:space="preserve"> </w:t>
      </w:r>
      <w:r w:rsidRPr="006355EC">
        <w:rPr>
          <w:i/>
          <w:iCs/>
          <w:lang w:eastAsia="tr-TR"/>
        </w:rPr>
        <w:t xml:space="preserve">Second </w:t>
      </w:r>
      <w:proofErr w:type="spellStart"/>
      <w:r w:rsidRPr="006355EC">
        <w:rPr>
          <w:i/>
          <w:iCs/>
          <w:lang w:eastAsia="tr-TR"/>
        </w:rPr>
        <w:t>report</w:t>
      </w:r>
      <w:proofErr w:type="spellEnd"/>
      <w:r w:rsidRPr="006355EC">
        <w:rPr>
          <w:i/>
          <w:iCs/>
          <w:lang w:eastAsia="tr-TR"/>
        </w:rPr>
        <w:t xml:space="preserve"> of </w:t>
      </w:r>
      <w:proofErr w:type="spellStart"/>
      <w:r w:rsidRPr="006355EC">
        <w:rPr>
          <w:i/>
          <w:iCs/>
          <w:lang w:eastAsia="tr-TR"/>
        </w:rPr>
        <w:t>the</w:t>
      </w:r>
      <w:proofErr w:type="spellEnd"/>
      <w:r w:rsidRPr="006355EC">
        <w:rPr>
          <w:i/>
          <w:iCs/>
          <w:lang w:eastAsia="tr-TR"/>
        </w:rPr>
        <w:t xml:space="preserve"> </w:t>
      </w:r>
      <w:proofErr w:type="spellStart"/>
      <w:r w:rsidRPr="006355EC">
        <w:rPr>
          <w:i/>
          <w:iCs/>
          <w:lang w:eastAsia="tr-TR"/>
        </w:rPr>
        <w:t>teaching</w:t>
      </w:r>
      <w:proofErr w:type="spellEnd"/>
      <w:r w:rsidRPr="006355EC">
        <w:rPr>
          <w:i/>
          <w:iCs/>
          <w:lang w:eastAsia="tr-TR"/>
        </w:rPr>
        <w:t xml:space="preserve"> </w:t>
      </w:r>
      <w:proofErr w:type="spellStart"/>
      <w:r w:rsidRPr="006355EC">
        <w:rPr>
          <w:i/>
          <w:iCs/>
          <w:lang w:eastAsia="tr-TR"/>
        </w:rPr>
        <w:t>and</w:t>
      </w:r>
      <w:proofErr w:type="spellEnd"/>
      <w:r w:rsidRPr="006355EC">
        <w:rPr>
          <w:i/>
          <w:iCs/>
          <w:lang w:eastAsia="tr-TR"/>
        </w:rPr>
        <w:t xml:space="preserve"> </w:t>
      </w:r>
      <w:proofErr w:type="spellStart"/>
      <w:r w:rsidRPr="006355EC">
        <w:rPr>
          <w:i/>
          <w:iCs/>
          <w:lang w:eastAsia="tr-TR"/>
        </w:rPr>
        <w:t>learning</w:t>
      </w:r>
      <w:proofErr w:type="spellEnd"/>
      <w:r w:rsidRPr="006355EC">
        <w:rPr>
          <w:i/>
          <w:iCs/>
          <w:lang w:eastAsia="tr-TR"/>
        </w:rPr>
        <w:t xml:space="preserve"> </w:t>
      </w:r>
      <w:proofErr w:type="spellStart"/>
      <w:r w:rsidRPr="006355EC">
        <w:rPr>
          <w:i/>
          <w:iCs/>
          <w:lang w:eastAsia="tr-TR"/>
        </w:rPr>
        <w:t>science</w:t>
      </w:r>
      <w:proofErr w:type="spellEnd"/>
      <w:r w:rsidRPr="006355EC">
        <w:rPr>
          <w:i/>
          <w:iCs/>
          <w:lang w:eastAsia="tr-TR"/>
        </w:rPr>
        <w:t xml:space="preserve"> in </w:t>
      </w:r>
      <w:proofErr w:type="spellStart"/>
      <w:r w:rsidRPr="006355EC">
        <w:rPr>
          <w:i/>
          <w:iCs/>
          <w:lang w:eastAsia="tr-TR"/>
        </w:rPr>
        <w:t>schools</w:t>
      </w:r>
      <w:proofErr w:type="spellEnd"/>
      <w:r w:rsidRPr="006355EC">
        <w:rPr>
          <w:i/>
          <w:iCs/>
          <w:lang w:eastAsia="tr-TR"/>
        </w:rPr>
        <w:t xml:space="preserve"> Project</w:t>
      </w:r>
      <w:r w:rsidRPr="006355EC">
        <w:rPr>
          <w:lang w:eastAsia="tr-TR"/>
        </w:rPr>
        <w:t xml:space="preserve">. </w:t>
      </w:r>
      <w:proofErr w:type="spellStart"/>
      <w:r w:rsidRPr="006355EC">
        <w:rPr>
          <w:lang w:eastAsia="tr-TR"/>
        </w:rPr>
        <w:t>Monash</w:t>
      </w:r>
      <w:proofErr w:type="spellEnd"/>
      <w:r w:rsidRPr="006355EC">
        <w:rPr>
          <w:lang w:eastAsia="tr-TR"/>
        </w:rPr>
        <w:t xml:space="preserve"> </w:t>
      </w:r>
      <w:proofErr w:type="spellStart"/>
      <w:r w:rsidRPr="006355EC">
        <w:rPr>
          <w:lang w:eastAsia="tr-TR"/>
        </w:rPr>
        <w:t>University</w:t>
      </w:r>
      <w:proofErr w:type="spellEnd"/>
      <w:r w:rsidRPr="006355EC">
        <w:rPr>
          <w:lang w:eastAsia="tr-TR"/>
        </w:rPr>
        <w:t xml:space="preserve">, Melbourne, </w:t>
      </w:r>
      <w:proofErr w:type="spellStart"/>
      <w:r w:rsidRPr="006355EC">
        <w:rPr>
          <w:lang w:eastAsia="tr-TR"/>
        </w:rPr>
        <w:t>pp</w:t>
      </w:r>
      <w:proofErr w:type="spellEnd"/>
      <w:r w:rsidRPr="006355EC">
        <w:rPr>
          <w:lang w:eastAsia="tr-TR"/>
        </w:rPr>
        <w:t>. 185–274.</w:t>
      </w:r>
    </w:p>
    <w:p w:rsidR="006355EC" w:rsidRPr="006355EC" w:rsidRDefault="006355EC" w:rsidP="006355EC">
      <w:pPr>
        <w:tabs>
          <w:tab w:val="left" w:pos="1620"/>
        </w:tabs>
        <w:autoSpaceDE w:val="0"/>
        <w:autoSpaceDN w:val="0"/>
        <w:adjustRightInd w:val="0"/>
        <w:spacing w:before="60" w:after="60" w:line="360" w:lineRule="auto"/>
        <w:ind w:left="567" w:right="-2" w:hanging="567"/>
        <w:jc w:val="both"/>
        <w:rPr>
          <w:lang w:eastAsia="tr-TR"/>
        </w:rPr>
      </w:pPr>
      <w:bookmarkStart w:id="11" w:name="_Hlk24820535"/>
      <w:proofErr w:type="spellStart"/>
      <w:r w:rsidRPr="006355EC">
        <w:rPr>
          <w:lang w:eastAsia="tr-TR"/>
        </w:rPr>
        <w:t>Bøe</w:t>
      </w:r>
      <w:proofErr w:type="spellEnd"/>
      <w:r w:rsidRPr="006355EC">
        <w:rPr>
          <w:lang w:eastAsia="tr-TR"/>
        </w:rPr>
        <w:t xml:space="preserve">, M. V., </w:t>
      </w:r>
      <w:proofErr w:type="spellStart"/>
      <w:r w:rsidRPr="006355EC">
        <w:rPr>
          <w:lang w:eastAsia="tr-TR"/>
        </w:rPr>
        <w:t>Henriksen</w:t>
      </w:r>
      <w:proofErr w:type="spellEnd"/>
      <w:r w:rsidRPr="006355EC">
        <w:rPr>
          <w:lang w:eastAsia="tr-TR"/>
        </w:rPr>
        <w:t xml:space="preserve">, E. K., </w:t>
      </w:r>
      <w:proofErr w:type="spellStart"/>
      <w:r w:rsidRPr="006355EC">
        <w:rPr>
          <w:lang w:eastAsia="tr-TR"/>
        </w:rPr>
        <w:t>Lyons</w:t>
      </w:r>
      <w:proofErr w:type="spellEnd"/>
      <w:r w:rsidRPr="006355EC">
        <w:rPr>
          <w:lang w:eastAsia="tr-TR"/>
        </w:rPr>
        <w:t xml:space="preserve">, T., &amp; </w:t>
      </w:r>
      <w:proofErr w:type="spellStart"/>
      <w:r w:rsidRPr="006355EC">
        <w:rPr>
          <w:lang w:eastAsia="tr-TR"/>
        </w:rPr>
        <w:t>Schreiner</w:t>
      </w:r>
      <w:proofErr w:type="spellEnd"/>
      <w:r w:rsidRPr="006355EC">
        <w:rPr>
          <w:lang w:eastAsia="tr-TR"/>
        </w:rPr>
        <w:t>,</w:t>
      </w:r>
      <w:bookmarkEnd w:id="11"/>
      <w:r w:rsidRPr="006355EC">
        <w:rPr>
          <w:lang w:eastAsia="tr-TR"/>
        </w:rPr>
        <w:t xml:space="preserve"> C. (2011). </w:t>
      </w:r>
      <w:proofErr w:type="spellStart"/>
      <w:r w:rsidRPr="006355EC">
        <w:rPr>
          <w:lang w:eastAsia="tr-TR"/>
        </w:rPr>
        <w:t>Participation</w:t>
      </w:r>
      <w:proofErr w:type="spellEnd"/>
      <w:r w:rsidRPr="006355EC">
        <w:rPr>
          <w:lang w:eastAsia="tr-TR"/>
        </w:rPr>
        <w:t xml:space="preserve"> in </w:t>
      </w:r>
      <w:proofErr w:type="spellStart"/>
      <w:r w:rsidRPr="006355EC">
        <w:rPr>
          <w:lang w:eastAsia="tr-TR"/>
        </w:rPr>
        <w:t>science</w:t>
      </w:r>
      <w:proofErr w:type="spellEnd"/>
      <w:r w:rsidRPr="006355EC">
        <w:rPr>
          <w:lang w:eastAsia="tr-TR"/>
        </w:rPr>
        <w:t xml:space="preserve"> </w:t>
      </w:r>
      <w:proofErr w:type="spellStart"/>
      <w:r w:rsidRPr="006355EC">
        <w:rPr>
          <w:lang w:eastAsia="tr-TR"/>
        </w:rPr>
        <w:t>and</w:t>
      </w:r>
      <w:proofErr w:type="spellEnd"/>
      <w:r w:rsidRPr="006355EC">
        <w:rPr>
          <w:lang w:eastAsia="tr-TR"/>
        </w:rPr>
        <w:t xml:space="preserve"> </w:t>
      </w:r>
      <w:proofErr w:type="spellStart"/>
      <w:r w:rsidRPr="006355EC">
        <w:rPr>
          <w:lang w:eastAsia="tr-TR"/>
        </w:rPr>
        <w:t>technology</w:t>
      </w:r>
      <w:proofErr w:type="spellEnd"/>
      <w:r w:rsidRPr="006355EC">
        <w:rPr>
          <w:lang w:eastAsia="tr-TR"/>
        </w:rPr>
        <w:t xml:space="preserve">: </w:t>
      </w:r>
      <w:proofErr w:type="spellStart"/>
      <w:r w:rsidRPr="006355EC">
        <w:rPr>
          <w:lang w:eastAsia="tr-TR"/>
        </w:rPr>
        <w:t>Young</w:t>
      </w:r>
      <w:proofErr w:type="spellEnd"/>
      <w:r w:rsidRPr="006355EC">
        <w:rPr>
          <w:lang w:eastAsia="tr-TR"/>
        </w:rPr>
        <w:t xml:space="preserve"> </w:t>
      </w:r>
      <w:proofErr w:type="spellStart"/>
      <w:r w:rsidRPr="006355EC">
        <w:rPr>
          <w:lang w:eastAsia="tr-TR"/>
        </w:rPr>
        <w:t>people’s</w:t>
      </w:r>
      <w:proofErr w:type="spellEnd"/>
      <w:r w:rsidRPr="006355EC">
        <w:rPr>
          <w:lang w:eastAsia="tr-TR"/>
        </w:rPr>
        <w:t xml:space="preserve"> </w:t>
      </w:r>
      <w:proofErr w:type="spellStart"/>
      <w:r w:rsidRPr="006355EC">
        <w:rPr>
          <w:lang w:eastAsia="tr-TR"/>
        </w:rPr>
        <w:t>achievement-related</w:t>
      </w:r>
      <w:proofErr w:type="spellEnd"/>
      <w:r w:rsidRPr="006355EC">
        <w:rPr>
          <w:lang w:eastAsia="tr-TR"/>
        </w:rPr>
        <w:t xml:space="preserve"> </w:t>
      </w:r>
      <w:proofErr w:type="spellStart"/>
      <w:r w:rsidRPr="006355EC">
        <w:rPr>
          <w:lang w:eastAsia="tr-TR"/>
        </w:rPr>
        <w:t>choices</w:t>
      </w:r>
      <w:proofErr w:type="spellEnd"/>
      <w:r w:rsidRPr="006355EC">
        <w:rPr>
          <w:lang w:eastAsia="tr-TR"/>
        </w:rPr>
        <w:t xml:space="preserve"> in </w:t>
      </w:r>
      <w:proofErr w:type="spellStart"/>
      <w:r w:rsidRPr="006355EC">
        <w:rPr>
          <w:lang w:eastAsia="tr-TR"/>
        </w:rPr>
        <w:t>late</w:t>
      </w:r>
      <w:proofErr w:type="spellEnd"/>
      <w:r w:rsidRPr="006355EC">
        <w:rPr>
          <w:lang w:eastAsia="tr-TR"/>
        </w:rPr>
        <w:t xml:space="preserve">-modern </w:t>
      </w:r>
      <w:proofErr w:type="spellStart"/>
      <w:r w:rsidRPr="006355EC">
        <w:rPr>
          <w:lang w:eastAsia="tr-TR"/>
        </w:rPr>
        <w:t>societies</w:t>
      </w:r>
      <w:proofErr w:type="spellEnd"/>
      <w:r w:rsidRPr="006355EC">
        <w:rPr>
          <w:lang w:eastAsia="tr-TR"/>
        </w:rPr>
        <w:t xml:space="preserve">. </w:t>
      </w:r>
      <w:proofErr w:type="spellStart"/>
      <w:r w:rsidRPr="006355EC">
        <w:rPr>
          <w:i/>
          <w:iCs/>
          <w:lang w:eastAsia="tr-TR"/>
        </w:rPr>
        <w:t>Studies</w:t>
      </w:r>
      <w:proofErr w:type="spellEnd"/>
      <w:r w:rsidRPr="006355EC">
        <w:rPr>
          <w:i/>
          <w:iCs/>
          <w:lang w:eastAsia="tr-TR"/>
        </w:rPr>
        <w:t xml:space="preserve"> in </w:t>
      </w:r>
      <w:proofErr w:type="spellStart"/>
      <w:r w:rsidRPr="006355EC">
        <w:rPr>
          <w:i/>
          <w:iCs/>
          <w:lang w:eastAsia="tr-TR"/>
        </w:rPr>
        <w:t>Science</w:t>
      </w:r>
      <w:proofErr w:type="spellEnd"/>
      <w:r w:rsidRPr="006355EC">
        <w:rPr>
          <w:i/>
          <w:iCs/>
          <w:lang w:eastAsia="tr-TR"/>
        </w:rPr>
        <w:t xml:space="preserve"> </w:t>
      </w:r>
      <w:proofErr w:type="spellStart"/>
      <w:r w:rsidRPr="006355EC">
        <w:rPr>
          <w:i/>
          <w:iCs/>
          <w:lang w:eastAsia="tr-TR"/>
        </w:rPr>
        <w:t>Education</w:t>
      </w:r>
      <w:proofErr w:type="spellEnd"/>
      <w:r w:rsidRPr="006355EC">
        <w:rPr>
          <w:i/>
          <w:iCs/>
          <w:lang w:eastAsia="tr-TR"/>
        </w:rPr>
        <w:t>, 47</w:t>
      </w:r>
      <w:r w:rsidRPr="006355EC">
        <w:rPr>
          <w:lang w:eastAsia="tr-TR"/>
        </w:rPr>
        <w:t>, 37–72.</w:t>
      </w:r>
    </w:p>
    <w:p w:rsidR="006355EC" w:rsidRPr="006355EC" w:rsidRDefault="006355EC" w:rsidP="006355EC">
      <w:pPr>
        <w:tabs>
          <w:tab w:val="left" w:pos="1620"/>
        </w:tabs>
        <w:autoSpaceDE w:val="0"/>
        <w:autoSpaceDN w:val="0"/>
        <w:adjustRightInd w:val="0"/>
        <w:spacing w:before="60" w:after="60" w:line="360" w:lineRule="auto"/>
        <w:ind w:left="567" w:right="-2" w:hanging="567"/>
        <w:jc w:val="both"/>
        <w:rPr>
          <w:lang w:eastAsia="tr-TR"/>
        </w:rPr>
      </w:pPr>
      <w:proofErr w:type="spellStart"/>
      <w:r w:rsidRPr="006355EC">
        <w:rPr>
          <w:lang w:eastAsia="tr-TR"/>
        </w:rPr>
        <w:t>Briggs</w:t>
      </w:r>
      <w:proofErr w:type="spellEnd"/>
      <w:r w:rsidRPr="006355EC">
        <w:rPr>
          <w:lang w:eastAsia="tr-TR"/>
        </w:rPr>
        <w:t xml:space="preserve">, A. R. J., Clark, J., &amp; Hall, I. (2012). </w:t>
      </w:r>
      <w:proofErr w:type="spellStart"/>
      <w:r w:rsidRPr="006355EC">
        <w:rPr>
          <w:lang w:eastAsia="tr-TR"/>
        </w:rPr>
        <w:t>Building</w:t>
      </w:r>
      <w:proofErr w:type="spellEnd"/>
      <w:r w:rsidRPr="006355EC">
        <w:rPr>
          <w:lang w:eastAsia="tr-TR"/>
        </w:rPr>
        <w:t xml:space="preserve"> </w:t>
      </w:r>
      <w:proofErr w:type="spellStart"/>
      <w:r w:rsidRPr="006355EC">
        <w:rPr>
          <w:lang w:eastAsia="tr-TR"/>
        </w:rPr>
        <w:t>bridges</w:t>
      </w:r>
      <w:proofErr w:type="spellEnd"/>
      <w:r w:rsidRPr="006355EC">
        <w:rPr>
          <w:lang w:eastAsia="tr-TR"/>
        </w:rPr>
        <w:t xml:space="preserve">: </w:t>
      </w:r>
      <w:proofErr w:type="spellStart"/>
      <w:r w:rsidRPr="006355EC">
        <w:rPr>
          <w:lang w:eastAsia="tr-TR"/>
        </w:rPr>
        <w:t>understanding</w:t>
      </w:r>
      <w:proofErr w:type="spellEnd"/>
      <w:r w:rsidRPr="006355EC">
        <w:rPr>
          <w:lang w:eastAsia="tr-TR"/>
        </w:rPr>
        <w:t xml:space="preserve"> </w:t>
      </w:r>
      <w:proofErr w:type="spellStart"/>
      <w:r w:rsidRPr="006355EC">
        <w:rPr>
          <w:lang w:eastAsia="tr-TR"/>
        </w:rPr>
        <w:t>student</w:t>
      </w:r>
      <w:proofErr w:type="spellEnd"/>
      <w:r w:rsidRPr="006355EC">
        <w:rPr>
          <w:lang w:eastAsia="tr-TR"/>
        </w:rPr>
        <w:t xml:space="preserve"> </w:t>
      </w:r>
      <w:proofErr w:type="spellStart"/>
      <w:r w:rsidRPr="006355EC">
        <w:rPr>
          <w:lang w:eastAsia="tr-TR"/>
        </w:rPr>
        <w:t>transition</w:t>
      </w:r>
      <w:proofErr w:type="spellEnd"/>
      <w:r w:rsidRPr="006355EC">
        <w:rPr>
          <w:lang w:eastAsia="tr-TR"/>
        </w:rPr>
        <w:t xml:space="preserve"> </w:t>
      </w:r>
      <w:proofErr w:type="spellStart"/>
      <w:r w:rsidRPr="006355EC">
        <w:rPr>
          <w:lang w:eastAsia="tr-TR"/>
        </w:rPr>
        <w:t>to</w:t>
      </w:r>
      <w:proofErr w:type="spellEnd"/>
      <w:r w:rsidRPr="006355EC">
        <w:rPr>
          <w:lang w:eastAsia="tr-TR"/>
        </w:rPr>
        <w:t xml:space="preserve"> </w:t>
      </w:r>
      <w:proofErr w:type="spellStart"/>
      <w:r w:rsidRPr="006355EC">
        <w:rPr>
          <w:lang w:eastAsia="tr-TR"/>
        </w:rPr>
        <w:t>university</w:t>
      </w:r>
      <w:proofErr w:type="spellEnd"/>
      <w:r w:rsidRPr="006355EC">
        <w:rPr>
          <w:lang w:eastAsia="tr-TR"/>
        </w:rPr>
        <w:t xml:space="preserve">. </w:t>
      </w:r>
      <w:proofErr w:type="spellStart"/>
      <w:r w:rsidRPr="006355EC">
        <w:rPr>
          <w:i/>
          <w:iCs/>
          <w:lang w:eastAsia="tr-TR"/>
        </w:rPr>
        <w:t>Quality</w:t>
      </w:r>
      <w:proofErr w:type="spellEnd"/>
      <w:r w:rsidRPr="006355EC">
        <w:rPr>
          <w:i/>
          <w:iCs/>
          <w:lang w:eastAsia="tr-TR"/>
        </w:rPr>
        <w:t xml:space="preserve"> in </w:t>
      </w:r>
      <w:proofErr w:type="spellStart"/>
      <w:r w:rsidRPr="006355EC">
        <w:rPr>
          <w:i/>
          <w:iCs/>
          <w:lang w:eastAsia="tr-TR"/>
        </w:rPr>
        <w:t>Higher</w:t>
      </w:r>
      <w:proofErr w:type="spellEnd"/>
      <w:r w:rsidRPr="006355EC">
        <w:rPr>
          <w:i/>
          <w:iCs/>
          <w:lang w:eastAsia="tr-TR"/>
        </w:rPr>
        <w:t xml:space="preserve"> </w:t>
      </w:r>
      <w:proofErr w:type="spellStart"/>
      <w:r w:rsidRPr="006355EC">
        <w:rPr>
          <w:i/>
          <w:iCs/>
          <w:lang w:eastAsia="tr-TR"/>
        </w:rPr>
        <w:t>Education</w:t>
      </w:r>
      <w:proofErr w:type="spellEnd"/>
      <w:r w:rsidRPr="006355EC">
        <w:rPr>
          <w:i/>
          <w:iCs/>
          <w:lang w:eastAsia="tr-TR"/>
        </w:rPr>
        <w:t>, 18</w:t>
      </w:r>
      <w:r w:rsidRPr="006355EC">
        <w:rPr>
          <w:lang w:eastAsia="tr-TR"/>
        </w:rPr>
        <w:t xml:space="preserve">(1), 3–21. </w:t>
      </w:r>
      <w:hyperlink r:id="rId9" w:history="1">
        <w:r w:rsidRPr="006355EC">
          <w:rPr>
            <w:rStyle w:val="Kpr"/>
            <w:lang w:eastAsia="tr-TR"/>
          </w:rPr>
          <w:t>https://doi.org/10.1080/1343822.2011.614468</w:t>
        </w:r>
      </w:hyperlink>
      <w:r w:rsidRPr="006355EC">
        <w:rPr>
          <w:lang w:eastAsia="tr-TR"/>
        </w:rPr>
        <w:t>.</w:t>
      </w:r>
    </w:p>
    <w:p w:rsidR="006355EC" w:rsidRDefault="006355EC" w:rsidP="006355EC">
      <w:pPr>
        <w:tabs>
          <w:tab w:val="left" w:pos="1620"/>
        </w:tabs>
        <w:autoSpaceDE w:val="0"/>
        <w:autoSpaceDN w:val="0"/>
        <w:adjustRightInd w:val="0"/>
        <w:spacing w:before="60" w:after="60" w:line="360" w:lineRule="auto"/>
        <w:ind w:left="567" w:right="-2" w:hanging="567"/>
        <w:jc w:val="both"/>
        <w:rPr>
          <w:lang w:eastAsia="tr-TR"/>
        </w:rPr>
      </w:pPr>
      <w:bookmarkStart w:id="12" w:name="_Hlk21613554"/>
      <w:r w:rsidRPr="006355EC">
        <w:rPr>
          <w:lang w:eastAsia="tr-TR"/>
        </w:rPr>
        <w:t xml:space="preserve">Büyüköztürk, Ş. (2007). </w:t>
      </w:r>
      <w:r w:rsidRPr="006355EC">
        <w:rPr>
          <w:i/>
          <w:iCs/>
          <w:lang w:eastAsia="tr-TR"/>
        </w:rPr>
        <w:t xml:space="preserve">Sosyal bilimler için veri ve analizi el kitabı: istatistik, araştırma deseni, SPSS uygulamaları ve yorum, </w:t>
      </w:r>
      <w:r w:rsidRPr="006355EC">
        <w:rPr>
          <w:lang w:eastAsia="tr-TR"/>
        </w:rPr>
        <w:t>Anı Yayıncılık: Ankara</w:t>
      </w:r>
      <w:r w:rsidR="00382C89">
        <w:rPr>
          <w:lang w:eastAsia="tr-TR"/>
        </w:rPr>
        <w:t>.</w:t>
      </w:r>
    </w:p>
    <w:p w:rsidR="00382C89" w:rsidRPr="006355EC" w:rsidRDefault="00382C89" w:rsidP="00382C89">
      <w:pPr>
        <w:tabs>
          <w:tab w:val="left" w:pos="1620"/>
        </w:tabs>
        <w:autoSpaceDE w:val="0"/>
        <w:autoSpaceDN w:val="0"/>
        <w:adjustRightInd w:val="0"/>
        <w:spacing w:before="60" w:after="60" w:line="360" w:lineRule="auto"/>
        <w:ind w:left="567" w:right="-2" w:hanging="567"/>
        <w:jc w:val="both"/>
        <w:rPr>
          <w:lang w:eastAsia="tr-TR"/>
        </w:rPr>
      </w:pPr>
      <w:r w:rsidRPr="00382C89">
        <w:rPr>
          <w:lang w:eastAsia="tr-TR"/>
        </w:rPr>
        <w:t xml:space="preserve">Büyüköztürk, Ş. (2011). </w:t>
      </w:r>
      <w:r w:rsidRPr="00382C89">
        <w:rPr>
          <w:i/>
          <w:lang w:eastAsia="tr-TR"/>
        </w:rPr>
        <w:t xml:space="preserve">Sosyal Bilimler İçin Veri Analizi El Kitabı. </w:t>
      </w:r>
      <w:r w:rsidRPr="00382C89">
        <w:rPr>
          <w:lang w:eastAsia="tr-TR"/>
        </w:rPr>
        <w:t xml:space="preserve">Ankara: </w:t>
      </w:r>
      <w:proofErr w:type="spellStart"/>
      <w:r w:rsidRPr="00382C89">
        <w:rPr>
          <w:lang w:eastAsia="tr-TR"/>
        </w:rPr>
        <w:t>Pegem</w:t>
      </w:r>
      <w:proofErr w:type="spellEnd"/>
      <w:r w:rsidRPr="00382C89">
        <w:rPr>
          <w:lang w:eastAsia="tr-TR"/>
        </w:rPr>
        <w:t xml:space="preserve"> Akademi.</w:t>
      </w:r>
    </w:p>
    <w:p w:rsidR="006355EC" w:rsidRPr="006355EC" w:rsidRDefault="006355EC" w:rsidP="006355EC">
      <w:pPr>
        <w:tabs>
          <w:tab w:val="left" w:pos="1620"/>
        </w:tabs>
        <w:autoSpaceDE w:val="0"/>
        <w:autoSpaceDN w:val="0"/>
        <w:adjustRightInd w:val="0"/>
        <w:spacing w:before="60" w:after="60" w:line="360" w:lineRule="auto"/>
        <w:ind w:left="567" w:right="-2" w:hanging="567"/>
        <w:jc w:val="both"/>
        <w:rPr>
          <w:lang w:eastAsia="tr-TR"/>
        </w:rPr>
      </w:pPr>
      <w:proofErr w:type="spellStart"/>
      <w:r w:rsidRPr="006355EC">
        <w:rPr>
          <w:lang w:eastAsia="tr-TR"/>
        </w:rPr>
        <w:t>Carreira</w:t>
      </w:r>
      <w:proofErr w:type="spellEnd"/>
      <w:r w:rsidRPr="006355EC">
        <w:rPr>
          <w:lang w:eastAsia="tr-TR"/>
        </w:rPr>
        <w:t xml:space="preserve">, J. M. (2011). </w:t>
      </w:r>
      <w:proofErr w:type="spellStart"/>
      <w:r w:rsidRPr="006355EC">
        <w:rPr>
          <w:lang w:eastAsia="tr-TR"/>
        </w:rPr>
        <w:t>Relationship</w:t>
      </w:r>
      <w:proofErr w:type="spellEnd"/>
      <w:r w:rsidRPr="006355EC">
        <w:rPr>
          <w:lang w:eastAsia="tr-TR"/>
        </w:rPr>
        <w:t xml:space="preserve"> </w:t>
      </w:r>
      <w:proofErr w:type="spellStart"/>
      <w:r w:rsidRPr="006355EC">
        <w:rPr>
          <w:lang w:eastAsia="tr-TR"/>
        </w:rPr>
        <w:t>between</w:t>
      </w:r>
      <w:proofErr w:type="spellEnd"/>
      <w:r w:rsidRPr="006355EC">
        <w:rPr>
          <w:lang w:eastAsia="tr-TR"/>
        </w:rPr>
        <w:t xml:space="preserve"> </w:t>
      </w:r>
      <w:proofErr w:type="spellStart"/>
      <w:r w:rsidRPr="006355EC">
        <w:rPr>
          <w:lang w:eastAsia="tr-TR"/>
        </w:rPr>
        <w:t>motivation</w:t>
      </w:r>
      <w:proofErr w:type="spellEnd"/>
      <w:r w:rsidRPr="006355EC">
        <w:rPr>
          <w:lang w:eastAsia="tr-TR"/>
        </w:rPr>
        <w:t xml:space="preserve"> </w:t>
      </w:r>
      <w:proofErr w:type="spellStart"/>
      <w:r w:rsidRPr="006355EC">
        <w:rPr>
          <w:lang w:eastAsia="tr-TR"/>
        </w:rPr>
        <w:t>for</w:t>
      </w:r>
      <w:proofErr w:type="spellEnd"/>
      <w:r w:rsidRPr="006355EC">
        <w:rPr>
          <w:lang w:eastAsia="tr-TR"/>
        </w:rPr>
        <w:t xml:space="preserve"> </w:t>
      </w:r>
      <w:proofErr w:type="spellStart"/>
      <w:r w:rsidRPr="006355EC">
        <w:rPr>
          <w:lang w:eastAsia="tr-TR"/>
        </w:rPr>
        <w:t>learning</w:t>
      </w:r>
      <w:proofErr w:type="spellEnd"/>
      <w:r w:rsidRPr="006355EC">
        <w:rPr>
          <w:lang w:eastAsia="tr-TR"/>
        </w:rPr>
        <w:t xml:space="preserve"> EFL </w:t>
      </w:r>
      <w:proofErr w:type="spellStart"/>
      <w:r w:rsidRPr="006355EC">
        <w:rPr>
          <w:lang w:eastAsia="tr-TR"/>
        </w:rPr>
        <w:t>and</w:t>
      </w:r>
      <w:proofErr w:type="spellEnd"/>
      <w:r w:rsidRPr="006355EC">
        <w:rPr>
          <w:lang w:eastAsia="tr-TR"/>
        </w:rPr>
        <w:t xml:space="preserve"> </w:t>
      </w:r>
      <w:proofErr w:type="spellStart"/>
      <w:r w:rsidRPr="006355EC">
        <w:rPr>
          <w:lang w:eastAsia="tr-TR"/>
        </w:rPr>
        <w:t>intrinsic</w:t>
      </w:r>
      <w:proofErr w:type="spellEnd"/>
      <w:r w:rsidRPr="006355EC">
        <w:rPr>
          <w:lang w:eastAsia="tr-TR"/>
        </w:rPr>
        <w:t xml:space="preserve"> </w:t>
      </w:r>
      <w:proofErr w:type="spellStart"/>
      <w:r w:rsidRPr="006355EC">
        <w:rPr>
          <w:lang w:eastAsia="tr-TR"/>
        </w:rPr>
        <w:t>motivation</w:t>
      </w:r>
      <w:proofErr w:type="spellEnd"/>
      <w:r w:rsidRPr="006355EC">
        <w:rPr>
          <w:lang w:eastAsia="tr-TR"/>
        </w:rPr>
        <w:t xml:space="preserve"> </w:t>
      </w:r>
      <w:proofErr w:type="spellStart"/>
      <w:r w:rsidRPr="006355EC">
        <w:rPr>
          <w:lang w:eastAsia="tr-TR"/>
        </w:rPr>
        <w:t>for</w:t>
      </w:r>
      <w:proofErr w:type="spellEnd"/>
      <w:r w:rsidRPr="006355EC">
        <w:rPr>
          <w:lang w:eastAsia="tr-TR"/>
        </w:rPr>
        <w:t xml:space="preserve"> </w:t>
      </w:r>
      <w:proofErr w:type="spellStart"/>
      <w:r w:rsidRPr="006355EC">
        <w:rPr>
          <w:lang w:eastAsia="tr-TR"/>
        </w:rPr>
        <w:t>learning</w:t>
      </w:r>
      <w:proofErr w:type="spellEnd"/>
      <w:r w:rsidRPr="006355EC">
        <w:rPr>
          <w:lang w:eastAsia="tr-TR"/>
        </w:rPr>
        <w:t xml:space="preserve"> in general </w:t>
      </w:r>
      <w:proofErr w:type="spellStart"/>
      <w:r w:rsidRPr="006355EC">
        <w:rPr>
          <w:lang w:eastAsia="tr-TR"/>
        </w:rPr>
        <w:t>among</w:t>
      </w:r>
      <w:proofErr w:type="spellEnd"/>
      <w:r w:rsidRPr="006355EC">
        <w:rPr>
          <w:lang w:eastAsia="tr-TR"/>
        </w:rPr>
        <w:t xml:space="preserve"> </w:t>
      </w:r>
      <w:proofErr w:type="spellStart"/>
      <w:r w:rsidRPr="006355EC">
        <w:rPr>
          <w:lang w:eastAsia="tr-TR"/>
        </w:rPr>
        <w:t>Japanese</w:t>
      </w:r>
      <w:proofErr w:type="spellEnd"/>
      <w:r w:rsidRPr="006355EC">
        <w:rPr>
          <w:lang w:eastAsia="tr-TR"/>
        </w:rPr>
        <w:t xml:space="preserve"> </w:t>
      </w:r>
      <w:proofErr w:type="spellStart"/>
      <w:r w:rsidRPr="006355EC">
        <w:rPr>
          <w:lang w:eastAsia="tr-TR"/>
        </w:rPr>
        <w:t>elementary</w:t>
      </w:r>
      <w:proofErr w:type="spellEnd"/>
      <w:r w:rsidRPr="006355EC">
        <w:rPr>
          <w:lang w:eastAsia="tr-TR"/>
        </w:rPr>
        <w:t xml:space="preserve"> </w:t>
      </w:r>
      <w:proofErr w:type="spellStart"/>
      <w:r w:rsidRPr="006355EC">
        <w:rPr>
          <w:lang w:eastAsia="tr-TR"/>
        </w:rPr>
        <w:t>school</w:t>
      </w:r>
      <w:proofErr w:type="spellEnd"/>
      <w:r w:rsidRPr="006355EC">
        <w:rPr>
          <w:lang w:eastAsia="tr-TR"/>
        </w:rPr>
        <w:t xml:space="preserve"> </w:t>
      </w:r>
      <w:proofErr w:type="spellStart"/>
      <w:r w:rsidRPr="006355EC">
        <w:rPr>
          <w:lang w:eastAsia="tr-TR"/>
        </w:rPr>
        <w:t>students</w:t>
      </w:r>
      <w:proofErr w:type="spellEnd"/>
      <w:r w:rsidRPr="006355EC">
        <w:rPr>
          <w:lang w:eastAsia="tr-TR"/>
        </w:rPr>
        <w:t xml:space="preserve">. </w:t>
      </w:r>
      <w:proofErr w:type="spellStart"/>
      <w:r w:rsidRPr="006355EC">
        <w:rPr>
          <w:lang w:eastAsia="tr-TR"/>
        </w:rPr>
        <w:t>System</w:t>
      </w:r>
      <w:proofErr w:type="spellEnd"/>
      <w:r w:rsidRPr="006355EC">
        <w:rPr>
          <w:lang w:eastAsia="tr-TR"/>
        </w:rPr>
        <w:t xml:space="preserve">: An </w:t>
      </w:r>
      <w:r w:rsidRPr="006355EC">
        <w:rPr>
          <w:i/>
          <w:iCs/>
          <w:lang w:eastAsia="tr-TR"/>
        </w:rPr>
        <w:t xml:space="preserve">International </w:t>
      </w:r>
      <w:proofErr w:type="spellStart"/>
      <w:r w:rsidRPr="006355EC">
        <w:rPr>
          <w:i/>
          <w:iCs/>
          <w:lang w:eastAsia="tr-TR"/>
        </w:rPr>
        <w:t>Journal</w:t>
      </w:r>
      <w:proofErr w:type="spellEnd"/>
      <w:r w:rsidRPr="006355EC">
        <w:rPr>
          <w:i/>
          <w:iCs/>
          <w:lang w:eastAsia="tr-TR"/>
        </w:rPr>
        <w:t xml:space="preserve"> of </w:t>
      </w:r>
      <w:proofErr w:type="spellStart"/>
      <w:r w:rsidRPr="006355EC">
        <w:rPr>
          <w:i/>
          <w:iCs/>
          <w:lang w:eastAsia="tr-TR"/>
        </w:rPr>
        <w:t>Educational</w:t>
      </w:r>
      <w:proofErr w:type="spellEnd"/>
      <w:r w:rsidRPr="006355EC">
        <w:rPr>
          <w:i/>
          <w:iCs/>
          <w:lang w:eastAsia="tr-TR"/>
        </w:rPr>
        <w:t xml:space="preserve"> </w:t>
      </w:r>
      <w:proofErr w:type="spellStart"/>
      <w:r w:rsidRPr="006355EC">
        <w:rPr>
          <w:i/>
          <w:iCs/>
          <w:lang w:eastAsia="tr-TR"/>
        </w:rPr>
        <w:t>Technology</w:t>
      </w:r>
      <w:proofErr w:type="spellEnd"/>
      <w:r w:rsidRPr="006355EC">
        <w:rPr>
          <w:i/>
          <w:iCs/>
          <w:lang w:eastAsia="tr-TR"/>
        </w:rPr>
        <w:t xml:space="preserve"> </w:t>
      </w:r>
      <w:proofErr w:type="spellStart"/>
      <w:r w:rsidRPr="006355EC">
        <w:rPr>
          <w:i/>
          <w:iCs/>
          <w:lang w:eastAsia="tr-TR"/>
        </w:rPr>
        <w:t>and</w:t>
      </w:r>
      <w:proofErr w:type="spellEnd"/>
      <w:r w:rsidRPr="006355EC">
        <w:rPr>
          <w:i/>
          <w:iCs/>
          <w:lang w:eastAsia="tr-TR"/>
        </w:rPr>
        <w:t xml:space="preserve"> </w:t>
      </w:r>
      <w:proofErr w:type="spellStart"/>
      <w:r w:rsidRPr="006355EC">
        <w:rPr>
          <w:i/>
          <w:iCs/>
          <w:lang w:eastAsia="tr-TR"/>
        </w:rPr>
        <w:t>Applied</w:t>
      </w:r>
      <w:proofErr w:type="spellEnd"/>
      <w:r w:rsidRPr="006355EC">
        <w:rPr>
          <w:i/>
          <w:iCs/>
          <w:lang w:eastAsia="tr-TR"/>
        </w:rPr>
        <w:t xml:space="preserve"> </w:t>
      </w:r>
      <w:proofErr w:type="spellStart"/>
      <w:r w:rsidRPr="006355EC">
        <w:rPr>
          <w:i/>
          <w:iCs/>
          <w:lang w:eastAsia="tr-TR"/>
        </w:rPr>
        <w:t>Linguistics</w:t>
      </w:r>
      <w:proofErr w:type="spellEnd"/>
      <w:r w:rsidRPr="006355EC">
        <w:rPr>
          <w:i/>
          <w:iCs/>
          <w:lang w:eastAsia="tr-TR"/>
        </w:rPr>
        <w:t>, 39</w:t>
      </w:r>
      <w:r w:rsidRPr="006355EC">
        <w:rPr>
          <w:lang w:eastAsia="tr-TR"/>
        </w:rPr>
        <w:t>(1), 90–102.</w:t>
      </w:r>
    </w:p>
    <w:p w:rsidR="006355EC" w:rsidRPr="006355EC" w:rsidRDefault="006355EC" w:rsidP="006355EC">
      <w:pPr>
        <w:tabs>
          <w:tab w:val="left" w:pos="1620"/>
        </w:tabs>
        <w:autoSpaceDE w:val="0"/>
        <w:autoSpaceDN w:val="0"/>
        <w:adjustRightInd w:val="0"/>
        <w:spacing w:before="60" w:after="60" w:line="360" w:lineRule="auto"/>
        <w:ind w:left="567" w:right="-2" w:hanging="567"/>
        <w:jc w:val="both"/>
        <w:rPr>
          <w:lang w:eastAsia="tr-TR"/>
        </w:rPr>
      </w:pPr>
      <w:proofErr w:type="spellStart"/>
      <w:r w:rsidRPr="006355EC">
        <w:rPr>
          <w:lang w:eastAsia="tr-TR"/>
        </w:rPr>
        <w:lastRenderedPageBreak/>
        <w:t>Cerasoli</w:t>
      </w:r>
      <w:proofErr w:type="spellEnd"/>
      <w:r w:rsidRPr="006355EC">
        <w:rPr>
          <w:lang w:eastAsia="tr-TR"/>
        </w:rPr>
        <w:t xml:space="preserve">, C. P., </w:t>
      </w:r>
      <w:proofErr w:type="spellStart"/>
      <w:r w:rsidRPr="006355EC">
        <w:rPr>
          <w:lang w:eastAsia="tr-TR"/>
        </w:rPr>
        <w:t>Nicklin</w:t>
      </w:r>
      <w:proofErr w:type="spellEnd"/>
      <w:r w:rsidRPr="006355EC">
        <w:rPr>
          <w:lang w:eastAsia="tr-TR"/>
        </w:rPr>
        <w:t xml:space="preserve">, J. M., &amp; Ford, M. T. (2014). </w:t>
      </w:r>
      <w:proofErr w:type="spellStart"/>
      <w:r w:rsidRPr="006355EC">
        <w:rPr>
          <w:lang w:eastAsia="tr-TR"/>
        </w:rPr>
        <w:t>Intrinsic</w:t>
      </w:r>
      <w:proofErr w:type="spellEnd"/>
      <w:r w:rsidRPr="006355EC">
        <w:rPr>
          <w:lang w:eastAsia="tr-TR"/>
        </w:rPr>
        <w:t xml:space="preserve"> </w:t>
      </w:r>
      <w:proofErr w:type="spellStart"/>
      <w:r w:rsidRPr="006355EC">
        <w:rPr>
          <w:lang w:eastAsia="tr-TR"/>
        </w:rPr>
        <w:t>motivation</w:t>
      </w:r>
      <w:proofErr w:type="spellEnd"/>
      <w:r w:rsidRPr="006355EC">
        <w:rPr>
          <w:lang w:eastAsia="tr-TR"/>
        </w:rPr>
        <w:t xml:space="preserve"> </w:t>
      </w:r>
      <w:proofErr w:type="spellStart"/>
      <w:r w:rsidRPr="006355EC">
        <w:rPr>
          <w:lang w:eastAsia="tr-TR"/>
        </w:rPr>
        <w:t>and</w:t>
      </w:r>
      <w:proofErr w:type="spellEnd"/>
      <w:r w:rsidRPr="006355EC">
        <w:rPr>
          <w:lang w:eastAsia="tr-TR"/>
        </w:rPr>
        <w:t xml:space="preserve"> </w:t>
      </w:r>
      <w:proofErr w:type="spellStart"/>
      <w:r w:rsidRPr="006355EC">
        <w:rPr>
          <w:lang w:eastAsia="tr-TR"/>
        </w:rPr>
        <w:t>extrinsic</w:t>
      </w:r>
      <w:proofErr w:type="spellEnd"/>
      <w:r w:rsidRPr="006355EC">
        <w:rPr>
          <w:lang w:eastAsia="tr-TR"/>
        </w:rPr>
        <w:t xml:space="preserve"> </w:t>
      </w:r>
      <w:proofErr w:type="spellStart"/>
      <w:r w:rsidRPr="006355EC">
        <w:rPr>
          <w:lang w:eastAsia="tr-TR"/>
        </w:rPr>
        <w:t>incentives</w:t>
      </w:r>
      <w:proofErr w:type="spellEnd"/>
      <w:r w:rsidRPr="006355EC">
        <w:rPr>
          <w:lang w:eastAsia="tr-TR"/>
        </w:rPr>
        <w:t xml:space="preserve"> </w:t>
      </w:r>
      <w:proofErr w:type="spellStart"/>
      <w:r w:rsidRPr="006355EC">
        <w:rPr>
          <w:lang w:eastAsia="tr-TR"/>
        </w:rPr>
        <w:t>jointly</w:t>
      </w:r>
      <w:proofErr w:type="spellEnd"/>
      <w:r w:rsidRPr="006355EC">
        <w:rPr>
          <w:lang w:eastAsia="tr-TR"/>
        </w:rPr>
        <w:t xml:space="preserve"> </w:t>
      </w:r>
      <w:proofErr w:type="spellStart"/>
      <w:r w:rsidRPr="006355EC">
        <w:rPr>
          <w:lang w:eastAsia="tr-TR"/>
        </w:rPr>
        <w:t>predict</w:t>
      </w:r>
      <w:proofErr w:type="spellEnd"/>
      <w:r w:rsidRPr="006355EC">
        <w:rPr>
          <w:lang w:eastAsia="tr-TR"/>
        </w:rPr>
        <w:t xml:space="preserve"> </w:t>
      </w:r>
      <w:proofErr w:type="spellStart"/>
      <w:r w:rsidRPr="006355EC">
        <w:rPr>
          <w:lang w:eastAsia="tr-TR"/>
        </w:rPr>
        <w:t>performance</w:t>
      </w:r>
      <w:proofErr w:type="spellEnd"/>
      <w:r w:rsidRPr="006355EC">
        <w:rPr>
          <w:lang w:eastAsia="tr-TR"/>
        </w:rPr>
        <w:t>: a 40-year meta-</w:t>
      </w:r>
      <w:proofErr w:type="spellStart"/>
      <w:r w:rsidRPr="006355EC">
        <w:rPr>
          <w:lang w:eastAsia="tr-TR"/>
        </w:rPr>
        <w:t>analysis</w:t>
      </w:r>
      <w:proofErr w:type="spellEnd"/>
      <w:r w:rsidRPr="006355EC">
        <w:rPr>
          <w:lang w:eastAsia="tr-TR"/>
        </w:rPr>
        <w:t xml:space="preserve">. </w:t>
      </w:r>
      <w:proofErr w:type="spellStart"/>
      <w:r w:rsidRPr="006355EC">
        <w:rPr>
          <w:i/>
          <w:iCs/>
          <w:lang w:eastAsia="tr-TR"/>
        </w:rPr>
        <w:t>Psychological</w:t>
      </w:r>
      <w:proofErr w:type="spellEnd"/>
      <w:r w:rsidRPr="006355EC">
        <w:rPr>
          <w:i/>
          <w:iCs/>
          <w:lang w:eastAsia="tr-TR"/>
        </w:rPr>
        <w:t xml:space="preserve"> </w:t>
      </w:r>
      <w:proofErr w:type="spellStart"/>
      <w:r w:rsidRPr="006355EC">
        <w:rPr>
          <w:i/>
          <w:iCs/>
          <w:lang w:eastAsia="tr-TR"/>
        </w:rPr>
        <w:t>Bulletin</w:t>
      </w:r>
      <w:proofErr w:type="spellEnd"/>
      <w:r w:rsidRPr="006355EC">
        <w:rPr>
          <w:i/>
          <w:iCs/>
          <w:lang w:eastAsia="tr-TR"/>
        </w:rPr>
        <w:t>, 140</w:t>
      </w:r>
      <w:r w:rsidRPr="006355EC">
        <w:rPr>
          <w:lang w:eastAsia="tr-TR"/>
        </w:rPr>
        <w:t>(4), 980–1008. https://doi.org/10.1037 /a0035661.</w:t>
      </w:r>
    </w:p>
    <w:p w:rsidR="006355EC" w:rsidRPr="006355EC" w:rsidRDefault="006355EC" w:rsidP="006355EC">
      <w:pPr>
        <w:tabs>
          <w:tab w:val="left" w:pos="1620"/>
        </w:tabs>
        <w:autoSpaceDE w:val="0"/>
        <w:autoSpaceDN w:val="0"/>
        <w:adjustRightInd w:val="0"/>
        <w:spacing w:before="60" w:after="60" w:line="360" w:lineRule="auto"/>
        <w:ind w:left="567" w:right="-2" w:hanging="567"/>
        <w:jc w:val="both"/>
        <w:rPr>
          <w:lang w:eastAsia="tr-TR"/>
        </w:rPr>
      </w:pPr>
      <w:proofErr w:type="spellStart"/>
      <w:r w:rsidRPr="006355EC">
        <w:rPr>
          <w:lang w:eastAsia="tr-TR"/>
        </w:rPr>
        <w:t>Christensen</w:t>
      </w:r>
      <w:proofErr w:type="spellEnd"/>
      <w:r w:rsidRPr="006355EC">
        <w:rPr>
          <w:lang w:eastAsia="tr-TR"/>
        </w:rPr>
        <w:t xml:space="preserve">, R., </w:t>
      </w:r>
      <w:proofErr w:type="spellStart"/>
      <w:r w:rsidRPr="006355EC">
        <w:rPr>
          <w:lang w:eastAsia="tr-TR"/>
        </w:rPr>
        <w:t>Knezek</w:t>
      </w:r>
      <w:proofErr w:type="spellEnd"/>
      <w:r w:rsidRPr="006355EC">
        <w:rPr>
          <w:lang w:eastAsia="tr-TR"/>
        </w:rPr>
        <w:t xml:space="preserve">, G., (2015). Active </w:t>
      </w:r>
      <w:proofErr w:type="spellStart"/>
      <w:r w:rsidRPr="006355EC">
        <w:rPr>
          <w:lang w:eastAsia="tr-TR"/>
        </w:rPr>
        <w:t>learning</w:t>
      </w:r>
      <w:proofErr w:type="spellEnd"/>
      <w:r w:rsidRPr="006355EC">
        <w:rPr>
          <w:lang w:eastAsia="tr-TR"/>
        </w:rPr>
        <w:t xml:space="preserve"> </w:t>
      </w:r>
      <w:proofErr w:type="spellStart"/>
      <w:r w:rsidRPr="006355EC">
        <w:rPr>
          <w:lang w:eastAsia="tr-TR"/>
        </w:rPr>
        <w:t>approaches</w:t>
      </w:r>
      <w:proofErr w:type="spellEnd"/>
      <w:r w:rsidRPr="006355EC">
        <w:rPr>
          <w:lang w:eastAsia="tr-TR"/>
        </w:rPr>
        <w:t xml:space="preserve"> </w:t>
      </w:r>
      <w:proofErr w:type="spellStart"/>
      <w:r w:rsidRPr="006355EC">
        <w:rPr>
          <w:lang w:eastAsia="tr-TR"/>
        </w:rPr>
        <w:t>to</w:t>
      </w:r>
      <w:proofErr w:type="spellEnd"/>
      <w:r w:rsidRPr="006355EC">
        <w:rPr>
          <w:lang w:eastAsia="tr-TR"/>
        </w:rPr>
        <w:t xml:space="preserve"> </w:t>
      </w:r>
      <w:proofErr w:type="spellStart"/>
      <w:r w:rsidRPr="006355EC">
        <w:rPr>
          <w:lang w:eastAsia="tr-TR"/>
        </w:rPr>
        <w:t>integrating</w:t>
      </w:r>
      <w:proofErr w:type="spellEnd"/>
      <w:r w:rsidRPr="006355EC">
        <w:rPr>
          <w:lang w:eastAsia="tr-TR"/>
        </w:rPr>
        <w:t xml:space="preserve"> </w:t>
      </w:r>
      <w:proofErr w:type="spellStart"/>
      <w:r w:rsidRPr="006355EC">
        <w:rPr>
          <w:lang w:eastAsia="tr-TR"/>
        </w:rPr>
        <w:t>technology</w:t>
      </w:r>
      <w:proofErr w:type="spellEnd"/>
      <w:r w:rsidRPr="006355EC">
        <w:rPr>
          <w:lang w:eastAsia="tr-TR"/>
        </w:rPr>
        <w:t xml:space="preserve"> </w:t>
      </w:r>
      <w:proofErr w:type="spellStart"/>
      <w:r w:rsidRPr="006355EC">
        <w:rPr>
          <w:lang w:eastAsia="tr-TR"/>
        </w:rPr>
        <w:t>into</w:t>
      </w:r>
      <w:proofErr w:type="spellEnd"/>
      <w:r w:rsidRPr="006355EC">
        <w:rPr>
          <w:lang w:eastAsia="tr-TR"/>
        </w:rPr>
        <w:t xml:space="preserve"> </w:t>
      </w:r>
      <w:proofErr w:type="spellStart"/>
      <w:r w:rsidRPr="006355EC">
        <w:rPr>
          <w:lang w:eastAsia="tr-TR"/>
        </w:rPr>
        <w:t>middle</w:t>
      </w:r>
      <w:proofErr w:type="spellEnd"/>
      <w:r w:rsidRPr="006355EC">
        <w:rPr>
          <w:lang w:eastAsia="tr-TR"/>
        </w:rPr>
        <w:t xml:space="preserve"> </w:t>
      </w:r>
      <w:proofErr w:type="spellStart"/>
      <w:r w:rsidRPr="006355EC">
        <w:rPr>
          <w:lang w:eastAsia="tr-TR"/>
        </w:rPr>
        <w:t>school</w:t>
      </w:r>
      <w:proofErr w:type="spellEnd"/>
      <w:r w:rsidRPr="006355EC">
        <w:rPr>
          <w:lang w:eastAsia="tr-TR"/>
        </w:rPr>
        <w:t xml:space="preserve"> </w:t>
      </w:r>
      <w:proofErr w:type="spellStart"/>
      <w:r w:rsidRPr="006355EC">
        <w:rPr>
          <w:lang w:eastAsia="tr-TR"/>
        </w:rPr>
        <w:t>science</w:t>
      </w:r>
      <w:proofErr w:type="spellEnd"/>
      <w:r w:rsidRPr="006355EC">
        <w:rPr>
          <w:lang w:eastAsia="tr-TR"/>
        </w:rPr>
        <w:t xml:space="preserve"> </w:t>
      </w:r>
      <w:proofErr w:type="spellStart"/>
      <w:r w:rsidRPr="006355EC">
        <w:rPr>
          <w:lang w:eastAsia="tr-TR"/>
        </w:rPr>
        <w:t>classrooms</w:t>
      </w:r>
      <w:proofErr w:type="spellEnd"/>
      <w:r w:rsidRPr="006355EC">
        <w:rPr>
          <w:lang w:eastAsia="tr-TR"/>
        </w:rPr>
        <w:t xml:space="preserve">: </w:t>
      </w:r>
      <w:proofErr w:type="spellStart"/>
      <w:r w:rsidRPr="006355EC">
        <w:rPr>
          <w:lang w:eastAsia="tr-TR"/>
        </w:rPr>
        <w:t>reconceptualizing</w:t>
      </w:r>
      <w:proofErr w:type="spellEnd"/>
      <w:r w:rsidRPr="006355EC">
        <w:rPr>
          <w:lang w:eastAsia="tr-TR"/>
        </w:rPr>
        <w:t xml:space="preserve"> a </w:t>
      </w:r>
      <w:proofErr w:type="spellStart"/>
      <w:r w:rsidRPr="006355EC">
        <w:rPr>
          <w:lang w:eastAsia="tr-TR"/>
        </w:rPr>
        <w:t>middle</w:t>
      </w:r>
      <w:proofErr w:type="spellEnd"/>
      <w:r w:rsidRPr="006355EC">
        <w:rPr>
          <w:lang w:eastAsia="tr-TR"/>
        </w:rPr>
        <w:t xml:space="preserve"> </w:t>
      </w:r>
      <w:proofErr w:type="spellStart"/>
      <w:r w:rsidRPr="006355EC">
        <w:rPr>
          <w:lang w:eastAsia="tr-TR"/>
        </w:rPr>
        <w:t>school</w:t>
      </w:r>
      <w:proofErr w:type="spellEnd"/>
      <w:r w:rsidRPr="006355EC">
        <w:rPr>
          <w:lang w:eastAsia="tr-TR"/>
        </w:rPr>
        <w:t xml:space="preserve"> </w:t>
      </w:r>
      <w:proofErr w:type="spellStart"/>
      <w:r w:rsidRPr="006355EC">
        <w:rPr>
          <w:lang w:eastAsia="tr-TR"/>
        </w:rPr>
        <w:t>science</w:t>
      </w:r>
      <w:proofErr w:type="spellEnd"/>
      <w:r w:rsidRPr="006355EC">
        <w:rPr>
          <w:lang w:eastAsia="tr-TR"/>
        </w:rPr>
        <w:t xml:space="preserve"> </w:t>
      </w:r>
      <w:proofErr w:type="spellStart"/>
      <w:r w:rsidRPr="006355EC">
        <w:rPr>
          <w:lang w:eastAsia="tr-TR"/>
        </w:rPr>
        <w:t>curriculum</w:t>
      </w:r>
      <w:proofErr w:type="spellEnd"/>
      <w:r w:rsidRPr="006355EC">
        <w:rPr>
          <w:lang w:eastAsia="tr-TR"/>
        </w:rPr>
        <w:t xml:space="preserve"> </w:t>
      </w:r>
      <w:proofErr w:type="spellStart"/>
      <w:r w:rsidRPr="006355EC">
        <w:rPr>
          <w:lang w:eastAsia="tr-TR"/>
        </w:rPr>
        <w:t>based</w:t>
      </w:r>
      <w:proofErr w:type="spellEnd"/>
      <w:r w:rsidRPr="006355EC">
        <w:rPr>
          <w:lang w:eastAsia="tr-TR"/>
        </w:rPr>
        <w:t xml:space="preserve"> on 21st </w:t>
      </w:r>
      <w:proofErr w:type="spellStart"/>
      <w:r w:rsidRPr="006355EC">
        <w:rPr>
          <w:lang w:eastAsia="tr-TR"/>
        </w:rPr>
        <w:t>century</w:t>
      </w:r>
      <w:proofErr w:type="spellEnd"/>
      <w:r w:rsidRPr="006355EC">
        <w:rPr>
          <w:lang w:eastAsia="tr-TR"/>
        </w:rPr>
        <w:t xml:space="preserve"> </w:t>
      </w:r>
      <w:proofErr w:type="spellStart"/>
      <w:r w:rsidRPr="006355EC">
        <w:rPr>
          <w:lang w:eastAsia="tr-TR"/>
        </w:rPr>
        <w:t>skills</w:t>
      </w:r>
      <w:proofErr w:type="spellEnd"/>
      <w:r w:rsidRPr="006355EC">
        <w:rPr>
          <w:lang w:eastAsia="tr-TR"/>
        </w:rPr>
        <w:t xml:space="preserve">. </w:t>
      </w:r>
      <w:proofErr w:type="spellStart"/>
      <w:r w:rsidRPr="006355EC">
        <w:rPr>
          <w:lang w:eastAsia="tr-TR"/>
        </w:rPr>
        <w:t>Spector</w:t>
      </w:r>
      <w:proofErr w:type="spellEnd"/>
      <w:r w:rsidRPr="006355EC">
        <w:rPr>
          <w:lang w:eastAsia="tr-TR"/>
        </w:rPr>
        <w:t>, J. M. (</w:t>
      </w:r>
      <w:proofErr w:type="spellStart"/>
      <w:r w:rsidRPr="006355EC">
        <w:rPr>
          <w:lang w:eastAsia="tr-TR"/>
        </w:rPr>
        <w:t>eds</w:t>
      </w:r>
      <w:proofErr w:type="spellEnd"/>
      <w:r w:rsidRPr="006355EC">
        <w:rPr>
          <w:lang w:eastAsia="tr-TR"/>
        </w:rPr>
        <w:t xml:space="preserve">). </w:t>
      </w:r>
      <w:r w:rsidRPr="006355EC">
        <w:rPr>
          <w:i/>
          <w:iCs/>
          <w:lang w:eastAsia="tr-TR"/>
        </w:rPr>
        <w:t xml:space="preserve">Full </w:t>
      </w:r>
      <w:proofErr w:type="spellStart"/>
      <w:r w:rsidRPr="006355EC">
        <w:rPr>
          <w:i/>
          <w:iCs/>
          <w:lang w:eastAsia="tr-TR"/>
        </w:rPr>
        <w:t>steam</w:t>
      </w:r>
      <w:proofErr w:type="spellEnd"/>
      <w:r w:rsidRPr="006355EC">
        <w:rPr>
          <w:i/>
          <w:iCs/>
          <w:lang w:eastAsia="tr-TR"/>
        </w:rPr>
        <w:t xml:space="preserve"> </w:t>
      </w:r>
      <w:proofErr w:type="spellStart"/>
      <w:r w:rsidRPr="006355EC">
        <w:rPr>
          <w:i/>
          <w:iCs/>
          <w:lang w:eastAsia="tr-TR"/>
        </w:rPr>
        <w:t>ahead</w:t>
      </w:r>
      <w:proofErr w:type="spellEnd"/>
      <w:r w:rsidRPr="006355EC">
        <w:rPr>
          <w:i/>
          <w:iCs/>
          <w:lang w:eastAsia="tr-TR"/>
        </w:rPr>
        <w:t>:</w:t>
      </w:r>
      <w:r w:rsidRPr="006355EC">
        <w:rPr>
          <w:lang w:eastAsia="tr-TR"/>
        </w:rPr>
        <w:t xml:space="preserve"> </w:t>
      </w:r>
      <w:proofErr w:type="spellStart"/>
      <w:r w:rsidRPr="006355EC">
        <w:rPr>
          <w:i/>
          <w:iCs/>
          <w:lang w:eastAsia="tr-TR"/>
        </w:rPr>
        <w:t>emerging</w:t>
      </w:r>
      <w:proofErr w:type="spellEnd"/>
      <w:r w:rsidRPr="006355EC">
        <w:rPr>
          <w:i/>
          <w:iCs/>
          <w:lang w:eastAsia="tr-TR"/>
        </w:rPr>
        <w:t xml:space="preserve"> </w:t>
      </w:r>
      <w:proofErr w:type="spellStart"/>
      <w:r w:rsidRPr="006355EC">
        <w:rPr>
          <w:i/>
          <w:iCs/>
          <w:lang w:eastAsia="tr-TR"/>
        </w:rPr>
        <w:t>technologies</w:t>
      </w:r>
      <w:proofErr w:type="spellEnd"/>
      <w:r w:rsidRPr="006355EC">
        <w:rPr>
          <w:i/>
          <w:iCs/>
          <w:lang w:eastAsia="tr-TR"/>
        </w:rPr>
        <w:t xml:space="preserve"> </w:t>
      </w:r>
      <w:proofErr w:type="spellStart"/>
      <w:r w:rsidRPr="006355EC">
        <w:rPr>
          <w:i/>
          <w:iCs/>
          <w:lang w:eastAsia="tr-TR"/>
        </w:rPr>
        <w:t>for</w:t>
      </w:r>
      <w:proofErr w:type="spellEnd"/>
      <w:r w:rsidRPr="006355EC">
        <w:rPr>
          <w:i/>
          <w:iCs/>
          <w:lang w:eastAsia="tr-TR"/>
        </w:rPr>
        <w:t xml:space="preserve"> STEAM</w:t>
      </w:r>
      <w:r w:rsidRPr="006355EC">
        <w:rPr>
          <w:lang w:eastAsia="tr-TR"/>
        </w:rPr>
        <w:t xml:space="preserve">. </w:t>
      </w:r>
      <w:proofErr w:type="spellStart"/>
      <w:r w:rsidRPr="006355EC">
        <w:rPr>
          <w:lang w:eastAsia="tr-TR"/>
        </w:rPr>
        <w:t>Springer</w:t>
      </w:r>
      <w:proofErr w:type="spellEnd"/>
      <w:r w:rsidRPr="006355EC">
        <w:rPr>
          <w:lang w:eastAsia="tr-TR"/>
        </w:rPr>
        <w:t xml:space="preserve"> </w:t>
      </w:r>
      <w:proofErr w:type="spellStart"/>
      <w:r w:rsidRPr="006355EC">
        <w:rPr>
          <w:lang w:eastAsia="tr-TR"/>
        </w:rPr>
        <w:t>Academic</w:t>
      </w:r>
      <w:proofErr w:type="spellEnd"/>
      <w:r w:rsidRPr="006355EC">
        <w:rPr>
          <w:lang w:eastAsia="tr-TR"/>
        </w:rPr>
        <w:t>, New York.</w:t>
      </w:r>
    </w:p>
    <w:p w:rsidR="006355EC" w:rsidRPr="006355EC" w:rsidRDefault="006355EC" w:rsidP="006355EC">
      <w:pPr>
        <w:tabs>
          <w:tab w:val="left" w:pos="1620"/>
        </w:tabs>
        <w:autoSpaceDE w:val="0"/>
        <w:autoSpaceDN w:val="0"/>
        <w:adjustRightInd w:val="0"/>
        <w:spacing w:before="60" w:after="60" w:line="360" w:lineRule="auto"/>
        <w:ind w:left="567" w:right="-2" w:hanging="567"/>
        <w:jc w:val="both"/>
        <w:rPr>
          <w:lang w:eastAsia="tr-TR"/>
        </w:rPr>
      </w:pPr>
      <w:proofErr w:type="spellStart"/>
      <w:r w:rsidRPr="006355EC">
        <w:rPr>
          <w:lang w:eastAsia="tr-TR"/>
        </w:rPr>
        <w:t>Christie</w:t>
      </w:r>
      <w:proofErr w:type="spellEnd"/>
      <w:r w:rsidRPr="006355EC">
        <w:rPr>
          <w:lang w:eastAsia="tr-TR"/>
        </w:rPr>
        <w:t xml:space="preserve">, H., </w:t>
      </w:r>
      <w:proofErr w:type="spellStart"/>
      <w:r w:rsidRPr="006355EC">
        <w:rPr>
          <w:lang w:eastAsia="tr-TR"/>
        </w:rPr>
        <w:t>Tett</w:t>
      </w:r>
      <w:proofErr w:type="spellEnd"/>
      <w:r w:rsidRPr="006355EC">
        <w:rPr>
          <w:lang w:eastAsia="tr-TR"/>
        </w:rPr>
        <w:t xml:space="preserve">, L., </w:t>
      </w:r>
      <w:proofErr w:type="spellStart"/>
      <w:r w:rsidRPr="006355EC">
        <w:rPr>
          <w:lang w:eastAsia="tr-TR"/>
        </w:rPr>
        <w:t>Cree</w:t>
      </w:r>
      <w:proofErr w:type="spellEnd"/>
      <w:r w:rsidRPr="006355EC">
        <w:rPr>
          <w:lang w:eastAsia="tr-TR"/>
        </w:rPr>
        <w:t xml:space="preserve">, V. E., </w:t>
      </w:r>
      <w:proofErr w:type="spellStart"/>
      <w:r w:rsidRPr="006355EC">
        <w:rPr>
          <w:lang w:eastAsia="tr-TR"/>
        </w:rPr>
        <w:t>Hounsell</w:t>
      </w:r>
      <w:proofErr w:type="spellEnd"/>
      <w:r w:rsidRPr="006355EC">
        <w:rPr>
          <w:lang w:eastAsia="tr-TR"/>
        </w:rPr>
        <w:t xml:space="preserve">, J., &amp; </w:t>
      </w:r>
      <w:proofErr w:type="spellStart"/>
      <w:r w:rsidRPr="006355EC">
        <w:rPr>
          <w:lang w:eastAsia="tr-TR"/>
        </w:rPr>
        <w:t>McCune</w:t>
      </w:r>
      <w:proofErr w:type="spellEnd"/>
      <w:r w:rsidRPr="006355EC">
        <w:rPr>
          <w:lang w:eastAsia="tr-TR"/>
        </w:rPr>
        <w:t xml:space="preserve">, V. </w:t>
      </w:r>
      <w:bookmarkEnd w:id="12"/>
      <w:r w:rsidRPr="006355EC">
        <w:rPr>
          <w:lang w:eastAsia="tr-TR"/>
        </w:rPr>
        <w:t xml:space="preserve">(2008). ‘A </w:t>
      </w:r>
      <w:proofErr w:type="spellStart"/>
      <w:r w:rsidRPr="006355EC">
        <w:rPr>
          <w:lang w:eastAsia="tr-TR"/>
        </w:rPr>
        <w:t>real</w:t>
      </w:r>
      <w:proofErr w:type="spellEnd"/>
      <w:r w:rsidRPr="006355EC">
        <w:rPr>
          <w:lang w:eastAsia="tr-TR"/>
        </w:rPr>
        <w:t xml:space="preserve"> </w:t>
      </w:r>
      <w:proofErr w:type="spellStart"/>
      <w:r w:rsidRPr="006355EC">
        <w:rPr>
          <w:lang w:eastAsia="tr-TR"/>
        </w:rPr>
        <w:t>rollercoaster</w:t>
      </w:r>
      <w:proofErr w:type="spellEnd"/>
      <w:r w:rsidRPr="006355EC">
        <w:rPr>
          <w:lang w:eastAsia="tr-TR"/>
        </w:rPr>
        <w:t xml:space="preserve"> of </w:t>
      </w:r>
      <w:proofErr w:type="spellStart"/>
      <w:r w:rsidRPr="006355EC">
        <w:rPr>
          <w:lang w:eastAsia="tr-TR"/>
        </w:rPr>
        <w:t>confidence</w:t>
      </w:r>
      <w:proofErr w:type="spellEnd"/>
      <w:r w:rsidRPr="006355EC">
        <w:rPr>
          <w:lang w:eastAsia="tr-TR"/>
        </w:rPr>
        <w:t xml:space="preserve"> </w:t>
      </w:r>
      <w:proofErr w:type="spellStart"/>
      <w:r w:rsidRPr="006355EC">
        <w:rPr>
          <w:lang w:eastAsia="tr-TR"/>
        </w:rPr>
        <w:t>and</w:t>
      </w:r>
      <w:proofErr w:type="spellEnd"/>
      <w:r w:rsidRPr="006355EC">
        <w:rPr>
          <w:lang w:eastAsia="tr-TR"/>
        </w:rPr>
        <w:t xml:space="preserve"> </w:t>
      </w:r>
      <w:proofErr w:type="spellStart"/>
      <w:r w:rsidRPr="006355EC">
        <w:rPr>
          <w:lang w:eastAsia="tr-TR"/>
        </w:rPr>
        <w:t>emotions</w:t>
      </w:r>
      <w:proofErr w:type="spellEnd"/>
      <w:r w:rsidRPr="006355EC">
        <w:rPr>
          <w:lang w:eastAsia="tr-TR"/>
        </w:rPr>
        <w:t xml:space="preserve">’: </w:t>
      </w:r>
      <w:proofErr w:type="spellStart"/>
      <w:r w:rsidRPr="006355EC">
        <w:rPr>
          <w:lang w:eastAsia="tr-TR"/>
        </w:rPr>
        <w:t>learning</w:t>
      </w:r>
      <w:proofErr w:type="spellEnd"/>
      <w:r w:rsidRPr="006355EC">
        <w:rPr>
          <w:lang w:eastAsia="tr-TR"/>
        </w:rPr>
        <w:t xml:space="preserve"> </w:t>
      </w:r>
      <w:proofErr w:type="spellStart"/>
      <w:r w:rsidRPr="006355EC">
        <w:rPr>
          <w:lang w:eastAsia="tr-TR"/>
        </w:rPr>
        <w:t>to</w:t>
      </w:r>
      <w:proofErr w:type="spellEnd"/>
      <w:r w:rsidRPr="006355EC">
        <w:rPr>
          <w:lang w:eastAsia="tr-TR"/>
        </w:rPr>
        <w:t xml:space="preserve"> be a </w:t>
      </w:r>
      <w:proofErr w:type="spellStart"/>
      <w:r w:rsidRPr="006355EC">
        <w:rPr>
          <w:lang w:eastAsia="tr-TR"/>
        </w:rPr>
        <w:t>university</w:t>
      </w:r>
      <w:proofErr w:type="spellEnd"/>
      <w:r w:rsidRPr="006355EC">
        <w:rPr>
          <w:lang w:eastAsia="tr-TR"/>
        </w:rPr>
        <w:t xml:space="preserve"> </w:t>
      </w:r>
      <w:proofErr w:type="spellStart"/>
      <w:r w:rsidRPr="006355EC">
        <w:rPr>
          <w:lang w:eastAsia="tr-TR"/>
        </w:rPr>
        <w:t>student</w:t>
      </w:r>
      <w:proofErr w:type="spellEnd"/>
      <w:r w:rsidRPr="006355EC">
        <w:rPr>
          <w:lang w:eastAsia="tr-TR"/>
        </w:rPr>
        <w:t xml:space="preserve">. </w:t>
      </w:r>
      <w:proofErr w:type="spellStart"/>
      <w:r w:rsidRPr="006355EC">
        <w:rPr>
          <w:i/>
          <w:iCs/>
          <w:lang w:eastAsia="tr-TR"/>
        </w:rPr>
        <w:t>Studies</w:t>
      </w:r>
      <w:proofErr w:type="spellEnd"/>
      <w:r w:rsidRPr="006355EC">
        <w:rPr>
          <w:i/>
          <w:iCs/>
          <w:lang w:eastAsia="tr-TR"/>
        </w:rPr>
        <w:t xml:space="preserve"> in </w:t>
      </w:r>
      <w:proofErr w:type="spellStart"/>
      <w:r w:rsidRPr="006355EC">
        <w:rPr>
          <w:i/>
          <w:iCs/>
          <w:lang w:eastAsia="tr-TR"/>
        </w:rPr>
        <w:t>Higher</w:t>
      </w:r>
      <w:proofErr w:type="spellEnd"/>
      <w:r w:rsidRPr="006355EC">
        <w:rPr>
          <w:i/>
          <w:iCs/>
          <w:lang w:eastAsia="tr-TR"/>
        </w:rPr>
        <w:t xml:space="preserve"> </w:t>
      </w:r>
      <w:proofErr w:type="spellStart"/>
      <w:r w:rsidRPr="006355EC">
        <w:rPr>
          <w:i/>
          <w:iCs/>
          <w:lang w:eastAsia="tr-TR"/>
        </w:rPr>
        <w:t>Education</w:t>
      </w:r>
      <w:proofErr w:type="spellEnd"/>
      <w:r w:rsidRPr="006355EC">
        <w:rPr>
          <w:i/>
          <w:iCs/>
          <w:lang w:eastAsia="tr-TR"/>
        </w:rPr>
        <w:t>, 33</w:t>
      </w:r>
      <w:r w:rsidRPr="006355EC">
        <w:rPr>
          <w:lang w:eastAsia="tr-TR"/>
        </w:rPr>
        <w:t xml:space="preserve">(5), 567–581. </w:t>
      </w:r>
      <w:hyperlink r:id="rId10" w:history="1">
        <w:r w:rsidRPr="006355EC">
          <w:rPr>
            <w:rStyle w:val="Kpr"/>
            <w:lang w:eastAsia="tr-TR"/>
          </w:rPr>
          <w:t>https://doi.org/10.1080/03075070802373040</w:t>
        </w:r>
      </w:hyperlink>
      <w:r w:rsidRPr="006355EC">
        <w:rPr>
          <w:lang w:eastAsia="tr-TR"/>
        </w:rPr>
        <w:t>.</w:t>
      </w:r>
    </w:p>
    <w:p w:rsidR="006355EC" w:rsidRPr="006355EC" w:rsidRDefault="006355EC" w:rsidP="006355EC">
      <w:pPr>
        <w:tabs>
          <w:tab w:val="left" w:pos="1620"/>
        </w:tabs>
        <w:autoSpaceDE w:val="0"/>
        <w:autoSpaceDN w:val="0"/>
        <w:adjustRightInd w:val="0"/>
        <w:spacing w:before="60" w:after="60" w:line="360" w:lineRule="auto"/>
        <w:ind w:left="567" w:right="-2" w:hanging="567"/>
        <w:jc w:val="both"/>
        <w:rPr>
          <w:lang w:eastAsia="tr-TR"/>
        </w:rPr>
      </w:pPr>
      <w:r w:rsidRPr="006355EC">
        <w:rPr>
          <w:lang w:eastAsia="tr-TR"/>
        </w:rPr>
        <w:t xml:space="preserve">Çokluk, Ö., Şekercioğlu, G., Büyüköztürk, Ş. (2010). </w:t>
      </w:r>
      <w:r w:rsidRPr="006355EC">
        <w:rPr>
          <w:i/>
          <w:iCs/>
          <w:lang w:eastAsia="tr-TR"/>
        </w:rPr>
        <w:t>Sosyal bilimler için çok değişkenli istatistik: SPSS ve LISREL uygulamalar</w:t>
      </w:r>
      <w:r w:rsidRPr="006355EC">
        <w:rPr>
          <w:lang w:eastAsia="tr-TR"/>
        </w:rPr>
        <w:t xml:space="preserve">. Ankara: </w:t>
      </w:r>
      <w:proofErr w:type="spellStart"/>
      <w:r w:rsidRPr="006355EC">
        <w:rPr>
          <w:lang w:eastAsia="tr-TR"/>
        </w:rPr>
        <w:t>Pegema</w:t>
      </w:r>
      <w:proofErr w:type="spellEnd"/>
    </w:p>
    <w:p w:rsidR="00875936" w:rsidRDefault="00875936" w:rsidP="006355EC">
      <w:pPr>
        <w:tabs>
          <w:tab w:val="left" w:pos="1620"/>
        </w:tabs>
        <w:autoSpaceDE w:val="0"/>
        <w:autoSpaceDN w:val="0"/>
        <w:adjustRightInd w:val="0"/>
        <w:spacing w:before="60" w:after="60" w:line="360" w:lineRule="auto"/>
        <w:ind w:left="567" w:right="-2" w:hanging="567"/>
        <w:jc w:val="both"/>
        <w:rPr>
          <w:lang w:eastAsia="tr-TR"/>
        </w:rPr>
      </w:pPr>
      <w:bookmarkStart w:id="13" w:name="_Hlk24821797"/>
      <w:proofErr w:type="spellStart"/>
      <w:r w:rsidRPr="00875936">
        <w:rPr>
          <w:lang w:eastAsia="tr-TR"/>
        </w:rPr>
        <w:t>Deci</w:t>
      </w:r>
      <w:proofErr w:type="spellEnd"/>
      <w:r w:rsidRPr="00875936">
        <w:rPr>
          <w:lang w:eastAsia="tr-TR"/>
        </w:rPr>
        <w:t xml:space="preserve">, E., &amp; </w:t>
      </w:r>
      <w:proofErr w:type="spellStart"/>
      <w:r w:rsidRPr="00875936">
        <w:rPr>
          <w:lang w:eastAsia="tr-TR"/>
        </w:rPr>
        <w:t>Ryan</w:t>
      </w:r>
      <w:proofErr w:type="spellEnd"/>
      <w:r w:rsidRPr="00875936">
        <w:rPr>
          <w:lang w:eastAsia="tr-TR"/>
        </w:rPr>
        <w:t xml:space="preserve">, R. M. (1985). </w:t>
      </w:r>
      <w:proofErr w:type="spellStart"/>
      <w:r w:rsidRPr="00875936">
        <w:rPr>
          <w:i/>
          <w:iCs/>
          <w:lang w:eastAsia="tr-TR"/>
        </w:rPr>
        <w:t>Intrinsic</w:t>
      </w:r>
      <w:proofErr w:type="spellEnd"/>
      <w:r w:rsidRPr="00875936">
        <w:rPr>
          <w:i/>
          <w:iCs/>
          <w:lang w:eastAsia="tr-TR"/>
        </w:rPr>
        <w:t xml:space="preserve"> </w:t>
      </w:r>
      <w:proofErr w:type="spellStart"/>
      <w:r w:rsidRPr="00875936">
        <w:rPr>
          <w:i/>
          <w:iCs/>
          <w:lang w:eastAsia="tr-TR"/>
        </w:rPr>
        <w:t>motivation</w:t>
      </w:r>
      <w:proofErr w:type="spellEnd"/>
      <w:r w:rsidRPr="00875936">
        <w:rPr>
          <w:i/>
          <w:iCs/>
          <w:lang w:eastAsia="tr-TR"/>
        </w:rPr>
        <w:t xml:space="preserve"> </w:t>
      </w:r>
      <w:proofErr w:type="spellStart"/>
      <w:r w:rsidRPr="00875936">
        <w:rPr>
          <w:i/>
          <w:iCs/>
          <w:lang w:eastAsia="tr-TR"/>
        </w:rPr>
        <w:t>and</w:t>
      </w:r>
      <w:proofErr w:type="spellEnd"/>
      <w:r w:rsidRPr="00875936">
        <w:rPr>
          <w:i/>
          <w:iCs/>
          <w:lang w:eastAsia="tr-TR"/>
        </w:rPr>
        <w:t xml:space="preserve"> self-</w:t>
      </w:r>
      <w:proofErr w:type="spellStart"/>
      <w:r w:rsidRPr="00875936">
        <w:rPr>
          <w:i/>
          <w:iCs/>
          <w:lang w:eastAsia="tr-TR"/>
        </w:rPr>
        <w:t>determination</w:t>
      </w:r>
      <w:proofErr w:type="spellEnd"/>
      <w:r w:rsidRPr="00875936">
        <w:rPr>
          <w:i/>
          <w:iCs/>
          <w:lang w:eastAsia="tr-TR"/>
        </w:rPr>
        <w:t xml:space="preserve"> in </w:t>
      </w:r>
      <w:proofErr w:type="spellStart"/>
      <w:r w:rsidRPr="00875936">
        <w:rPr>
          <w:i/>
          <w:iCs/>
          <w:lang w:eastAsia="tr-TR"/>
        </w:rPr>
        <w:t>human</w:t>
      </w:r>
      <w:proofErr w:type="spellEnd"/>
      <w:r w:rsidRPr="00875936">
        <w:rPr>
          <w:i/>
          <w:iCs/>
          <w:lang w:eastAsia="tr-TR"/>
        </w:rPr>
        <w:t xml:space="preserve"> </w:t>
      </w:r>
      <w:proofErr w:type="spellStart"/>
      <w:r w:rsidRPr="00875936">
        <w:rPr>
          <w:i/>
          <w:iCs/>
          <w:lang w:eastAsia="tr-TR"/>
        </w:rPr>
        <w:t>behavior</w:t>
      </w:r>
      <w:proofErr w:type="spellEnd"/>
      <w:r w:rsidRPr="00875936">
        <w:rPr>
          <w:lang w:eastAsia="tr-TR"/>
        </w:rPr>
        <w:t xml:space="preserve">. Berlin: </w:t>
      </w:r>
      <w:proofErr w:type="spellStart"/>
      <w:r w:rsidRPr="00875936">
        <w:rPr>
          <w:lang w:eastAsia="tr-TR"/>
        </w:rPr>
        <w:t>Springer</w:t>
      </w:r>
      <w:proofErr w:type="spellEnd"/>
      <w:r w:rsidRPr="00875936">
        <w:rPr>
          <w:lang w:eastAsia="tr-TR"/>
        </w:rPr>
        <w:t xml:space="preserve"> </w:t>
      </w:r>
      <w:proofErr w:type="spellStart"/>
      <w:r w:rsidRPr="00875936">
        <w:rPr>
          <w:lang w:eastAsia="tr-TR"/>
        </w:rPr>
        <w:t>Science</w:t>
      </w:r>
      <w:proofErr w:type="spellEnd"/>
      <w:r w:rsidRPr="00875936">
        <w:rPr>
          <w:lang w:eastAsia="tr-TR"/>
        </w:rPr>
        <w:t xml:space="preserve"> &amp; Business Media</w:t>
      </w:r>
    </w:p>
    <w:p w:rsidR="006355EC" w:rsidRPr="006355EC" w:rsidRDefault="006355EC" w:rsidP="006355EC">
      <w:pPr>
        <w:tabs>
          <w:tab w:val="left" w:pos="1620"/>
        </w:tabs>
        <w:autoSpaceDE w:val="0"/>
        <w:autoSpaceDN w:val="0"/>
        <w:adjustRightInd w:val="0"/>
        <w:spacing w:before="60" w:after="60" w:line="360" w:lineRule="auto"/>
        <w:ind w:left="567" w:right="-2" w:hanging="567"/>
        <w:jc w:val="both"/>
        <w:rPr>
          <w:lang w:eastAsia="tr-TR"/>
        </w:rPr>
      </w:pPr>
      <w:proofErr w:type="spellStart"/>
      <w:r w:rsidRPr="006355EC">
        <w:rPr>
          <w:lang w:eastAsia="tr-TR"/>
        </w:rPr>
        <w:t>Doll</w:t>
      </w:r>
      <w:proofErr w:type="spellEnd"/>
      <w:r w:rsidRPr="006355EC">
        <w:rPr>
          <w:lang w:eastAsia="tr-TR"/>
        </w:rPr>
        <w:t xml:space="preserve">, W. J. </w:t>
      </w:r>
      <w:proofErr w:type="spellStart"/>
      <w:r w:rsidRPr="006355EC">
        <w:rPr>
          <w:lang w:eastAsia="tr-TR"/>
        </w:rPr>
        <w:t>Weidong</w:t>
      </w:r>
      <w:proofErr w:type="spellEnd"/>
      <w:r w:rsidRPr="006355EC">
        <w:rPr>
          <w:lang w:eastAsia="tr-TR"/>
        </w:rPr>
        <w:t xml:space="preserve">, X., </w:t>
      </w:r>
      <w:proofErr w:type="spellStart"/>
      <w:r w:rsidRPr="006355EC">
        <w:rPr>
          <w:lang w:eastAsia="tr-TR"/>
        </w:rPr>
        <w:t>Gholamreza</w:t>
      </w:r>
      <w:bookmarkEnd w:id="13"/>
      <w:proofErr w:type="spellEnd"/>
      <w:r w:rsidRPr="006355EC">
        <w:rPr>
          <w:lang w:eastAsia="tr-TR"/>
        </w:rPr>
        <w:t xml:space="preserve">, T. (1994). A </w:t>
      </w:r>
      <w:proofErr w:type="spellStart"/>
      <w:r w:rsidRPr="006355EC">
        <w:rPr>
          <w:lang w:eastAsia="tr-TR"/>
        </w:rPr>
        <w:t>confirmatory</w:t>
      </w:r>
      <w:proofErr w:type="spellEnd"/>
      <w:r w:rsidRPr="006355EC">
        <w:rPr>
          <w:lang w:eastAsia="tr-TR"/>
        </w:rPr>
        <w:t xml:space="preserve"> </w:t>
      </w:r>
      <w:proofErr w:type="spellStart"/>
      <w:r w:rsidRPr="006355EC">
        <w:rPr>
          <w:lang w:eastAsia="tr-TR"/>
        </w:rPr>
        <w:t>factor</w:t>
      </w:r>
      <w:proofErr w:type="spellEnd"/>
      <w:r w:rsidRPr="006355EC">
        <w:rPr>
          <w:lang w:eastAsia="tr-TR"/>
        </w:rPr>
        <w:t xml:space="preserve"> </w:t>
      </w:r>
      <w:proofErr w:type="spellStart"/>
      <w:r w:rsidRPr="006355EC">
        <w:rPr>
          <w:lang w:eastAsia="tr-TR"/>
        </w:rPr>
        <w:t>analysis</w:t>
      </w:r>
      <w:proofErr w:type="spellEnd"/>
      <w:r w:rsidRPr="006355EC">
        <w:rPr>
          <w:lang w:eastAsia="tr-TR"/>
        </w:rPr>
        <w:t xml:space="preserve"> of </w:t>
      </w:r>
      <w:proofErr w:type="spellStart"/>
      <w:r w:rsidRPr="006355EC">
        <w:rPr>
          <w:lang w:eastAsia="tr-TR"/>
        </w:rPr>
        <w:t>the</w:t>
      </w:r>
      <w:proofErr w:type="spellEnd"/>
      <w:r w:rsidRPr="006355EC">
        <w:rPr>
          <w:lang w:eastAsia="tr-TR"/>
        </w:rPr>
        <w:t xml:space="preserve"> </w:t>
      </w:r>
      <w:proofErr w:type="spellStart"/>
      <w:r w:rsidRPr="006355EC">
        <w:rPr>
          <w:lang w:eastAsia="tr-TR"/>
        </w:rPr>
        <w:t>end-user</w:t>
      </w:r>
      <w:proofErr w:type="spellEnd"/>
      <w:r w:rsidRPr="006355EC">
        <w:rPr>
          <w:lang w:eastAsia="tr-TR"/>
        </w:rPr>
        <w:t xml:space="preserve"> </w:t>
      </w:r>
      <w:proofErr w:type="spellStart"/>
      <w:r w:rsidRPr="006355EC">
        <w:rPr>
          <w:lang w:eastAsia="tr-TR"/>
        </w:rPr>
        <w:t>computing</w:t>
      </w:r>
      <w:proofErr w:type="spellEnd"/>
      <w:r w:rsidRPr="006355EC">
        <w:rPr>
          <w:lang w:eastAsia="tr-TR"/>
        </w:rPr>
        <w:t xml:space="preserve"> </w:t>
      </w:r>
      <w:proofErr w:type="spellStart"/>
      <w:r w:rsidRPr="006355EC">
        <w:rPr>
          <w:lang w:eastAsia="tr-TR"/>
        </w:rPr>
        <w:t>satisfaction</w:t>
      </w:r>
      <w:proofErr w:type="spellEnd"/>
      <w:r w:rsidRPr="006355EC">
        <w:rPr>
          <w:lang w:eastAsia="tr-TR"/>
        </w:rPr>
        <w:t xml:space="preserve"> </w:t>
      </w:r>
      <w:proofErr w:type="spellStart"/>
      <w:r w:rsidRPr="006355EC">
        <w:rPr>
          <w:lang w:eastAsia="tr-TR"/>
        </w:rPr>
        <w:t>instrument</w:t>
      </w:r>
      <w:proofErr w:type="spellEnd"/>
      <w:r w:rsidRPr="006355EC">
        <w:rPr>
          <w:lang w:eastAsia="tr-TR"/>
        </w:rPr>
        <w:t xml:space="preserve">, </w:t>
      </w:r>
      <w:r w:rsidRPr="006355EC">
        <w:rPr>
          <w:i/>
          <w:lang w:eastAsia="tr-TR"/>
        </w:rPr>
        <w:t xml:space="preserve">MIS </w:t>
      </w:r>
      <w:proofErr w:type="spellStart"/>
      <w:r w:rsidRPr="006355EC">
        <w:rPr>
          <w:i/>
          <w:lang w:eastAsia="tr-TR"/>
        </w:rPr>
        <w:t>Quarterly</w:t>
      </w:r>
      <w:proofErr w:type="spellEnd"/>
      <w:r w:rsidRPr="006355EC">
        <w:rPr>
          <w:lang w:eastAsia="tr-TR"/>
        </w:rPr>
        <w:t>, 18 (4), 453-461.</w:t>
      </w:r>
    </w:p>
    <w:p w:rsidR="006355EC" w:rsidRPr="006355EC" w:rsidRDefault="006355EC" w:rsidP="006355EC">
      <w:pPr>
        <w:tabs>
          <w:tab w:val="left" w:pos="1620"/>
        </w:tabs>
        <w:autoSpaceDE w:val="0"/>
        <w:autoSpaceDN w:val="0"/>
        <w:adjustRightInd w:val="0"/>
        <w:spacing w:before="60" w:after="60" w:line="360" w:lineRule="auto"/>
        <w:ind w:left="567" w:right="-2" w:hanging="567"/>
        <w:jc w:val="both"/>
        <w:rPr>
          <w:lang w:eastAsia="tr-TR"/>
        </w:rPr>
      </w:pPr>
      <w:proofErr w:type="spellStart"/>
      <w:r w:rsidRPr="006355EC">
        <w:rPr>
          <w:lang w:eastAsia="tr-TR"/>
        </w:rPr>
        <w:t>Elliot</w:t>
      </w:r>
      <w:proofErr w:type="spellEnd"/>
      <w:r w:rsidRPr="006355EC">
        <w:rPr>
          <w:lang w:eastAsia="tr-TR"/>
        </w:rPr>
        <w:t xml:space="preserve">, A. J., &amp; </w:t>
      </w:r>
      <w:proofErr w:type="spellStart"/>
      <w:r w:rsidRPr="006355EC">
        <w:rPr>
          <w:lang w:eastAsia="tr-TR"/>
        </w:rPr>
        <w:t>Covington</w:t>
      </w:r>
      <w:proofErr w:type="spellEnd"/>
      <w:r w:rsidRPr="006355EC">
        <w:rPr>
          <w:lang w:eastAsia="tr-TR"/>
        </w:rPr>
        <w:t xml:space="preserve">, M. V. (2001). </w:t>
      </w:r>
      <w:proofErr w:type="spellStart"/>
      <w:r w:rsidRPr="006355EC">
        <w:rPr>
          <w:lang w:eastAsia="tr-TR"/>
        </w:rPr>
        <w:t>Approach</w:t>
      </w:r>
      <w:proofErr w:type="spellEnd"/>
      <w:r w:rsidRPr="006355EC">
        <w:rPr>
          <w:lang w:eastAsia="tr-TR"/>
        </w:rPr>
        <w:t xml:space="preserve"> </w:t>
      </w:r>
      <w:proofErr w:type="spellStart"/>
      <w:r w:rsidRPr="006355EC">
        <w:rPr>
          <w:lang w:eastAsia="tr-TR"/>
        </w:rPr>
        <w:t>and</w:t>
      </w:r>
      <w:proofErr w:type="spellEnd"/>
      <w:r w:rsidRPr="006355EC">
        <w:rPr>
          <w:lang w:eastAsia="tr-TR"/>
        </w:rPr>
        <w:t xml:space="preserve"> </w:t>
      </w:r>
      <w:proofErr w:type="spellStart"/>
      <w:r w:rsidRPr="006355EC">
        <w:rPr>
          <w:lang w:eastAsia="tr-TR"/>
        </w:rPr>
        <w:t>avoidance</w:t>
      </w:r>
      <w:proofErr w:type="spellEnd"/>
      <w:r w:rsidRPr="006355EC">
        <w:rPr>
          <w:lang w:eastAsia="tr-TR"/>
        </w:rPr>
        <w:t xml:space="preserve"> </w:t>
      </w:r>
      <w:proofErr w:type="spellStart"/>
      <w:r w:rsidRPr="006355EC">
        <w:rPr>
          <w:lang w:eastAsia="tr-TR"/>
        </w:rPr>
        <w:t>motivation</w:t>
      </w:r>
      <w:proofErr w:type="spellEnd"/>
      <w:r w:rsidRPr="006355EC">
        <w:rPr>
          <w:lang w:eastAsia="tr-TR"/>
        </w:rPr>
        <w:t xml:space="preserve">. </w:t>
      </w:r>
      <w:proofErr w:type="spellStart"/>
      <w:r w:rsidRPr="006355EC">
        <w:rPr>
          <w:lang w:eastAsia="tr-TR"/>
        </w:rPr>
        <w:t>Educational</w:t>
      </w:r>
      <w:proofErr w:type="spellEnd"/>
      <w:r w:rsidRPr="006355EC">
        <w:rPr>
          <w:lang w:eastAsia="tr-TR"/>
        </w:rPr>
        <w:t xml:space="preserve"> </w:t>
      </w:r>
      <w:proofErr w:type="spellStart"/>
      <w:r w:rsidRPr="006355EC">
        <w:rPr>
          <w:i/>
          <w:iCs/>
          <w:lang w:eastAsia="tr-TR"/>
        </w:rPr>
        <w:t>Psychology</w:t>
      </w:r>
      <w:proofErr w:type="spellEnd"/>
      <w:r w:rsidRPr="006355EC">
        <w:rPr>
          <w:i/>
          <w:iCs/>
          <w:lang w:eastAsia="tr-TR"/>
        </w:rPr>
        <w:t xml:space="preserve"> </w:t>
      </w:r>
      <w:proofErr w:type="spellStart"/>
      <w:r w:rsidRPr="006355EC">
        <w:rPr>
          <w:i/>
          <w:iCs/>
          <w:lang w:eastAsia="tr-TR"/>
        </w:rPr>
        <w:t>Review</w:t>
      </w:r>
      <w:proofErr w:type="spellEnd"/>
      <w:r w:rsidRPr="006355EC">
        <w:rPr>
          <w:i/>
          <w:iCs/>
          <w:lang w:eastAsia="tr-TR"/>
        </w:rPr>
        <w:t>, 13</w:t>
      </w:r>
      <w:r w:rsidRPr="006355EC">
        <w:rPr>
          <w:lang w:eastAsia="tr-TR"/>
        </w:rPr>
        <w:t>(2), 73–92.</w:t>
      </w:r>
    </w:p>
    <w:p w:rsidR="006355EC" w:rsidRPr="006355EC" w:rsidRDefault="006355EC" w:rsidP="006355EC">
      <w:pPr>
        <w:tabs>
          <w:tab w:val="left" w:pos="1620"/>
        </w:tabs>
        <w:autoSpaceDE w:val="0"/>
        <w:autoSpaceDN w:val="0"/>
        <w:adjustRightInd w:val="0"/>
        <w:spacing w:before="60" w:after="60" w:line="360" w:lineRule="auto"/>
        <w:ind w:left="567" w:right="-2" w:hanging="567"/>
        <w:jc w:val="both"/>
        <w:rPr>
          <w:lang w:eastAsia="tr-TR"/>
        </w:rPr>
      </w:pPr>
      <w:bookmarkStart w:id="14" w:name="_Hlk24818504"/>
      <w:proofErr w:type="spellStart"/>
      <w:r w:rsidRPr="006355EC">
        <w:rPr>
          <w:lang w:eastAsia="tr-TR"/>
        </w:rPr>
        <w:t>Rosenzweig</w:t>
      </w:r>
      <w:proofErr w:type="spellEnd"/>
      <w:r w:rsidR="00FF2A11">
        <w:rPr>
          <w:lang w:eastAsia="tr-TR"/>
        </w:rPr>
        <w:t>, E. Q.</w:t>
      </w:r>
      <w:r w:rsidRPr="006355EC">
        <w:rPr>
          <w:lang w:eastAsia="tr-TR"/>
        </w:rPr>
        <w:t xml:space="preserve"> &amp; </w:t>
      </w:r>
      <w:proofErr w:type="spellStart"/>
      <w:r w:rsidRPr="006355EC">
        <w:rPr>
          <w:lang w:eastAsia="tr-TR"/>
        </w:rPr>
        <w:t>Wigfield</w:t>
      </w:r>
      <w:proofErr w:type="spellEnd"/>
      <w:r w:rsidR="00FF2A11">
        <w:rPr>
          <w:lang w:eastAsia="tr-TR"/>
        </w:rPr>
        <w:t>, A.</w:t>
      </w:r>
      <w:r w:rsidRPr="006355EC">
        <w:rPr>
          <w:lang w:eastAsia="tr-TR"/>
        </w:rPr>
        <w:t xml:space="preserve"> (2016). STEM </w:t>
      </w:r>
      <w:proofErr w:type="spellStart"/>
      <w:r w:rsidRPr="006355EC">
        <w:rPr>
          <w:lang w:eastAsia="tr-TR"/>
        </w:rPr>
        <w:t>motivation</w:t>
      </w:r>
      <w:proofErr w:type="spellEnd"/>
      <w:r w:rsidRPr="006355EC">
        <w:rPr>
          <w:lang w:eastAsia="tr-TR"/>
        </w:rPr>
        <w:t xml:space="preserve"> </w:t>
      </w:r>
      <w:proofErr w:type="spellStart"/>
      <w:r w:rsidRPr="006355EC">
        <w:rPr>
          <w:lang w:eastAsia="tr-TR"/>
        </w:rPr>
        <w:t>interventions</w:t>
      </w:r>
      <w:proofErr w:type="spellEnd"/>
      <w:r w:rsidRPr="006355EC">
        <w:rPr>
          <w:lang w:eastAsia="tr-TR"/>
        </w:rPr>
        <w:t xml:space="preserve"> </w:t>
      </w:r>
      <w:proofErr w:type="spellStart"/>
      <w:r w:rsidRPr="006355EC">
        <w:rPr>
          <w:lang w:eastAsia="tr-TR"/>
        </w:rPr>
        <w:t>for</w:t>
      </w:r>
      <w:proofErr w:type="spellEnd"/>
      <w:r w:rsidRPr="006355EC">
        <w:rPr>
          <w:lang w:eastAsia="tr-TR"/>
        </w:rPr>
        <w:t xml:space="preserve"> </w:t>
      </w:r>
      <w:proofErr w:type="spellStart"/>
      <w:r w:rsidRPr="006355EC">
        <w:rPr>
          <w:lang w:eastAsia="tr-TR"/>
        </w:rPr>
        <w:t>adolescents</w:t>
      </w:r>
      <w:proofErr w:type="spellEnd"/>
      <w:r w:rsidRPr="006355EC">
        <w:rPr>
          <w:lang w:eastAsia="tr-TR"/>
        </w:rPr>
        <w:t xml:space="preserve">: a </w:t>
      </w:r>
      <w:proofErr w:type="spellStart"/>
      <w:r w:rsidRPr="006355EC">
        <w:rPr>
          <w:lang w:eastAsia="tr-TR"/>
        </w:rPr>
        <w:t>promising</w:t>
      </w:r>
      <w:proofErr w:type="spellEnd"/>
      <w:r w:rsidRPr="006355EC">
        <w:rPr>
          <w:lang w:eastAsia="tr-TR"/>
        </w:rPr>
        <w:t xml:space="preserve"> start, but </w:t>
      </w:r>
      <w:proofErr w:type="spellStart"/>
      <w:r w:rsidRPr="006355EC">
        <w:rPr>
          <w:lang w:eastAsia="tr-TR"/>
        </w:rPr>
        <w:t>further</w:t>
      </w:r>
      <w:proofErr w:type="spellEnd"/>
      <w:r w:rsidRPr="006355EC">
        <w:rPr>
          <w:lang w:eastAsia="tr-TR"/>
        </w:rPr>
        <w:t xml:space="preserve"> </w:t>
      </w:r>
      <w:proofErr w:type="spellStart"/>
      <w:r w:rsidRPr="006355EC">
        <w:rPr>
          <w:lang w:eastAsia="tr-TR"/>
        </w:rPr>
        <w:t>to</w:t>
      </w:r>
      <w:proofErr w:type="spellEnd"/>
      <w:r w:rsidRPr="006355EC">
        <w:rPr>
          <w:lang w:eastAsia="tr-TR"/>
        </w:rPr>
        <w:t xml:space="preserve"> </w:t>
      </w:r>
      <w:proofErr w:type="spellStart"/>
      <w:r w:rsidRPr="006355EC">
        <w:rPr>
          <w:lang w:eastAsia="tr-TR"/>
        </w:rPr>
        <w:t>go</w:t>
      </w:r>
      <w:proofErr w:type="spellEnd"/>
      <w:r w:rsidRPr="006355EC">
        <w:rPr>
          <w:lang w:eastAsia="tr-TR"/>
        </w:rPr>
        <w:t>, </w:t>
      </w:r>
      <w:proofErr w:type="spellStart"/>
      <w:r w:rsidRPr="006355EC">
        <w:rPr>
          <w:i/>
          <w:iCs/>
          <w:lang w:eastAsia="tr-TR"/>
        </w:rPr>
        <w:t>Educational</w:t>
      </w:r>
      <w:proofErr w:type="spellEnd"/>
      <w:r w:rsidRPr="006355EC">
        <w:rPr>
          <w:i/>
          <w:iCs/>
          <w:lang w:eastAsia="tr-TR"/>
        </w:rPr>
        <w:t xml:space="preserve"> </w:t>
      </w:r>
      <w:proofErr w:type="spellStart"/>
      <w:r w:rsidRPr="006355EC">
        <w:rPr>
          <w:i/>
          <w:iCs/>
          <w:lang w:eastAsia="tr-TR"/>
        </w:rPr>
        <w:t>Psychologist</w:t>
      </w:r>
      <w:proofErr w:type="spellEnd"/>
      <w:r w:rsidRPr="006355EC">
        <w:rPr>
          <w:i/>
          <w:iCs/>
          <w:lang w:eastAsia="tr-TR"/>
        </w:rPr>
        <w:t>, 51</w:t>
      </w:r>
      <w:r w:rsidRPr="006355EC">
        <w:rPr>
          <w:lang w:eastAsia="tr-TR"/>
        </w:rPr>
        <w:t>(2), 146-163, DOI: </w:t>
      </w:r>
      <w:hyperlink r:id="rId11" w:history="1">
        <w:r w:rsidRPr="006355EC">
          <w:rPr>
            <w:rStyle w:val="Kpr"/>
            <w:lang w:eastAsia="tr-TR"/>
          </w:rPr>
          <w:t>10.1080/00461520.2016.1154792</w:t>
        </w:r>
      </w:hyperlink>
    </w:p>
    <w:p w:rsidR="0095616D" w:rsidRDefault="0095616D" w:rsidP="006355EC">
      <w:pPr>
        <w:tabs>
          <w:tab w:val="left" w:pos="1620"/>
        </w:tabs>
        <w:autoSpaceDE w:val="0"/>
        <w:autoSpaceDN w:val="0"/>
        <w:adjustRightInd w:val="0"/>
        <w:spacing w:before="60" w:after="60" w:line="360" w:lineRule="auto"/>
        <w:ind w:left="567" w:right="-2" w:hanging="567"/>
        <w:jc w:val="both"/>
        <w:rPr>
          <w:lang w:eastAsia="tr-TR"/>
        </w:rPr>
      </w:pPr>
      <w:proofErr w:type="spellStart"/>
      <w:r w:rsidRPr="0095616D">
        <w:rPr>
          <w:lang w:eastAsia="tr-TR"/>
        </w:rPr>
        <w:t>Fabrigar</w:t>
      </w:r>
      <w:proofErr w:type="spellEnd"/>
      <w:r w:rsidRPr="0095616D">
        <w:rPr>
          <w:lang w:eastAsia="tr-TR"/>
        </w:rPr>
        <w:t xml:space="preserve">, L. R., </w:t>
      </w:r>
      <w:proofErr w:type="spellStart"/>
      <w:r w:rsidRPr="0095616D">
        <w:rPr>
          <w:lang w:eastAsia="tr-TR"/>
        </w:rPr>
        <w:t>Wegener</w:t>
      </w:r>
      <w:proofErr w:type="spellEnd"/>
      <w:r w:rsidRPr="0095616D">
        <w:rPr>
          <w:lang w:eastAsia="tr-TR"/>
        </w:rPr>
        <w:t xml:space="preserve">, D. T., </w:t>
      </w:r>
      <w:proofErr w:type="spellStart"/>
      <w:r w:rsidRPr="0095616D">
        <w:rPr>
          <w:lang w:eastAsia="tr-TR"/>
        </w:rPr>
        <w:t>MacCallum</w:t>
      </w:r>
      <w:proofErr w:type="spellEnd"/>
      <w:r w:rsidRPr="0095616D">
        <w:rPr>
          <w:lang w:eastAsia="tr-TR"/>
        </w:rPr>
        <w:t xml:space="preserve">, R. C. ve </w:t>
      </w:r>
      <w:proofErr w:type="spellStart"/>
      <w:r w:rsidRPr="0095616D">
        <w:rPr>
          <w:lang w:eastAsia="tr-TR"/>
        </w:rPr>
        <w:t>Strahan</w:t>
      </w:r>
      <w:proofErr w:type="spellEnd"/>
      <w:r w:rsidRPr="0095616D">
        <w:rPr>
          <w:lang w:eastAsia="tr-TR"/>
        </w:rPr>
        <w:t xml:space="preserve">, E. J. (1999). </w:t>
      </w:r>
      <w:proofErr w:type="spellStart"/>
      <w:r w:rsidRPr="0095616D">
        <w:rPr>
          <w:lang w:eastAsia="tr-TR"/>
        </w:rPr>
        <w:t>Evaluating</w:t>
      </w:r>
      <w:proofErr w:type="spellEnd"/>
      <w:r w:rsidRPr="0095616D">
        <w:rPr>
          <w:lang w:eastAsia="tr-TR"/>
        </w:rPr>
        <w:t xml:space="preserve"> </w:t>
      </w:r>
      <w:proofErr w:type="spellStart"/>
      <w:r w:rsidRPr="0095616D">
        <w:rPr>
          <w:lang w:eastAsia="tr-TR"/>
        </w:rPr>
        <w:t>the</w:t>
      </w:r>
      <w:proofErr w:type="spellEnd"/>
      <w:r w:rsidRPr="0095616D">
        <w:rPr>
          <w:lang w:eastAsia="tr-TR"/>
        </w:rPr>
        <w:t xml:space="preserve"> </w:t>
      </w:r>
      <w:proofErr w:type="spellStart"/>
      <w:r w:rsidRPr="0095616D">
        <w:rPr>
          <w:lang w:eastAsia="tr-TR"/>
        </w:rPr>
        <w:t>use</w:t>
      </w:r>
      <w:proofErr w:type="spellEnd"/>
      <w:r w:rsidRPr="0095616D">
        <w:rPr>
          <w:lang w:eastAsia="tr-TR"/>
        </w:rPr>
        <w:t xml:space="preserve"> of </w:t>
      </w:r>
      <w:proofErr w:type="spellStart"/>
      <w:r w:rsidRPr="0095616D">
        <w:rPr>
          <w:lang w:eastAsia="tr-TR"/>
        </w:rPr>
        <w:t>exploratory</w:t>
      </w:r>
      <w:proofErr w:type="spellEnd"/>
      <w:r w:rsidRPr="0095616D">
        <w:rPr>
          <w:lang w:eastAsia="tr-TR"/>
        </w:rPr>
        <w:t xml:space="preserve"> </w:t>
      </w:r>
      <w:proofErr w:type="spellStart"/>
      <w:r w:rsidRPr="0095616D">
        <w:rPr>
          <w:lang w:eastAsia="tr-TR"/>
        </w:rPr>
        <w:t>factor</w:t>
      </w:r>
      <w:proofErr w:type="spellEnd"/>
      <w:r w:rsidRPr="0095616D">
        <w:rPr>
          <w:lang w:eastAsia="tr-TR"/>
        </w:rPr>
        <w:t xml:space="preserve"> </w:t>
      </w:r>
      <w:proofErr w:type="spellStart"/>
      <w:r w:rsidRPr="0095616D">
        <w:rPr>
          <w:lang w:eastAsia="tr-TR"/>
        </w:rPr>
        <w:t>analysis</w:t>
      </w:r>
      <w:proofErr w:type="spellEnd"/>
      <w:r w:rsidRPr="0095616D">
        <w:rPr>
          <w:lang w:eastAsia="tr-TR"/>
        </w:rPr>
        <w:t xml:space="preserve"> in </w:t>
      </w:r>
      <w:proofErr w:type="spellStart"/>
      <w:r w:rsidRPr="0095616D">
        <w:rPr>
          <w:lang w:eastAsia="tr-TR"/>
        </w:rPr>
        <w:t>psychological</w:t>
      </w:r>
      <w:proofErr w:type="spellEnd"/>
      <w:r w:rsidRPr="0095616D">
        <w:rPr>
          <w:lang w:eastAsia="tr-TR"/>
        </w:rPr>
        <w:t xml:space="preserve"> </w:t>
      </w:r>
      <w:proofErr w:type="spellStart"/>
      <w:r w:rsidRPr="0095616D">
        <w:rPr>
          <w:lang w:eastAsia="tr-TR"/>
        </w:rPr>
        <w:t>research</w:t>
      </w:r>
      <w:proofErr w:type="spellEnd"/>
      <w:r w:rsidRPr="0095616D">
        <w:rPr>
          <w:lang w:eastAsia="tr-TR"/>
        </w:rPr>
        <w:t xml:space="preserve">. </w:t>
      </w:r>
      <w:proofErr w:type="spellStart"/>
      <w:r w:rsidRPr="0095616D">
        <w:rPr>
          <w:i/>
          <w:iCs/>
          <w:lang w:eastAsia="tr-TR"/>
        </w:rPr>
        <w:t>Pscyhological</w:t>
      </w:r>
      <w:proofErr w:type="spellEnd"/>
      <w:r w:rsidRPr="0095616D">
        <w:rPr>
          <w:i/>
          <w:iCs/>
          <w:lang w:eastAsia="tr-TR"/>
        </w:rPr>
        <w:t xml:space="preserve"> </w:t>
      </w:r>
      <w:proofErr w:type="spellStart"/>
      <w:r w:rsidRPr="0095616D">
        <w:rPr>
          <w:i/>
          <w:iCs/>
          <w:lang w:eastAsia="tr-TR"/>
        </w:rPr>
        <w:t>Methods</w:t>
      </w:r>
      <w:proofErr w:type="spellEnd"/>
      <w:r w:rsidRPr="0095616D">
        <w:rPr>
          <w:i/>
          <w:iCs/>
          <w:lang w:eastAsia="tr-TR"/>
        </w:rPr>
        <w:t>, 4</w:t>
      </w:r>
      <w:r w:rsidRPr="0095616D">
        <w:rPr>
          <w:lang w:eastAsia="tr-TR"/>
        </w:rPr>
        <w:t>(3), 272–299.</w:t>
      </w:r>
    </w:p>
    <w:p w:rsidR="006355EC" w:rsidRDefault="006355EC" w:rsidP="006355EC">
      <w:pPr>
        <w:tabs>
          <w:tab w:val="left" w:pos="1620"/>
        </w:tabs>
        <w:autoSpaceDE w:val="0"/>
        <w:autoSpaceDN w:val="0"/>
        <w:adjustRightInd w:val="0"/>
        <w:spacing w:before="60" w:after="60" w:line="360" w:lineRule="auto"/>
        <w:ind w:left="567" w:right="-2" w:hanging="567"/>
        <w:jc w:val="both"/>
        <w:rPr>
          <w:lang w:eastAsia="tr-TR"/>
        </w:rPr>
      </w:pPr>
      <w:proofErr w:type="spellStart"/>
      <w:r w:rsidRPr="006355EC">
        <w:rPr>
          <w:lang w:eastAsia="tr-TR"/>
        </w:rPr>
        <w:t>Falk</w:t>
      </w:r>
      <w:proofErr w:type="spellEnd"/>
      <w:r w:rsidRPr="006355EC">
        <w:rPr>
          <w:lang w:eastAsia="tr-TR"/>
        </w:rPr>
        <w:t xml:space="preserve">, J. H., </w:t>
      </w:r>
      <w:proofErr w:type="spellStart"/>
      <w:r w:rsidRPr="006355EC">
        <w:rPr>
          <w:lang w:eastAsia="tr-TR"/>
        </w:rPr>
        <w:t>Staus</w:t>
      </w:r>
      <w:proofErr w:type="spellEnd"/>
      <w:r w:rsidRPr="006355EC">
        <w:rPr>
          <w:lang w:eastAsia="tr-TR"/>
        </w:rPr>
        <w:t xml:space="preserve">, N., </w:t>
      </w:r>
      <w:proofErr w:type="spellStart"/>
      <w:r w:rsidRPr="006355EC">
        <w:rPr>
          <w:lang w:eastAsia="tr-TR"/>
        </w:rPr>
        <w:t>Dierking</w:t>
      </w:r>
      <w:proofErr w:type="spellEnd"/>
      <w:r w:rsidRPr="006355EC">
        <w:rPr>
          <w:lang w:eastAsia="tr-TR"/>
        </w:rPr>
        <w:t xml:space="preserve">, L. D., </w:t>
      </w:r>
      <w:proofErr w:type="spellStart"/>
      <w:r w:rsidRPr="006355EC">
        <w:rPr>
          <w:lang w:eastAsia="tr-TR"/>
        </w:rPr>
        <w:t>Penuel</w:t>
      </w:r>
      <w:proofErr w:type="spellEnd"/>
      <w:r w:rsidRPr="006355EC">
        <w:rPr>
          <w:lang w:eastAsia="tr-TR"/>
        </w:rPr>
        <w:t xml:space="preserve">, W., </w:t>
      </w:r>
      <w:proofErr w:type="spellStart"/>
      <w:r w:rsidRPr="006355EC">
        <w:rPr>
          <w:lang w:eastAsia="tr-TR"/>
        </w:rPr>
        <w:t>Wyld</w:t>
      </w:r>
      <w:proofErr w:type="spellEnd"/>
      <w:r w:rsidRPr="006355EC">
        <w:rPr>
          <w:lang w:eastAsia="tr-TR"/>
        </w:rPr>
        <w:t xml:space="preserve">, J. &amp; </w:t>
      </w:r>
      <w:proofErr w:type="spellStart"/>
      <w:r w:rsidRPr="006355EC">
        <w:rPr>
          <w:lang w:eastAsia="tr-TR"/>
        </w:rPr>
        <w:t>Bailey</w:t>
      </w:r>
      <w:proofErr w:type="spellEnd"/>
      <w:r w:rsidRPr="006355EC">
        <w:rPr>
          <w:lang w:eastAsia="tr-TR"/>
        </w:rPr>
        <w:t>, D. (</w:t>
      </w:r>
      <w:bookmarkEnd w:id="14"/>
      <w:r w:rsidRPr="006355EC">
        <w:rPr>
          <w:lang w:eastAsia="tr-TR"/>
        </w:rPr>
        <w:t xml:space="preserve">2016). </w:t>
      </w:r>
      <w:proofErr w:type="spellStart"/>
      <w:r w:rsidRPr="006355EC">
        <w:rPr>
          <w:lang w:eastAsia="tr-TR"/>
        </w:rPr>
        <w:t>Understanding</w:t>
      </w:r>
      <w:proofErr w:type="spellEnd"/>
      <w:r w:rsidRPr="006355EC">
        <w:rPr>
          <w:lang w:eastAsia="tr-TR"/>
        </w:rPr>
        <w:t xml:space="preserve"> </w:t>
      </w:r>
      <w:proofErr w:type="spellStart"/>
      <w:r w:rsidRPr="006355EC">
        <w:rPr>
          <w:lang w:eastAsia="tr-TR"/>
        </w:rPr>
        <w:t>youth</w:t>
      </w:r>
      <w:proofErr w:type="spellEnd"/>
      <w:r w:rsidRPr="006355EC">
        <w:rPr>
          <w:lang w:eastAsia="tr-TR"/>
        </w:rPr>
        <w:t xml:space="preserve"> STEM </w:t>
      </w:r>
      <w:proofErr w:type="spellStart"/>
      <w:r w:rsidRPr="006355EC">
        <w:rPr>
          <w:lang w:eastAsia="tr-TR"/>
        </w:rPr>
        <w:t>interest</w:t>
      </w:r>
      <w:proofErr w:type="spellEnd"/>
      <w:r w:rsidRPr="006355EC">
        <w:rPr>
          <w:lang w:eastAsia="tr-TR"/>
        </w:rPr>
        <w:t xml:space="preserve"> </w:t>
      </w:r>
      <w:proofErr w:type="spellStart"/>
      <w:r w:rsidRPr="006355EC">
        <w:rPr>
          <w:lang w:eastAsia="tr-TR"/>
        </w:rPr>
        <w:t>pathways</w:t>
      </w:r>
      <w:proofErr w:type="spellEnd"/>
      <w:r w:rsidRPr="006355EC">
        <w:rPr>
          <w:lang w:eastAsia="tr-TR"/>
        </w:rPr>
        <w:t xml:space="preserve"> </w:t>
      </w:r>
      <w:proofErr w:type="spellStart"/>
      <w:r w:rsidRPr="006355EC">
        <w:rPr>
          <w:lang w:eastAsia="tr-TR"/>
        </w:rPr>
        <w:t>within</w:t>
      </w:r>
      <w:proofErr w:type="spellEnd"/>
      <w:r w:rsidRPr="006355EC">
        <w:rPr>
          <w:lang w:eastAsia="tr-TR"/>
        </w:rPr>
        <w:t xml:space="preserve"> a </w:t>
      </w:r>
      <w:proofErr w:type="spellStart"/>
      <w:r w:rsidRPr="006355EC">
        <w:rPr>
          <w:lang w:eastAsia="tr-TR"/>
        </w:rPr>
        <w:t>single</w:t>
      </w:r>
      <w:proofErr w:type="spellEnd"/>
      <w:r w:rsidRPr="006355EC">
        <w:rPr>
          <w:lang w:eastAsia="tr-TR"/>
        </w:rPr>
        <w:t xml:space="preserve"> </w:t>
      </w:r>
      <w:proofErr w:type="spellStart"/>
      <w:r w:rsidRPr="006355EC">
        <w:rPr>
          <w:lang w:eastAsia="tr-TR"/>
        </w:rPr>
        <w:t>community</w:t>
      </w:r>
      <w:proofErr w:type="spellEnd"/>
      <w:r w:rsidRPr="006355EC">
        <w:rPr>
          <w:lang w:eastAsia="tr-TR"/>
        </w:rPr>
        <w:t xml:space="preserve">: </w:t>
      </w:r>
      <w:proofErr w:type="spellStart"/>
      <w:r w:rsidRPr="006355EC">
        <w:rPr>
          <w:lang w:eastAsia="tr-TR"/>
        </w:rPr>
        <w:t>the</w:t>
      </w:r>
      <w:proofErr w:type="spellEnd"/>
      <w:r w:rsidRPr="006355EC">
        <w:rPr>
          <w:lang w:eastAsia="tr-TR"/>
        </w:rPr>
        <w:t xml:space="preserve"> </w:t>
      </w:r>
      <w:proofErr w:type="spellStart"/>
      <w:r w:rsidRPr="006355EC">
        <w:rPr>
          <w:lang w:eastAsia="tr-TR"/>
        </w:rPr>
        <w:t>Synergies</w:t>
      </w:r>
      <w:proofErr w:type="spellEnd"/>
      <w:r w:rsidRPr="006355EC">
        <w:rPr>
          <w:lang w:eastAsia="tr-TR"/>
        </w:rPr>
        <w:t xml:space="preserve"> </w:t>
      </w:r>
      <w:proofErr w:type="spellStart"/>
      <w:r w:rsidRPr="006355EC">
        <w:rPr>
          <w:lang w:eastAsia="tr-TR"/>
        </w:rPr>
        <w:t>project</w:t>
      </w:r>
      <w:proofErr w:type="spellEnd"/>
      <w:r w:rsidRPr="006355EC">
        <w:rPr>
          <w:i/>
          <w:iCs/>
          <w:lang w:eastAsia="tr-TR"/>
        </w:rPr>
        <w:t xml:space="preserve">, International </w:t>
      </w:r>
      <w:proofErr w:type="spellStart"/>
      <w:r w:rsidRPr="006355EC">
        <w:rPr>
          <w:i/>
          <w:iCs/>
          <w:lang w:eastAsia="tr-TR"/>
        </w:rPr>
        <w:t>Journal</w:t>
      </w:r>
      <w:proofErr w:type="spellEnd"/>
      <w:r w:rsidRPr="006355EC">
        <w:rPr>
          <w:i/>
          <w:iCs/>
          <w:lang w:eastAsia="tr-TR"/>
        </w:rPr>
        <w:t xml:space="preserve"> of </w:t>
      </w:r>
      <w:proofErr w:type="spellStart"/>
      <w:r w:rsidRPr="006355EC">
        <w:rPr>
          <w:i/>
          <w:iCs/>
          <w:lang w:eastAsia="tr-TR"/>
        </w:rPr>
        <w:t>Science</w:t>
      </w:r>
      <w:proofErr w:type="spellEnd"/>
      <w:r w:rsidRPr="006355EC">
        <w:rPr>
          <w:i/>
          <w:iCs/>
          <w:lang w:eastAsia="tr-TR"/>
        </w:rPr>
        <w:t xml:space="preserve"> </w:t>
      </w:r>
      <w:proofErr w:type="spellStart"/>
      <w:r w:rsidRPr="006355EC">
        <w:rPr>
          <w:i/>
          <w:iCs/>
          <w:lang w:eastAsia="tr-TR"/>
        </w:rPr>
        <w:t>Education</w:t>
      </w:r>
      <w:proofErr w:type="spellEnd"/>
      <w:r w:rsidRPr="006355EC">
        <w:rPr>
          <w:i/>
          <w:iCs/>
          <w:lang w:eastAsia="tr-TR"/>
        </w:rPr>
        <w:t xml:space="preserve">, </w:t>
      </w:r>
      <w:proofErr w:type="spellStart"/>
      <w:r w:rsidRPr="006355EC">
        <w:rPr>
          <w:i/>
          <w:iCs/>
          <w:lang w:eastAsia="tr-TR"/>
        </w:rPr>
        <w:t>Part</w:t>
      </w:r>
      <w:proofErr w:type="spellEnd"/>
      <w:r w:rsidRPr="006355EC">
        <w:rPr>
          <w:i/>
          <w:iCs/>
          <w:lang w:eastAsia="tr-TR"/>
        </w:rPr>
        <w:t xml:space="preserve"> B, 6(</w:t>
      </w:r>
      <w:r w:rsidRPr="006355EC">
        <w:rPr>
          <w:lang w:eastAsia="tr-TR"/>
        </w:rPr>
        <w:t>4), 369-384,DOI: 10.1080/21548455.2015.1093670</w:t>
      </w:r>
    </w:p>
    <w:p w:rsidR="001707BF" w:rsidRPr="006355EC" w:rsidRDefault="001707BF" w:rsidP="006355EC">
      <w:pPr>
        <w:tabs>
          <w:tab w:val="left" w:pos="1620"/>
        </w:tabs>
        <w:autoSpaceDE w:val="0"/>
        <w:autoSpaceDN w:val="0"/>
        <w:adjustRightInd w:val="0"/>
        <w:spacing w:before="60" w:after="60" w:line="360" w:lineRule="auto"/>
        <w:ind w:left="567" w:right="-2" w:hanging="567"/>
        <w:jc w:val="both"/>
        <w:rPr>
          <w:lang w:eastAsia="tr-TR"/>
        </w:rPr>
      </w:pPr>
      <w:proofErr w:type="spellStart"/>
      <w:r>
        <w:t>Fortus</w:t>
      </w:r>
      <w:proofErr w:type="spellEnd"/>
      <w:r>
        <w:t xml:space="preserve">, D., &amp; </w:t>
      </w:r>
      <w:proofErr w:type="spellStart"/>
      <w:r>
        <w:t>Vedder-Weiss</w:t>
      </w:r>
      <w:proofErr w:type="spellEnd"/>
      <w:r>
        <w:t xml:space="preserve">, D. (2014). </w:t>
      </w:r>
      <w:proofErr w:type="spellStart"/>
      <w:r>
        <w:t>Measuring</w:t>
      </w:r>
      <w:proofErr w:type="spellEnd"/>
      <w:r>
        <w:t xml:space="preserve"> </w:t>
      </w:r>
      <w:proofErr w:type="spellStart"/>
      <w:r>
        <w:t>students</w:t>
      </w:r>
      <w:proofErr w:type="spellEnd"/>
      <w:r>
        <w:t xml:space="preserve">’ </w:t>
      </w:r>
      <w:proofErr w:type="spellStart"/>
      <w:r>
        <w:t>continuing</w:t>
      </w:r>
      <w:proofErr w:type="spellEnd"/>
      <w:r>
        <w:t xml:space="preserve"> </w:t>
      </w:r>
      <w:proofErr w:type="spellStart"/>
      <w:r>
        <w:t>motivation</w:t>
      </w:r>
      <w:proofErr w:type="spellEnd"/>
      <w:r>
        <w:t xml:space="preserve"> </w:t>
      </w:r>
      <w:proofErr w:type="spellStart"/>
      <w:r>
        <w:t>for</w:t>
      </w:r>
      <w:proofErr w:type="spellEnd"/>
      <w:r>
        <w:t xml:space="preserve"> </w:t>
      </w:r>
      <w:proofErr w:type="spellStart"/>
      <w:r>
        <w:t>science</w:t>
      </w:r>
      <w:proofErr w:type="spellEnd"/>
      <w:r>
        <w:t xml:space="preserve"> </w:t>
      </w:r>
      <w:proofErr w:type="spellStart"/>
      <w:r>
        <w:t>learning</w:t>
      </w:r>
      <w:proofErr w:type="spellEnd"/>
      <w:r>
        <w:t xml:space="preserve">. </w:t>
      </w:r>
      <w:proofErr w:type="spellStart"/>
      <w:r w:rsidRPr="001707BF">
        <w:rPr>
          <w:i/>
          <w:iCs/>
        </w:rPr>
        <w:t>Journal</w:t>
      </w:r>
      <w:proofErr w:type="spellEnd"/>
      <w:r w:rsidRPr="001707BF">
        <w:rPr>
          <w:i/>
          <w:iCs/>
        </w:rPr>
        <w:t xml:space="preserve"> of </w:t>
      </w:r>
      <w:proofErr w:type="spellStart"/>
      <w:r w:rsidRPr="001707BF">
        <w:rPr>
          <w:i/>
          <w:iCs/>
        </w:rPr>
        <w:t>Research</w:t>
      </w:r>
      <w:proofErr w:type="spellEnd"/>
      <w:r w:rsidRPr="001707BF">
        <w:rPr>
          <w:i/>
          <w:iCs/>
        </w:rPr>
        <w:t xml:space="preserve"> in </w:t>
      </w:r>
      <w:proofErr w:type="spellStart"/>
      <w:r w:rsidRPr="001707BF">
        <w:rPr>
          <w:i/>
          <w:iCs/>
        </w:rPr>
        <w:t>Science</w:t>
      </w:r>
      <w:proofErr w:type="spellEnd"/>
      <w:r w:rsidRPr="001707BF">
        <w:rPr>
          <w:i/>
          <w:iCs/>
        </w:rPr>
        <w:t xml:space="preserve"> </w:t>
      </w:r>
      <w:proofErr w:type="spellStart"/>
      <w:r w:rsidRPr="001707BF">
        <w:rPr>
          <w:i/>
          <w:iCs/>
        </w:rPr>
        <w:t>Teaching</w:t>
      </w:r>
      <w:proofErr w:type="spellEnd"/>
      <w:r w:rsidRPr="001707BF">
        <w:rPr>
          <w:i/>
          <w:iCs/>
        </w:rPr>
        <w:t>, 51</w:t>
      </w:r>
      <w:r>
        <w:t>(4), 497–522. doi:10.1002/tea.21136</w:t>
      </w:r>
    </w:p>
    <w:p w:rsidR="006355EC" w:rsidRPr="006355EC" w:rsidRDefault="006355EC" w:rsidP="006355EC">
      <w:pPr>
        <w:tabs>
          <w:tab w:val="left" w:pos="1620"/>
        </w:tabs>
        <w:autoSpaceDE w:val="0"/>
        <w:autoSpaceDN w:val="0"/>
        <w:adjustRightInd w:val="0"/>
        <w:spacing w:before="60" w:after="60" w:line="360" w:lineRule="auto"/>
        <w:ind w:left="567" w:right="-2" w:hanging="567"/>
        <w:jc w:val="both"/>
        <w:rPr>
          <w:i/>
          <w:iCs/>
          <w:lang w:eastAsia="tr-TR"/>
        </w:rPr>
      </w:pPr>
      <w:proofErr w:type="spellStart"/>
      <w:r w:rsidRPr="006355EC">
        <w:rPr>
          <w:lang w:eastAsia="tr-TR"/>
        </w:rPr>
        <w:lastRenderedPageBreak/>
        <w:t>Gomez</w:t>
      </w:r>
      <w:proofErr w:type="spellEnd"/>
      <w:r w:rsidRPr="006355EC">
        <w:rPr>
          <w:lang w:eastAsia="tr-TR"/>
        </w:rPr>
        <w:t xml:space="preserve">, A. ve </w:t>
      </w:r>
      <w:proofErr w:type="spellStart"/>
      <w:r w:rsidRPr="006355EC">
        <w:rPr>
          <w:lang w:eastAsia="tr-TR"/>
        </w:rPr>
        <w:t>Albrecht</w:t>
      </w:r>
      <w:proofErr w:type="spellEnd"/>
      <w:r w:rsidRPr="006355EC">
        <w:rPr>
          <w:lang w:eastAsia="tr-TR"/>
        </w:rPr>
        <w:t xml:space="preserve">, B. (2014). True STEM </w:t>
      </w:r>
      <w:proofErr w:type="spellStart"/>
      <w:r w:rsidRPr="006355EC">
        <w:rPr>
          <w:lang w:eastAsia="tr-TR"/>
        </w:rPr>
        <w:t>education</w:t>
      </w:r>
      <w:proofErr w:type="spellEnd"/>
      <w:r w:rsidRPr="006355EC">
        <w:rPr>
          <w:lang w:eastAsia="tr-TR"/>
        </w:rPr>
        <w:t xml:space="preserve">. </w:t>
      </w:r>
      <w:proofErr w:type="spellStart"/>
      <w:r w:rsidRPr="006355EC">
        <w:rPr>
          <w:i/>
          <w:iCs/>
          <w:lang w:eastAsia="tr-TR"/>
        </w:rPr>
        <w:t>Technology</w:t>
      </w:r>
      <w:proofErr w:type="spellEnd"/>
      <w:r w:rsidRPr="006355EC">
        <w:rPr>
          <w:i/>
          <w:iCs/>
          <w:lang w:eastAsia="tr-TR"/>
        </w:rPr>
        <w:t xml:space="preserve"> </w:t>
      </w:r>
      <w:proofErr w:type="spellStart"/>
      <w:r w:rsidRPr="006355EC">
        <w:rPr>
          <w:i/>
          <w:iCs/>
          <w:lang w:eastAsia="tr-TR"/>
        </w:rPr>
        <w:t>and</w:t>
      </w:r>
      <w:proofErr w:type="spellEnd"/>
      <w:r w:rsidRPr="006355EC">
        <w:rPr>
          <w:i/>
          <w:iCs/>
          <w:lang w:eastAsia="tr-TR"/>
        </w:rPr>
        <w:t xml:space="preserve"> </w:t>
      </w:r>
      <w:proofErr w:type="spellStart"/>
      <w:r w:rsidRPr="006355EC">
        <w:rPr>
          <w:i/>
          <w:iCs/>
          <w:lang w:eastAsia="tr-TR"/>
        </w:rPr>
        <w:t>Engineering</w:t>
      </w:r>
      <w:proofErr w:type="spellEnd"/>
      <w:r w:rsidRPr="006355EC">
        <w:rPr>
          <w:i/>
          <w:iCs/>
          <w:lang w:eastAsia="tr-TR"/>
        </w:rPr>
        <w:t xml:space="preserve"> </w:t>
      </w:r>
      <w:proofErr w:type="spellStart"/>
      <w:r w:rsidRPr="006355EC">
        <w:rPr>
          <w:i/>
          <w:iCs/>
          <w:lang w:eastAsia="tr-TR"/>
        </w:rPr>
        <w:t>Teacher</w:t>
      </w:r>
      <w:proofErr w:type="spellEnd"/>
      <w:r w:rsidRPr="006355EC">
        <w:rPr>
          <w:i/>
          <w:iCs/>
          <w:lang w:eastAsia="tr-TR"/>
        </w:rPr>
        <w:t xml:space="preserve">, 73 </w:t>
      </w:r>
      <w:r w:rsidRPr="006355EC">
        <w:rPr>
          <w:lang w:eastAsia="tr-TR"/>
        </w:rPr>
        <w:t>(4), 8-16.</w:t>
      </w:r>
    </w:p>
    <w:p w:rsidR="00050655" w:rsidRDefault="00050655" w:rsidP="006355EC">
      <w:pPr>
        <w:tabs>
          <w:tab w:val="left" w:pos="1620"/>
        </w:tabs>
        <w:autoSpaceDE w:val="0"/>
        <w:autoSpaceDN w:val="0"/>
        <w:adjustRightInd w:val="0"/>
        <w:spacing w:before="60" w:after="60" w:line="360" w:lineRule="auto"/>
        <w:ind w:left="567" w:right="-2" w:hanging="567"/>
        <w:jc w:val="both"/>
        <w:rPr>
          <w:lang w:eastAsia="tr-TR"/>
        </w:rPr>
      </w:pPr>
      <w:r w:rsidRPr="00050655">
        <w:rPr>
          <w:lang w:eastAsia="tr-TR"/>
        </w:rPr>
        <w:t xml:space="preserve">Özcan, H., &amp; Koca, E. (2019). </w:t>
      </w:r>
      <w:proofErr w:type="spellStart"/>
      <w:r w:rsidRPr="00050655">
        <w:rPr>
          <w:lang w:eastAsia="tr-TR"/>
        </w:rPr>
        <w:t>STEM’e</w:t>
      </w:r>
      <w:proofErr w:type="spellEnd"/>
      <w:r w:rsidRPr="00050655">
        <w:rPr>
          <w:lang w:eastAsia="tr-TR"/>
        </w:rPr>
        <w:t xml:space="preserve"> yönelik tutum ölçeğinin Türkçeye uyarlanması: Geçerlik ve güvenirlik çalışması. </w:t>
      </w:r>
      <w:r w:rsidRPr="00050655">
        <w:rPr>
          <w:i/>
          <w:iCs/>
          <w:lang w:eastAsia="tr-TR"/>
        </w:rPr>
        <w:t>Hacettepe Üniversitesi Eğitim Fakültesi Dergisi, 34</w:t>
      </w:r>
      <w:r w:rsidRPr="00050655">
        <w:rPr>
          <w:lang w:eastAsia="tr-TR"/>
        </w:rPr>
        <w:t xml:space="preserve">(2), 387-401. </w:t>
      </w:r>
      <w:proofErr w:type="spellStart"/>
      <w:r w:rsidRPr="00050655">
        <w:rPr>
          <w:lang w:eastAsia="tr-TR"/>
        </w:rPr>
        <w:t>doi</w:t>
      </w:r>
      <w:proofErr w:type="spellEnd"/>
      <w:r w:rsidRPr="00050655">
        <w:rPr>
          <w:lang w:eastAsia="tr-TR"/>
        </w:rPr>
        <w:t>: 10.16986/HUJE.2018045061</w:t>
      </w:r>
    </w:p>
    <w:p w:rsidR="006355EC" w:rsidRPr="006355EC" w:rsidRDefault="006355EC" w:rsidP="006355EC">
      <w:pPr>
        <w:tabs>
          <w:tab w:val="left" w:pos="1620"/>
        </w:tabs>
        <w:autoSpaceDE w:val="0"/>
        <w:autoSpaceDN w:val="0"/>
        <w:adjustRightInd w:val="0"/>
        <w:spacing w:before="60" w:after="60" w:line="360" w:lineRule="auto"/>
        <w:ind w:left="567" w:right="-2" w:hanging="567"/>
        <w:jc w:val="both"/>
        <w:rPr>
          <w:i/>
          <w:iCs/>
          <w:lang w:eastAsia="tr-TR"/>
        </w:rPr>
      </w:pPr>
      <w:proofErr w:type="spellStart"/>
      <w:r w:rsidRPr="006355EC">
        <w:rPr>
          <w:lang w:eastAsia="tr-TR"/>
        </w:rPr>
        <w:t>Lacey</w:t>
      </w:r>
      <w:proofErr w:type="spellEnd"/>
      <w:r w:rsidRPr="006355EC">
        <w:rPr>
          <w:lang w:eastAsia="tr-TR"/>
        </w:rPr>
        <w:t xml:space="preserve"> A. L. &amp; Wright B. (2008). </w:t>
      </w:r>
      <w:proofErr w:type="spellStart"/>
      <w:r w:rsidRPr="006355EC">
        <w:rPr>
          <w:lang w:eastAsia="tr-TR"/>
        </w:rPr>
        <w:t>Occupational</w:t>
      </w:r>
      <w:proofErr w:type="spellEnd"/>
      <w:r w:rsidRPr="006355EC">
        <w:rPr>
          <w:lang w:eastAsia="tr-TR"/>
        </w:rPr>
        <w:t xml:space="preserve"> </w:t>
      </w:r>
      <w:proofErr w:type="spellStart"/>
      <w:r w:rsidRPr="006355EC">
        <w:rPr>
          <w:lang w:eastAsia="tr-TR"/>
        </w:rPr>
        <w:t>employment</w:t>
      </w:r>
      <w:proofErr w:type="spellEnd"/>
      <w:r w:rsidRPr="006355EC">
        <w:rPr>
          <w:lang w:eastAsia="tr-TR"/>
        </w:rPr>
        <w:t xml:space="preserve"> </w:t>
      </w:r>
      <w:proofErr w:type="spellStart"/>
      <w:r w:rsidRPr="006355EC">
        <w:rPr>
          <w:lang w:eastAsia="tr-TR"/>
        </w:rPr>
        <w:t>projection</w:t>
      </w:r>
      <w:proofErr w:type="spellEnd"/>
      <w:r w:rsidRPr="006355EC">
        <w:rPr>
          <w:lang w:eastAsia="tr-TR"/>
        </w:rPr>
        <w:t xml:space="preserve">. </w:t>
      </w:r>
      <w:proofErr w:type="spellStart"/>
      <w:r w:rsidRPr="006355EC">
        <w:rPr>
          <w:i/>
          <w:iCs/>
          <w:lang w:eastAsia="tr-TR"/>
        </w:rPr>
        <w:t>Monthly</w:t>
      </w:r>
      <w:proofErr w:type="spellEnd"/>
      <w:r w:rsidRPr="006355EC">
        <w:rPr>
          <w:i/>
          <w:iCs/>
          <w:lang w:eastAsia="tr-TR"/>
        </w:rPr>
        <w:t xml:space="preserve"> </w:t>
      </w:r>
      <w:proofErr w:type="spellStart"/>
      <w:r w:rsidRPr="006355EC">
        <w:rPr>
          <w:i/>
          <w:iCs/>
          <w:lang w:eastAsia="tr-TR"/>
        </w:rPr>
        <w:t>Labor</w:t>
      </w:r>
      <w:proofErr w:type="spellEnd"/>
      <w:r w:rsidRPr="006355EC">
        <w:rPr>
          <w:i/>
          <w:iCs/>
          <w:lang w:eastAsia="tr-TR"/>
        </w:rPr>
        <w:t xml:space="preserve"> </w:t>
      </w:r>
      <w:proofErr w:type="spellStart"/>
      <w:r w:rsidRPr="006355EC">
        <w:rPr>
          <w:i/>
          <w:iCs/>
          <w:lang w:eastAsia="tr-TR"/>
        </w:rPr>
        <w:t>Review</w:t>
      </w:r>
      <w:proofErr w:type="spellEnd"/>
      <w:r w:rsidRPr="006355EC">
        <w:rPr>
          <w:i/>
          <w:iCs/>
          <w:lang w:eastAsia="tr-TR"/>
        </w:rPr>
        <w:t>,(132)</w:t>
      </w:r>
      <w:r w:rsidRPr="006355EC">
        <w:rPr>
          <w:lang w:eastAsia="tr-TR"/>
        </w:rPr>
        <w:t>82, 82-132.</w:t>
      </w:r>
    </w:p>
    <w:p w:rsidR="006355EC" w:rsidRPr="006355EC" w:rsidRDefault="006355EC" w:rsidP="006355EC">
      <w:pPr>
        <w:tabs>
          <w:tab w:val="left" w:pos="1620"/>
        </w:tabs>
        <w:autoSpaceDE w:val="0"/>
        <w:autoSpaceDN w:val="0"/>
        <w:adjustRightInd w:val="0"/>
        <w:spacing w:before="60" w:after="60" w:line="360" w:lineRule="auto"/>
        <w:ind w:left="567" w:right="-2" w:hanging="567"/>
        <w:jc w:val="both"/>
        <w:rPr>
          <w:lang w:eastAsia="tr-TR"/>
        </w:rPr>
      </w:pPr>
      <w:proofErr w:type="spellStart"/>
      <w:r w:rsidRPr="006355EC">
        <w:rPr>
          <w:lang w:eastAsia="tr-TR"/>
        </w:rPr>
        <w:t>Fend</w:t>
      </w:r>
      <w:proofErr w:type="spellEnd"/>
      <w:r w:rsidRPr="006355EC">
        <w:rPr>
          <w:lang w:eastAsia="tr-TR"/>
        </w:rPr>
        <w:t xml:space="preserve">, H. (2006). </w:t>
      </w:r>
      <w:proofErr w:type="spellStart"/>
      <w:r w:rsidRPr="006355EC">
        <w:rPr>
          <w:i/>
          <w:iCs/>
          <w:lang w:eastAsia="tr-TR"/>
        </w:rPr>
        <w:t>Neue</w:t>
      </w:r>
      <w:proofErr w:type="spellEnd"/>
      <w:r w:rsidRPr="006355EC">
        <w:rPr>
          <w:i/>
          <w:iCs/>
          <w:lang w:eastAsia="tr-TR"/>
        </w:rPr>
        <w:t xml:space="preserve"> </w:t>
      </w:r>
      <w:proofErr w:type="spellStart"/>
      <w:r w:rsidRPr="006355EC">
        <w:rPr>
          <w:i/>
          <w:iCs/>
          <w:lang w:eastAsia="tr-TR"/>
        </w:rPr>
        <w:t>Theorie</w:t>
      </w:r>
      <w:proofErr w:type="spellEnd"/>
      <w:r w:rsidRPr="006355EC">
        <w:rPr>
          <w:i/>
          <w:iCs/>
          <w:lang w:eastAsia="tr-TR"/>
        </w:rPr>
        <w:t xml:space="preserve"> der </w:t>
      </w:r>
      <w:proofErr w:type="spellStart"/>
      <w:r w:rsidRPr="006355EC">
        <w:rPr>
          <w:i/>
          <w:iCs/>
          <w:lang w:eastAsia="tr-TR"/>
        </w:rPr>
        <w:t>Schule</w:t>
      </w:r>
      <w:proofErr w:type="spellEnd"/>
      <w:r w:rsidRPr="006355EC">
        <w:rPr>
          <w:i/>
          <w:iCs/>
          <w:lang w:eastAsia="tr-TR"/>
        </w:rPr>
        <w:t xml:space="preserve">. </w:t>
      </w:r>
      <w:proofErr w:type="spellStart"/>
      <w:r w:rsidRPr="006355EC">
        <w:rPr>
          <w:i/>
          <w:iCs/>
          <w:lang w:eastAsia="tr-TR"/>
        </w:rPr>
        <w:t>Einführung</w:t>
      </w:r>
      <w:proofErr w:type="spellEnd"/>
      <w:r w:rsidRPr="006355EC">
        <w:rPr>
          <w:i/>
          <w:iCs/>
          <w:lang w:eastAsia="tr-TR"/>
        </w:rPr>
        <w:t xml:space="preserve"> in </w:t>
      </w:r>
      <w:proofErr w:type="spellStart"/>
      <w:r w:rsidRPr="006355EC">
        <w:rPr>
          <w:i/>
          <w:iCs/>
          <w:lang w:eastAsia="tr-TR"/>
        </w:rPr>
        <w:t>das</w:t>
      </w:r>
      <w:proofErr w:type="spellEnd"/>
      <w:r w:rsidRPr="006355EC">
        <w:rPr>
          <w:i/>
          <w:iCs/>
          <w:lang w:eastAsia="tr-TR"/>
        </w:rPr>
        <w:t xml:space="preserve"> </w:t>
      </w:r>
      <w:proofErr w:type="spellStart"/>
      <w:r w:rsidRPr="006355EC">
        <w:rPr>
          <w:i/>
          <w:iCs/>
          <w:lang w:eastAsia="tr-TR"/>
        </w:rPr>
        <w:t>Verstehen</w:t>
      </w:r>
      <w:proofErr w:type="spellEnd"/>
      <w:r w:rsidRPr="006355EC">
        <w:rPr>
          <w:i/>
          <w:iCs/>
          <w:lang w:eastAsia="tr-TR"/>
        </w:rPr>
        <w:t xml:space="preserve"> </w:t>
      </w:r>
      <w:proofErr w:type="spellStart"/>
      <w:r w:rsidRPr="006355EC">
        <w:rPr>
          <w:i/>
          <w:iCs/>
          <w:lang w:eastAsia="tr-TR"/>
        </w:rPr>
        <w:t>von</w:t>
      </w:r>
      <w:proofErr w:type="spellEnd"/>
      <w:r w:rsidRPr="006355EC">
        <w:rPr>
          <w:i/>
          <w:iCs/>
          <w:lang w:eastAsia="tr-TR"/>
        </w:rPr>
        <w:t xml:space="preserve"> </w:t>
      </w:r>
      <w:proofErr w:type="spellStart"/>
      <w:r w:rsidRPr="006355EC">
        <w:rPr>
          <w:i/>
          <w:iCs/>
          <w:lang w:eastAsia="tr-TR"/>
        </w:rPr>
        <w:t>Bildungssystemen</w:t>
      </w:r>
      <w:proofErr w:type="spellEnd"/>
      <w:r w:rsidRPr="006355EC">
        <w:rPr>
          <w:lang w:eastAsia="tr-TR"/>
        </w:rPr>
        <w:t xml:space="preserve">. </w:t>
      </w:r>
      <w:proofErr w:type="spellStart"/>
      <w:r w:rsidRPr="006355EC">
        <w:rPr>
          <w:lang w:eastAsia="tr-TR"/>
        </w:rPr>
        <w:t>Wiesbaden</w:t>
      </w:r>
      <w:proofErr w:type="spellEnd"/>
      <w:r w:rsidRPr="006355EC">
        <w:rPr>
          <w:lang w:eastAsia="tr-TR"/>
        </w:rPr>
        <w:t xml:space="preserve">, DE: VS </w:t>
      </w:r>
      <w:proofErr w:type="spellStart"/>
      <w:r w:rsidRPr="006355EC">
        <w:rPr>
          <w:lang w:eastAsia="tr-TR"/>
        </w:rPr>
        <w:t>Verlag</w:t>
      </w:r>
      <w:proofErr w:type="spellEnd"/>
      <w:r w:rsidRPr="006355EC">
        <w:rPr>
          <w:lang w:eastAsia="tr-TR"/>
        </w:rPr>
        <w:t xml:space="preserve"> </w:t>
      </w:r>
      <w:proofErr w:type="spellStart"/>
      <w:r w:rsidRPr="006355EC">
        <w:rPr>
          <w:lang w:eastAsia="tr-TR"/>
        </w:rPr>
        <w:t>für</w:t>
      </w:r>
      <w:proofErr w:type="spellEnd"/>
      <w:r w:rsidRPr="006355EC">
        <w:rPr>
          <w:lang w:eastAsia="tr-TR"/>
        </w:rPr>
        <w:t xml:space="preserve"> </w:t>
      </w:r>
      <w:proofErr w:type="spellStart"/>
      <w:r w:rsidRPr="006355EC">
        <w:rPr>
          <w:lang w:eastAsia="tr-TR"/>
        </w:rPr>
        <w:t>Sozialwissenschaften</w:t>
      </w:r>
      <w:proofErr w:type="spellEnd"/>
    </w:p>
    <w:p w:rsidR="006355EC" w:rsidRPr="006355EC" w:rsidRDefault="006355EC" w:rsidP="006355EC">
      <w:pPr>
        <w:tabs>
          <w:tab w:val="left" w:pos="1620"/>
        </w:tabs>
        <w:autoSpaceDE w:val="0"/>
        <w:autoSpaceDN w:val="0"/>
        <w:adjustRightInd w:val="0"/>
        <w:spacing w:before="60" w:after="60" w:line="360" w:lineRule="auto"/>
        <w:ind w:left="567" w:right="-2" w:hanging="567"/>
        <w:jc w:val="both"/>
        <w:rPr>
          <w:lang w:eastAsia="tr-TR"/>
        </w:rPr>
      </w:pPr>
      <w:proofErr w:type="spellStart"/>
      <w:r w:rsidRPr="006355EC">
        <w:rPr>
          <w:lang w:eastAsia="tr-TR"/>
        </w:rPr>
        <w:t>Keeley</w:t>
      </w:r>
      <w:proofErr w:type="spellEnd"/>
      <w:r w:rsidRPr="006355EC">
        <w:rPr>
          <w:lang w:eastAsia="tr-TR"/>
        </w:rPr>
        <w:t xml:space="preserve">, P. (2009). </w:t>
      </w:r>
      <w:proofErr w:type="spellStart"/>
      <w:r w:rsidRPr="006355EC">
        <w:rPr>
          <w:lang w:eastAsia="tr-TR"/>
        </w:rPr>
        <w:t>Elementary</w:t>
      </w:r>
      <w:proofErr w:type="spellEnd"/>
      <w:r w:rsidRPr="006355EC">
        <w:rPr>
          <w:lang w:eastAsia="tr-TR"/>
        </w:rPr>
        <w:t xml:space="preserve"> </w:t>
      </w:r>
      <w:proofErr w:type="spellStart"/>
      <w:r w:rsidRPr="006355EC">
        <w:rPr>
          <w:lang w:eastAsia="tr-TR"/>
        </w:rPr>
        <w:t>science</w:t>
      </w:r>
      <w:proofErr w:type="spellEnd"/>
      <w:r w:rsidRPr="006355EC">
        <w:rPr>
          <w:lang w:eastAsia="tr-TR"/>
        </w:rPr>
        <w:t xml:space="preserve"> </w:t>
      </w:r>
      <w:proofErr w:type="spellStart"/>
      <w:r w:rsidRPr="006355EC">
        <w:rPr>
          <w:lang w:eastAsia="tr-TR"/>
        </w:rPr>
        <w:t>education</w:t>
      </w:r>
      <w:proofErr w:type="spellEnd"/>
      <w:r w:rsidRPr="006355EC">
        <w:rPr>
          <w:lang w:eastAsia="tr-TR"/>
        </w:rPr>
        <w:t xml:space="preserve"> in </w:t>
      </w:r>
      <w:proofErr w:type="spellStart"/>
      <w:r w:rsidRPr="006355EC">
        <w:rPr>
          <w:lang w:eastAsia="tr-TR"/>
        </w:rPr>
        <w:t>the</w:t>
      </w:r>
      <w:proofErr w:type="spellEnd"/>
      <w:r w:rsidRPr="006355EC">
        <w:rPr>
          <w:lang w:eastAsia="tr-TR"/>
        </w:rPr>
        <w:t xml:space="preserve"> K-12 </w:t>
      </w:r>
      <w:proofErr w:type="spellStart"/>
      <w:r w:rsidRPr="006355EC">
        <w:rPr>
          <w:lang w:eastAsia="tr-TR"/>
        </w:rPr>
        <w:t>system</w:t>
      </w:r>
      <w:proofErr w:type="spellEnd"/>
      <w:r w:rsidRPr="006355EC">
        <w:rPr>
          <w:lang w:eastAsia="tr-TR"/>
        </w:rPr>
        <w:t xml:space="preserve">. </w:t>
      </w:r>
      <w:r w:rsidRPr="006355EC">
        <w:rPr>
          <w:i/>
          <w:iCs/>
          <w:lang w:eastAsia="tr-TR"/>
        </w:rPr>
        <w:t xml:space="preserve">NSTA </w:t>
      </w:r>
      <w:proofErr w:type="spellStart"/>
      <w:r w:rsidRPr="006355EC">
        <w:rPr>
          <w:i/>
          <w:iCs/>
          <w:lang w:eastAsia="tr-TR"/>
        </w:rPr>
        <w:t>Reports</w:t>
      </w:r>
      <w:proofErr w:type="spellEnd"/>
      <w:r w:rsidRPr="006355EC">
        <w:rPr>
          <w:lang w:eastAsia="tr-TR"/>
        </w:rPr>
        <w:t xml:space="preserve">. http://nsta.org/publications/news/ </w:t>
      </w:r>
      <w:proofErr w:type="spellStart"/>
      <w:r w:rsidRPr="006355EC">
        <w:rPr>
          <w:lang w:eastAsia="tr-TR"/>
        </w:rPr>
        <w:t>story.aspx?id</w:t>
      </w:r>
      <w:proofErr w:type="spellEnd"/>
      <w:r w:rsidRPr="006355EC">
        <w:rPr>
          <w:lang w:eastAsia="tr-TR"/>
        </w:rPr>
        <w:t>=55954 adresinden, 1 Ocak 2017 tarihinde alınmıştır.</w:t>
      </w:r>
    </w:p>
    <w:p w:rsidR="006355EC" w:rsidRPr="006355EC" w:rsidRDefault="006355EC" w:rsidP="006355EC">
      <w:pPr>
        <w:tabs>
          <w:tab w:val="left" w:pos="1620"/>
        </w:tabs>
        <w:autoSpaceDE w:val="0"/>
        <w:autoSpaceDN w:val="0"/>
        <w:adjustRightInd w:val="0"/>
        <w:spacing w:before="60" w:after="60" w:line="360" w:lineRule="auto"/>
        <w:ind w:left="567" w:right="-2" w:hanging="567"/>
        <w:jc w:val="both"/>
        <w:rPr>
          <w:lang w:eastAsia="tr-TR"/>
        </w:rPr>
      </w:pPr>
      <w:proofErr w:type="spellStart"/>
      <w:r w:rsidRPr="006355EC">
        <w:rPr>
          <w:lang w:eastAsia="tr-TR"/>
        </w:rPr>
        <w:t>Kline</w:t>
      </w:r>
      <w:proofErr w:type="spellEnd"/>
      <w:r w:rsidRPr="006355EC">
        <w:rPr>
          <w:lang w:eastAsia="tr-TR"/>
        </w:rPr>
        <w:t xml:space="preserve">, R. B. (2005). </w:t>
      </w:r>
      <w:proofErr w:type="spellStart"/>
      <w:r w:rsidRPr="006355EC">
        <w:rPr>
          <w:i/>
          <w:iCs/>
          <w:lang w:eastAsia="tr-TR"/>
        </w:rPr>
        <w:t>Principles</w:t>
      </w:r>
      <w:proofErr w:type="spellEnd"/>
      <w:r w:rsidRPr="006355EC">
        <w:rPr>
          <w:i/>
          <w:iCs/>
          <w:lang w:eastAsia="tr-TR"/>
        </w:rPr>
        <w:t xml:space="preserve"> </w:t>
      </w:r>
      <w:proofErr w:type="spellStart"/>
      <w:r w:rsidRPr="006355EC">
        <w:rPr>
          <w:i/>
          <w:iCs/>
          <w:lang w:eastAsia="tr-TR"/>
        </w:rPr>
        <w:t>and</w:t>
      </w:r>
      <w:proofErr w:type="spellEnd"/>
      <w:r w:rsidRPr="006355EC">
        <w:rPr>
          <w:i/>
          <w:iCs/>
          <w:lang w:eastAsia="tr-TR"/>
        </w:rPr>
        <w:t xml:space="preserve"> </w:t>
      </w:r>
      <w:proofErr w:type="spellStart"/>
      <w:r w:rsidRPr="006355EC">
        <w:rPr>
          <w:i/>
          <w:iCs/>
          <w:lang w:eastAsia="tr-TR"/>
        </w:rPr>
        <w:t>practice</w:t>
      </w:r>
      <w:proofErr w:type="spellEnd"/>
      <w:r w:rsidRPr="006355EC">
        <w:rPr>
          <w:i/>
          <w:iCs/>
          <w:lang w:eastAsia="tr-TR"/>
        </w:rPr>
        <w:t xml:space="preserve"> of </w:t>
      </w:r>
      <w:proofErr w:type="spellStart"/>
      <w:r w:rsidRPr="006355EC">
        <w:rPr>
          <w:i/>
          <w:iCs/>
          <w:lang w:eastAsia="tr-TR"/>
        </w:rPr>
        <w:t>structural</w:t>
      </w:r>
      <w:proofErr w:type="spellEnd"/>
      <w:r w:rsidRPr="006355EC">
        <w:rPr>
          <w:i/>
          <w:iCs/>
          <w:lang w:eastAsia="tr-TR"/>
        </w:rPr>
        <w:t xml:space="preserve"> </w:t>
      </w:r>
      <w:proofErr w:type="spellStart"/>
      <w:r w:rsidRPr="006355EC">
        <w:rPr>
          <w:i/>
          <w:iCs/>
          <w:lang w:eastAsia="tr-TR"/>
        </w:rPr>
        <w:t>equation</w:t>
      </w:r>
      <w:proofErr w:type="spellEnd"/>
      <w:r w:rsidRPr="006355EC">
        <w:rPr>
          <w:i/>
          <w:iCs/>
          <w:lang w:eastAsia="tr-TR"/>
        </w:rPr>
        <w:t xml:space="preserve"> </w:t>
      </w:r>
      <w:proofErr w:type="spellStart"/>
      <w:r w:rsidRPr="006355EC">
        <w:rPr>
          <w:i/>
          <w:iCs/>
          <w:lang w:eastAsia="tr-TR"/>
        </w:rPr>
        <w:t>modeling</w:t>
      </w:r>
      <w:proofErr w:type="spellEnd"/>
      <w:r w:rsidRPr="006355EC">
        <w:rPr>
          <w:lang w:eastAsia="tr-TR"/>
        </w:rPr>
        <w:t xml:space="preserve">. New York: </w:t>
      </w:r>
      <w:proofErr w:type="spellStart"/>
      <w:r w:rsidRPr="006355EC">
        <w:rPr>
          <w:lang w:eastAsia="tr-TR"/>
        </w:rPr>
        <w:t>Guilford</w:t>
      </w:r>
      <w:proofErr w:type="spellEnd"/>
      <w:r w:rsidRPr="006355EC">
        <w:rPr>
          <w:lang w:eastAsia="tr-TR"/>
        </w:rPr>
        <w:t xml:space="preserve"> </w:t>
      </w:r>
      <w:proofErr w:type="spellStart"/>
      <w:r w:rsidRPr="006355EC">
        <w:rPr>
          <w:lang w:eastAsia="tr-TR"/>
        </w:rPr>
        <w:t>Press</w:t>
      </w:r>
      <w:proofErr w:type="spellEnd"/>
      <w:r w:rsidRPr="006355EC">
        <w:rPr>
          <w:lang w:eastAsia="tr-TR"/>
        </w:rPr>
        <w:t>.</w:t>
      </w:r>
    </w:p>
    <w:p w:rsidR="006355EC" w:rsidRPr="006355EC" w:rsidRDefault="006355EC" w:rsidP="006355EC">
      <w:pPr>
        <w:tabs>
          <w:tab w:val="left" w:pos="1620"/>
        </w:tabs>
        <w:autoSpaceDE w:val="0"/>
        <w:autoSpaceDN w:val="0"/>
        <w:adjustRightInd w:val="0"/>
        <w:spacing w:before="60" w:after="60" w:line="360" w:lineRule="auto"/>
        <w:ind w:left="567" w:right="-2" w:hanging="567"/>
        <w:jc w:val="both"/>
        <w:rPr>
          <w:lang w:eastAsia="tr-TR"/>
        </w:rPr>
      </w:pPr>
      <w:proofErr w:type="spellStart"/>
      <w:r w:rsidRPr="006355EC">
        <w:rPr>
          <w:lang w:eastAsia="tr-TR"/>
        </w:rPr>
        <w:t>Linnenbrink</w:t>
      </w:r>
      <w:proofErr w:type="spellEnd"/>
      <w:r w:rsidRPr="006355EC">
        <w:rPr>
          <w:lang w:eastAsia="tr-TR"/>
        </w:rPr>
        <w:t xml:space="preserve">, E., &amp; </w:t>
      </w:r>
      <w:proofErr w:type="spellStart"/>
      <w:r w:rsidRPr="006355EC">
        <w:rPr>
          <w:lang w:eastAsia="tr-TR"/>
        </w:rPr>
        <w:t>Pintrich</w:t>
      </w:r>
      <w:proofErr w:type="spellEnd"/>
      <w:r w:rsidRPr="006355EC">
        <w:rPr>
          <w:lang w:eastAsia="tr-TR"/>
        </w:rPr>
        <w:t xml:space="preserve">, P. R. (2002). </w:t>
      </w:r>
      <w:proofErr w:type="spellStart"/>
      <w:r w:rsidRPr="006355EC">
        <w:rPr>
          <w:lang w:eastAsia="tr-TR"/>
        </w:rPr>
        <w:t>Achievement</w:t>
      </w:r>
      <w:proofErr w:type="spellEnd"/>
      <w:r w:rsidRPr="006355EC">
        <w:rPr>
          <w:lang w:eastAsia="tr-TR"/>
        </w:rPr>
        <w:t xml:space="preserve"> </w:t>
      </w:r>
      <w:proofErr w:type="spellStart"/>
      <w:r w:rsidRPr="006355EC">
        <w:rPr>
          <w:lang w:eastAsia="tr-TR"/>
        </w:rPr>
        <w:t>goal</w:t>
      </w:r>
      <w:proofErr w:type="spellEnd"/>
      <w:r w:rsidRPr="006355EC">
        <w:rPr>
          <w:lang w:eastAsia="tr-TR"/>
        </w:rPr>
        <w:t xml:space="preserve"> </w:t>
      </w:r>
      <w:proofErr w:type="spellStart"/>
      <w:r w:rsidRPr="006355EC">
        <w:rPr>
          <w:lang w:eastAsia="tr-TR"/>
        </w:rPr>
        <w:t>theory</w:t>
      </w:r>
      <w:proofErr w:type="spellEnd"/>
      <w:r w:rsidRPr="006355EC">
        <w:rPr>
          <w:lang w:eastAsia="tr-TR"/>
        </w:rPr>
        <w:t xml:space="preserve"> </w:t>
      </w:r>
      <w:proofErr w:type="spellStart"/>
      <w:r w:rsidRPr="006355EC">
        <w:rPr>
          <w:lang w:eastAsia="tr-TR"/>
        </w:rPr>
        <w:t>and</w:t>
      </w:r>
      <w:proofErr w:type="spellEnd"/>
      <w:r w:rsidRPr="006355EC">
        <w:rPr>
          <w:lang w:eastAsia="tr-TR"/>
        </w:rPr>
        <w:t xml:space="preserve"> </w:t>
      </w:r>
      <w:proofErr w:type="spellStart"/>
      <w:r w:rsidRPr="006355EC">
        <w:rPr>
          <w:lang w:eastAsia="tr-TR"/>
        </w:rPr>
        <w:t>affect</w:t>
      </w:r>
      <w:proofErr w:type="spellEnd"/>
      <w:r w:rsidRPr="006355EC">
        <w:rPr>
          <w:lang w:eastAsia="tr-TR"/>
        </w:rPr>
        <w:t xml:space="preserve">: An </w:t>
      </w:r>
      <w:proofErr w:type="spellStart"/>
      <w:r w:rsidRPr="006355EC">
        <w:rPr>
          <w:lang w:eastAsia="tr-TR"/>
        </w:rPr>
        <w:t>asymmetrical</w:t>
      </w:r>
      <w:proofErr w:type="spellEnd"/>
      <w:r w:rsidRPr="006355EC">
        <w:rPr>
          <w:lang w:eastAsia="tr-TR"/>
        </w:rPr>
        <w:t xml:space="preserve"> </w:t>
      </w:r>
      <w:proofErr w:type="spellStart"/>
      <w:r w:rsidRPr="006355EC">
        <w:rPr>
          <w:lang w:eastAsia="tr-TR"/>
        </w:rPr>
        <w:t>bi-directional</w:t>
      </w:r>
      <w:proofErr w:type="spellEnd"/>
      <w:r w:rsidRPr="006355EC">
        <w:rPr>
          <w:lang w:eastAsia="tr-TR"/>
        </w:rPr>
        <w:t xml:space="preserve"> model. </w:t>
      </w:r>
      <w:proofErr w:type="spellStart"/>
      <w:r w:rsidRPr="006355EC">
        <w:rPr>
          <w:i/>
          <w:iCs/>
          <w:lang w:eastAsia="tr-TR"/>
        </w:rPr>
        <w:t>Educational</w:t>
      </w:r>
      <w:proofErr w:type="spellEnd"/>
      <w:r w:rsidRPr="006355EC">
        <w:rPr>
          <w:i/>
          <w:iCs/>
          <w:lang w:eastAsia="tr-TR"/>
        </w:rPr>
        <w:t xml:space="preserve"> </w:t>
      </w:r>
      <w:proofErr w:type="spellStart"/>
      <w:r w:rsidRPr="006355EC">
        <w:rPr>
          <w:i/>
          <w:iCs/>
          <w:lang w:eastAsia="tr-TR"/>
        </w:rPr>
        <w:t>Psychologist</w:t>
      </w:r>
      <w:proofErr w:type="spellEnd"/>
      <w:r w:rsidRPr="006355EC">
        <w:rPr>
          <w:i/>
          <w:iCs/>
          <w:lang w:eastAsia="tr-TR"/>
        </w:rPr>
        <w:t>, 37</w:t>
      </w:r>
      <w:r w:rsidRPr="006355EC">
        <w:rPr>
          <w:lang w:eastAsia="tr-TR"/>
        </w:rPr>
        <w:t>, 69–78.</w:t>
      </w:r>
    </w:p>
    <w:p w:rsidR="006355EC" w:rsidRPr="006355EC" w:rsidRDefault="006355EC" w:rsidP="006355EC">
      <w:pPr>
        <w:tabs>
          <w:tab w:val="left" w:pos="1620"/>
        </w:tabs>
        <w:autoSpaceDE w:val="0"/>
        <w:autoSpaceDN w:val="0"/>
        <w:adjustRightInd w:val="0"/>
        <w:spacing w:before="60" w:after="60" w:line="360" w:lineRule="auto"/>
        <w:ind w:left="567" w:right="-2" w:hanging="567"/>
        <w:jc w:val="both"/>
        <w:rPr>
          <w:lang w:eastAsia="tr-TR"/>
        </w:rPr>
      </w:pPr>
      <w:proofErr w:type="spellStart"/>
      <w:r w:rsidRPr="006355EC">
        <w:rPr>
          <w:lang w:eastAsia="tr-TR"/>
        </w:rPr>
        <w:t>Luo</w:t>
      </w:r>
      <w:proofErr w:type="spellEnd"/>
      <w:r w:rsidRPr="006355EC">
        <w:rPr>
          <w:lang w:eastAsia="tr-TR"/>
        </w:rPr>
        <w:t xml:space="preserve">, T., </w:t>
      </w:r>
      <w:proofErr w:type="spellStart"/>
      <w:r w:rsidRPr="006355EC">
        <w:rPr>
          <w:lang w:eastAsia="tr-TR"/>
        </w:rPr>
        <w:t>Wang</w:t>
      </w:r>
      <w:proofErr w:type="spellEnd"/>
      <w:r w:rsidRPr="006355EC">
        <w:rPr>
          <w:lang w:eastAsia="tr-TR"/>
        </w:rPr>
        <w:t xml:space="preserve">, J., </w:t>
      </w:r>
      <w:proofErr w:type="spellStart"/>
      <w:r w:rsidRPr="006355EC">
        <w:rPr>
          <w:lang w:eastAsia="tr-TR"/>
        </w:rPr>
        <w:t>Liu</w:t>
      </w:r>
      <w:proofErr w:type="spellEnd"/>
      <w:r w:rsidRPr="006355EC">
        <w:rPr>
          <w:lang w:eastAsia="tr-TR"/>
        </w:rPr>
        <w:t xml:space="preserve">, X., &amp; </w:t>
      </w:r>
      <w:proofErr w:type="spellStart"/>
      <w:r w:rsidRPr="006355EC">
        <w:rPr>
          <w:lang w:eastAsia="tr-TR"/>
        </w:rPr>
        <w:t>Zhou</w:t>
      </w:r>
      <w:proofErr w:type="spellEnd"/>
      <w:r w:rsidRPr="006355EC">
        <w:rPr>
          <w:lang w:eastAsia="tr-TR"/>
        </w:rPr>
        <w:t xml:space="preserve">, J. (2019). Development </w:t>
      </w:r>
      <w:proofErr w:type="spellStart"/>
      <w:r w:rsidRPr="006355EC">
        <w:rPr>
          <w:lang w:eastAsia="tr-TR"/>
        </w:rPr>
        <w:t>and</w:t>
      </w:r>
      <w:proofErr w:type="spellEnd"/>
      <w:r w:rsidRPr="006355EC">
        <w:rPr>
          <w:lang w:eastAsia="tr-TR"/>
        </w:rPr>
        <w:t xml:space="preserve"> </w:t>
      </w:r>
      <w:proofErr w:type="spellStart"/>
      <w:r w:rsidRPr="006355EC">
        <w:rPr>
          <w:lang w:eastAsia="tr-TR"/>
        </w:rPr>
        <w:t>application</w:t>
      </w:r>
      <w:proofErr w:type="spellEnd"/>
      <w:r w:rsidRPr="006355EC">
        <w:rPr>
          <w:lang w:eastAsia="tr-TR"/>
        </w:rPr>
        <w:t xml:space="preserve"> of a </w:t>
      </w:r>
      <w:proofErr w:type="spellStart"/>
      <w:r w:rsidRPr="006355EC">
        <w:rPr>
          <w:lang w:eastAsia="tr-TR"/>
        </w:rPr>
        <w:t>scale</w:t>
      </w:r>
      <w:proofErr w:type="spellEnd"/>
      <w:r w:rsidRPr="006355EC">
        <w:rPr>
          <w:lang w:eastAsia="tr-TR"/>
        </w:rPr>
        <w:t xml:space="preserve"> </w:t>
      </w:r>
      <w:proofErr w:type="spellStart"/>
      <w:r w:rsidRPr="006355EC">
        <w:rPr>
          <w:lang w:eastAsia="tr-TR"/>
        </w:rPr>
        <w:t>to</w:t>
      </w:r>
      <w:proofErr w:type="spellEnd"/>
      <w:r w:rsidRPr="006355EC">
        <w:rPr>
          <w:lang w:eastAsia="tr-TR"/>
        </w:rPr>
        <w:t xml:space="preserve"> </w:t>
      </w:r>
      <w:proofErr w:type="spellStart"/>
      <w:r w:rsidRPr="006355EC">
        <w:rPr>
          <w:lang w:eastAsia="tr-TR"/>
        </w:rPr>
        <w:t>measure</w:t>
      </w:r>
      <w:proofErr w:type="spellEnd"/>
      <w:r w:rsidRPr="006355EC">
        <w:rPr>
          <w:lang w:eastAsia="tr-TR"/>
        </w:rPr>
        <w:t xml:space="preserve"> </w:t>
      </w:r>
      <w:proofErr w:type="spellStart"/>
      <w:r w:rsidRPr="006355EC">
        <w:rPr>
          <w:lang w:eastAsia="tr-TR"/>
        </w:rPr>
        <w:t>students</w:t>
      </w:r>
      <w:proofErr w:type="spellEnd"/>
      <w:r w:rsidRPr="006355EC">
        <w:rPr>
          <w:lang w:eastAsia="tr-TR"/>
        </w:rPr>
        <w:t xml:space="preserve">’ STEM </w:t>
      </w:r>
      <w:proofErr w:type="spellStart"/>
      <w:r w:rsidRPr="006355EC">
        <w:rPr>
          <w:lang w:eastAsia="tr-TR"/>
        </w:rPr>
        <w:t>continuing</w:t>
      </w:r>
      <w:proofErr w:type="spellEnd"/>
      <w:r w:rsidRPr="006355EC">
        <w:rPr>
          <w:lang w:eastAsia="tr-TR"/>
        </w:rPr>
        <w:t xml:space="preserve"> </w:t>
      </w:r>
      <w:proofErr w:type="spellStart"/>
      <w:r w:rsidRPr="006355EC">
        <w:rPr>
          <w:lang w:eastAsia="tr-TR"/>
        </w:rPr>
        <w:t>motivation</w:t>
      </w:r>
      <w:proofErr w:type="spellEnd"/>
      <w:r w:rsidRPr="006355EC">
        <w:rPr>
          <w:lang w:eastAsia="tr-TR"/>
        </w:rPr>
        <w:t xml:space="preserve">. </w:t>
      </w:r>
      <w:r w:rsidRPr="006355EC">
        <w:rPr>
          <w:i/>
          <w:iCs/>
          <w:lang w:eastAsia="tr-TR"/>
        </w:rPr>
        <w:t xml:space="preserve">International </w:t>
      </w:r>
      <w:proofErr w:type="spellStart"/>
      <w:r w:rsidRPr="006355EC">
        <w:rPr>
          <w:i/>
          <w:iCs/>
          <w:lang w:eastAsia="tr-TR"/>
        </w:rPr>
        <w:t>Journal</w:t>
      </w:r>
      <w:proofErr w:type="spellEnd"/>
      <w:r w:rsidRPr="006355EC">
        <w:rPr>
          <w:i/>
          <w:iCs/>
          <w:lang w:eastAsia="tr-TR"/>
        </w:rPr>
        <w:t xml:space="preserve"> of </w:t>
      </w:r>
      <w:proofErr w:type="spellStart"/>
      <w:r w:rsidRPr="006355EC">
        <w:rPr>
          <w:i/>
          <w:iCs/>
          <w:lang w:eastAsia="tr-TR"/>
        </w:rPr>
        <w:t>Science</w:t>
      </w:r>
      <w:proofErr w:type="spellEnd"/>
      <w:r w:rsidRPr="006355EC">
        <w:rPr>
          <w:i/>
          <w:iCs/>
          <w:lang w:eastAsia="tr-TR"/>
        </w:rPr>
        <w:t xml:space="preserve"> </w:t>
      </w:r>
      <w:proofErr w:type="spellStart"/>
      <w:r w:rsidRPr="006355EC">
        <w:rPr>
          <w:i/>
          <w:iCs/>
          <w:lang w:eastAsia="tr-TR"/>
        </w:rPr>
        <w:t>Education</w:t>
      </w:r>
      <w:proofErr w:type="spellEnd"/>
      <w:r w:rsidRPr="006355EC">
        <w:rPr>
          <w:i/>
          <w:iCs/>
          <w:lang w:eastAsia="tr-TR"/>
        </w:rPr>
        <w:t>, 41</w:t>
      </w:r>
      <w:r w:rsidRPr="006355EC">
        <w:rPr>
          <w:lang w:eastAsia="tr-TR"/>
        </w:rPr>
        <w:t xml:space="preserve">(14), 1885-1904. </w:t>
      </w:r>
      <w:proofErr w:type="spellStart"/>
      <w:r w:rsidRPr="006355EC">
        <w:rPr>
          <w:lang w:eastAsia="tr-TR"/>
        </w:rPr>
        <w:t>doi</w:t>
      </w:r>
      <w:proofErr w:type="spellEnd"/>
      <w:r w:rsidRPr="006355EC">
        <w:rPr>
          <w:lang w:eastAsia="tr-TR"/>
        </w:rPr>
        <w:t>: 10.1080/09500693.2019.1647472</w:t>
      </w:r>
    </w:p>
    <w:p w:rsidR="006355EC" w:rsidRPr="006355EC" w:rsidRDefault="006355EC" w:rsidP="006355EC">
      <w:pPr>
        <w:tabs>
          <w:tab w:val="left" w:pos="1620"/>
        </w:tabs>
        <w:autoSpaceDE w:val="0"/>
        <w:autoSpaceDN w:val="0"/>
        <w:adjustRightInd w:val="0"/>
        <w:spacing w:before="60" w:after="60" w:line="360" w:lineRule="auto"/>
        <w:ind w:left="567" w:right="-2" w:hanging="567"/>
        <w:jc w:val="both"/>
        <w:rPr>
          <w:lang w:eastAsia="tr-TR"/>
        </w:rPr>
      </w:pPr>
      <w:proofErr w:type="spellStart"/>
      <w:r w:rsidRPr="006355EC">
        <w:rPr>
          <w:lang w:eastAsia="tr-TR"/>
        </w:rPr>
        <w:t>Pan</w:t>
      </w:r>
      <w:proofErr w:type="spellEnd"/>
      <w:r w:rsidRPr="006355EC">
        <w:rPr>
          <w:lang w:eastAsia="tr-TR"/>
        </w:rPr>
        <w:t xml:space="preserve">, Y., &amp; </w:t>
      </w:r>
      <w:proofErr w:type="spellStart"/>
      <w:r w:rsidRPr="006355EC">
        <w:rPr>
          <w:lang w:eastAsia="tr-TR"/>
        </w:rPr>
        <w:t>Gauvain</w:t>
      </w:r>
      <w:proofErr w:type="spellEnd"/>
      <w:r w:rsidRPr="006355EC">
        <w:rPr>
          <w:lang w:eastAsia="tr-TR"/>
        </w:rPr>
        <w:t xml:space="preserve">, M. (2012). </w:t>
      </w:r>
      <w:proofErr w:type="spellStart"/>
      <w:r w:rsidRPr="006355EC">
        <w:rPr>
          <w:lang w:eastAsia="tr-TR"/>
        </w:rPr>
        <w:t>The</w:t>
      </w:r>
      <w:proofErr w:type="spellEnd"/>
      <w:r w:rsidRPr="006355EC">
        <w:rPr>
          <w:lang w:eastAsia="tr-TR"/>
        </w:rPr>
        <w:t xml:space="preserve"> </w:t>
      </w:r>
      <w:proofErr w:type="spellStart"/>
      <w:r w:rsidRPr="006355EC">
        <w:rPr>
          <w:lang w:eastAsia="tr-TR"/>
        </w:rPr>
        <w:t>continuity</w:t>
      </w:r>
      <w:proofErr w:type="spellEnd"/>
      <w:r w:rsidRPr="006355EC">
        <w:rPr>
          <w:lang w:eastAsia="tr-TR"/>
        </w:rPr>
        <w:t xml:space="preserve"> of </w:t>
      </w:r>
      <w:proofErr w:type="spellStart"/>
      <w:r w:rsidRPr="006355EC">
        <w:rPr>
          <w:lang w:eastAsia="tr-TR"/>
        </w:rPr>
        <w:t>college</w:t>
      </w:r>
      <w:proofErr w:type="spellEnd"/>
      <w:r w:rsidRPr="006355EC">
        <w:rPr>
          <w:lang w:eastAsia="tr-TR"/>
        </w:rPr>
        <w:t xml:space="preserve"> </w:t>
      </w:r>
      <w:proofErr w:type="spellStart"/>
      <w:r w:rsidRPr="006355EC">
        <w:rPr>
          <w:lang w:eastAsia="tr-TR"/>
        </w:rPr>
        <w:t>students</w:t>
      </w:r>
      <w:proofErr w:type="spellEnd"/>
      <w:r w:rsidRPr="006355EC">
        <w:rPr>
          <w:lang w:eastAsia="tr-TR"/>
        </w:rPr>
        <w:t xml:space="preserve">’ </w:t>
      </w:r>
      <w:proofErr w:type="spellStart"/>
      <w:r w:rsidRPr="006355EC">
        <w:rPr>
          <w:lang w:eastAsia="tr-TR"/>
        </w:rPr>
        <w:t>autonomous</w:t>
      </w:r>
      <w:proofErr w:type="spellEnd"/>
      <w:r w:rsidRPr="006355EC">
        <w:rPr>
          <w:lang w:eastAsia="tr-TR"/>
        </w:rPr>
        <w:t xml:space="preserve"> </w:t>
      </w:r>
      <w:proofErr w:type="spellStart"/>
      <w:r w:rsidRPr="006355EC">
        <w:rPr>
          <w:lang w:eastAsia="tr-TR"/>
        </w:rPr>
        <w:t>learning</w:t>
      </w:r>
      <w:proofErr w:type="spellEnd"/>
      <w:r w:rsidRPr="006355EC">
        <w:rPr>
          <w:lang w:eastAsia="tr-TR"/>
        </w:rPr>
        <w:t xml:space="preserve"> </w:t>
      </w:r>
      <w:proofErr w:type="spellStart"/>
      <w:r w:rsidRPr="006355EC">
        <w:rPr>
          <w:lang w:eastAsia="tr-TR"/>
        </w:rPr>
        <w:t>motivation</w:t>
      </w:r>
      <w:proofErr w:type="spellEnd"/>
      <w:r w:rsidRPr="006355EC">
        <w:rPr>
          <w:lang w:eastAsia="tr-TR"/>
        </w:rPr>
        <w:t xml:space="preserve"> </w:t>
      </w:r>
      <w:proofErr w:type="spellStart"/>
      <w:r w:rsidRPr="006355EC">
        <w:rPr>
          <w:lang w:eastAsia="tr-TR"/>
        </w:rPr>
        <w:t>and</w:t>
      </w:r>
      <w:proofErr w:type="spellEnd"/>
      <w:r w:rsidRPr="006355EC">
        <w:rPr>
          <w:lang w:eastAsia="tr-TR"/>
        </w:rPr>
        <w:t xml:space="preserve"> </w:t>
      </w:r>
      <w:proofErr w:type="spellStart"/>
      <w:r w:rsidRPr="006355EC">
        <w:rPr>
          <w:lang w:eastAsia="tr-TR"/>
        </w:rPr>
        <w:t>its</w:t>
      </w:r>
      <w:proofErr w:type="spellEnd"/>
      <w:r w:rsidRPr="006355EC">
        <w:rPr>
          <w:lang w:eastAsia="tr-TR"/>
        </w:rPr>
        <w:t xml:space="preserve"> </w:t>
      </w:r>
      <w:proofErr w:type="spellStart"/>
      <w:r w:rsidRPr="006355EC">
        <w:rPr>
          <w:lang w:eastAsia="tr-TR"/>
        </w:rPr>
        <w:t>predictors</w:t>
      </w:r>
      <w:proofErr w:type="spellEnd"/>
      <w:r w:rsidRPr="006355EC">
        <w:rPr>
          <w:lang w:eastAsia="tr-TR"/>
        </w:rPr>
        <w:t xml:space="preserve">: a </w:t>
      </w:r>
      <w:proofErr w:type="spellStart"/>
      <w:r w:rsidRPr="006355EC">
        <w:rPr>
          <w:lang w:eastAsia="tr-TR"/>
        </w:rPr>
        <w:t>three-year</w:t>
      </w:r>
      <w:proofErr w:type="spellEnd"/>
      <w:r w:rsidRPr="006355EC">
        <w:rPr>
          <w:lang w:eastAsia="tr-TR"/>
        </w:rPr>
        <w:t xml:space="preserve"> </w:t>
      </w:r>
      <w:proofErr w:type="spellStart"/>
      <w:r w:rsidRPr="006355EC">
        <w:rPr>
          <w:lang w:eastAsia="tr-TR"/>
        </w:rPr>
        <w:t>longitudinal</w:t>
      </w:r>
      <w:proofErr w:type="spellEnd"/>
      <w:r w:rsidRPr="006355EC">
        <w:rPr>
          <w:lang w:eastAsia="tr-TR"/>
        </w:rPr>
        <w:t xml:space="preserve"> </w:t>
      </w:r>
      <w:proofErr w:type="spellStart"/>
      <w:r w:rsidRPr="006355EC">
        <w:rPr>
          <w:lang w:eastAsia="tr-TR"/>
        </w:rPr>
        <w:t>study</w:t>
      </w:r>
      <w:proofErr w:type="spellEnd"/>
      <w:r w:rsidRPr="006355EC">
        <w:rPr>
          <w:lang w:eastAsia="tr-TR"/>
        </w:rPr>
        <w:t xml:space="preserve">. </w:t>
      </w:r>
      <w:r w:rsidRPr="006355EC">
        <w:rPr>
          <w:i/>
          <w:iCs/>
          <w:lang w:eastAsia="tr-TR"/>
        </w:rPr>
        <w:t xml:space="preserve">Learning </w:t>
      </w:r>
      <w:proofErr w:type="spellStart"/>
      <w:r w:rsidRPr="006355EC">
        <w:rPr>
          <w:i/>
          <w:iCs/>
          <w:lang w:eastAsia="tr-TR"/>
        </w:rPr>
        <w:t>and</w:t>
      </w:r>
      <w:proofErr w:type="spellEnd"/>
      <w:r w:rsidRPr="006355EC">
        <w:rPr>
          <w:i/>
          <w:iCs/>
          <w:lang w:eastAsia="tr-TR"/>
        </w:rPr>
        <w:t xml:space="preserve"> </w:t>
      </w:r>
      <w:proofErr w:type="spellStart"/>
      <w:r w:rsidRPr="006355EC">
        <w:rPr>
          <w:i/>
          <w:iCs/>
          <w:lang w:eastAsia="tr-TR"/>
        </w:rPr>
        <w:t>Individual</w:t>
      </w:r>
      <w:proofErr w:type="spellEnd"/>
      <w:r w:rsidRPr="006355EC">
        <w:rPr>
          <w:i/>
          <w:iCs/>
          <w:lang w:eastAsia="tr-TR"/>
        </w:rPr>
        <w:t xml:space="preserve"> </w:t>
      </w:r>
      <w:proofErr w:type="spellStart"/>
      <w:r w:rsidRPr="006355EC">
        <w:rPr>
          <w:i/>
          <w:iCs/>
          <w:lang w:eastAsia="tr-TR"/>
        </w:rPr>
        <w:t>Differences</w:t>
      </w:r>
      <w:proofErr w:type="spellEnd"/>
      <w:r w:rsidRPr="006355EC">
        <w:rPr>
          <w:i/>
          <w:iCs/>
          <w:lang w:eastAsia="tr-TR"/>
        </w:rPr>
        <w:t>, 22</w:t>
      </w:r>
      <w:r w:rsidRPr="006355EC">
        <w:rPr>
          <w:lang w:eastAsia="tr-TR"/>
        </w:rPr>
        <w:t>(1), 92–99. https://doi. org/10.1016/j.lindif.2011.11.010</w:t>
      </w:r>
    </w:p>
    <w:p w:rsidR="006355EC" w:rsidRPr="006355EC" w:rsidRDefault="006355EC" w:rsidP="006355EC">
      <w:pPr>
        <w:tabs>
          <w:tab w:val="left" w:pos="1620"/>
        </w:tabs>
        <w:autoSpaceDE w:val="0"/>
        <w:autoSpaceDN w:val="0"/>
        <w:adjustRightInd w:val="0"/>
        <w:spacing w:before="60" w:after="60" w:line="360" w:lineRule="auto"/>
        <w:ind w:left="567" w:right="-2" w:hanging="567"/>
        <w:jc w:val="both"/>
        <w:rPr>
          <w:lang w:eastAsia="tr-TR"/>
        </w:rPr>
      </w:pPr>
      <w:bookmarkStart w:id="15" w:name="_Hlk24820621"/>
      <w:proofErr w:type="spellStart"/>
      <w:r w:rsidRPr="006355EC">
        <w:rPr>
          <w:lang w:eastAsia="tr-TR"/>
        </w:rPr>
        <w:t>Pinxten</w:t>
      </w:r>
      <w:proofErr w:type="spellEnd"/>
      <w:r w:rsidRPr="006355EC">
        <w:rPr>
          <w:lang w:eastAsia="tr-TR"/>
        </w:rPr>
        <w:t xml:space="preserve">, M., Van </w:t>
      </w:r>
      <w:proofErr w:type="spellStart"/>
      <w:r w:rsidRPr="006355EC">
        <w:rPr>
          <w:lang w:eastAsia="tr-TR"/>
        </w:rPr>
        <w:t>Soom</w:t>
      </w:r>
      <w:proofErr w:type="spellEnd"/>
      <w:r w:rsidRPr="006355EC">
        <w:rPr>
          <w:lang w:eastAsia="tr-TR"/>
        </w:rPr>
        <w:t xml:space="preserve">, C., </w:t>
      </w:r>
      <w:proofErr w:type="spellStart"/>
      <w:r w:rsidRPr="006355EC">
        <w:rPr>
          <w:lang w:eastAsia="tr-TR"/>
        </w:rPr>
        <w:t>Peeters</w:t>
      </w:r>
      <w:proofErr w:type="spellEnd"/>
      <w:r w:rsidRPr="006355EC">
        <w:rPr>
          <w:lang w:eastAsia="tr-TR"/>
        </w:rPr>
        <w:t xml:space="preserve">, C., De </w:t>
      </w:r>
      <w:proofErr w:type="spellStart"/>
      <w:r w:rsidRPr="006355EC">
        <w:rPr>
          <w:lang w:eastAsia="tr-TR"/>
        </w:rPr>
        <w:t>Laet</w:t>
      </w:r>
      <w:proofErr w:type="spellEnd"/>
      <w:r w:rsidRPr="006355EC">
        <w:rPr>
          <w:lang w:eastAsia="tr-TR"/>
        </w:rPr>
        <w:t xml:space="preserve">, T., &amp; </w:t>
      </w:r>
      <w:proofErr w:type="spellStart"/>
      <w:r w:rsidRPr="006355EC">
        <w:rPr>
          <w:lang w:eastAsia="tr-TR"/>
        </w:rPr>
        <w:t>Langie</w:t>
      </w:r>
      <w:proofErr w:type="spellEnd"/>
      <w:r w:rsidRPr="006355EC">
        <w:rPr>
          <w:lang w:eastAsia="tr-TR"/>
        </w:rPr>
        <w:t xml:space="preserve">, G. </w:t>
      </w:r>
      <w:bookmarkEnd w:id="15"/>
      <w:r w:rsidRPr="006355EC">
        <w:rPr>
          <w:lang w:eastAsia="tr-TR"/>
        </w:rPr>
        <w:t xml:space="preserve">(2017). At-risk at </w:t>
      </w:r>
      <w:proofErr w:type="spellStart"/>
      <w:r w:rsidRPr="006355EC">
        <w:rPr>
          <w:lang w:eastAsia="tr-TR"/>
        </w:rPr>
        <w:t>the</w:t>
      </w:r>
      <w:proofErr w:type="spellEnd"/>
      <w:r w:rsidRPr="006355EC">
        <w:rPr>
          <w:lang w:eastAsia="tr-TR"/>
        </w:rPr>
        <w:t xml:space="preserve"> </w:t>
      </w:r>
      <w:proofErr w:type="spellStart"/>
      <w:r w:rsidRPr="006355EC">
        <w:rPr>
          <w:lang w:eastAsia="tr-TR"/>
        </w:rPr>
        <w:t>gate</w:t>
      </w:r>
      <w:proofErr w:type="spellEnd"/>
      <w:r w:rsidRPr="006355EC">
        <w:rPr>
          <w:lang w:eastAsia="tr-TR"/>
        </w:rPr>
        <w:t xml:space="preserve">: </w:t>
      </w:r>
      <w:proofErr w:type="spellStart"/>
      <w:r w:rsidRPr="006355EC">
        <w:rPr>
          <w:lang w:eastAsia="tr-TR"/>
        </w:rPr>
        <w:t>Prediction</w:t>
      </w:r>
      <w:proofErr w:type="spellEnd"/>
      <w:r w:rsidRPr="006355EC">
        <w:rPr>
          <w:lang w:eastAsia="tr-TR"/>
        </w:rPr>
        <w:t xml:space="preserve"> of </w:t>
      </w:r>
      <w:proofErr w:type="spellStart"/>
      <w:r w:rsidRPr="006355EC">
        <w:rPr>
          <w:lang w:eastAsia="tr-TR"/>
        </w:rPr>
        <w:t>study</w:t>
      </w:r>
      <w:proofErr w:type="spellEnd"/>
      <w:r w:rsidRPr="006355EC">
        <w:rPr>
          <w:lang w:eastAsia="tr-TR"/>
        </w:rPr>
        <w:t xml:space="preserve"> </w:t>
      </w:r>
      <w:proofErr w:type="spellStart"/>
      <w:r w:rsidRPr="006355EC">
        <w:rPr>
          <w:lang w:eastAsia="tr-TR"/>
        </w:rPr>
        <w:t>success</w:t>
      </w:r>
      <w:proofErr w:type="spellEnd"/>
      <w:r w:rsidRPr="006355EC">
        <w:rPr>
          <w:lang w:eastAsia="tr-TR"/>
        </w:rPr>
        <w:t xml:space="preserve"> of </w:t>
      </w:r>
      <w:proofErr w:type="spellStart"/>
      <w:r w:rsidRPr="006355EC">
        <w:rPr>
          <w:lang w:eastAsia="tr-TR"/>
        </w:rPr>
        <w:t>first-year</w:t>
      </w:r>
      <w:proofErr w:type="spellEnd"/>
      <w:r w:rsidRPr="006355EC">
        <w:rPr>
          <w:lang w:eastAsia="tr-TR"/>
        </w:rPr>
        <w:t xml:space="preserve"> </w:t>
      </w:r>
      <w:proofErr w:type="spellStart"/>
      <w:r w:rsidRPr="006355EC">
        <w:rPr>
          <w:lang w:eastAsia="tr-TR"/>
        </w:rPr>
        <w:t>science</w:t>
      </w:r>
      <w:proofErr w:type="spellEnd"/>
      <w:r w:rsidRPr="006355EC">
        <w:rPr>
          <w:lang w:eastAsia="tr-TR"/>
        </w:rPr>
        <w:t xml:space="preserve"> </w:t>
      </w:r>
      <w:proofErr w:type="spellStart"/>
      <w:r w:rsidRPr="006355EC">
        <w:rPr>
          <w:lang w:eastAsia="tr-TR"/>
        </w:rPr>
        <w:t>and</w:t>
      </w:r>
      <w:proofErr w:type="spellEnd"/>
      <w:r w:rsidRPr="006355EC">
        <w:rPr>
          <w:lang w:eastAsia="tr-TR"/>
        </w:rPr>
        <w:t xml:space="preserve"> </w:t>
      </w:r>
      <w:proofErr w:type="spellStart"/>
      <w:r w:rsidRPr="006355EC">
        <w:rPr>
          <w:lang w:eastAsia="tr-TR"/>
        </w:rPr>
        <w:t>engineering</w:t>
      </w:r>
      <w:proofErr w:type="spellEnd"/>
      <w:r w:rsidRPr="006355EC">
        <w:rPr>
          <w:lang w:eastAsia="tr-TR"/>
        </w:rPr>
        <w:t xml:space="preserve"> </w:t>
      </w:r>
      <w:proofErr w:type="spellStart"/>
      <w:r w:rsidRPr="006355EC">
        <w:rPr>
          <w:lang w:eastAsia="tr-TR"/>
        </w:rPr>
        <w:t>students</w:t>
      </w:r>
      <w:proofErr w:type="spellEnd"/>
      <w:r w:rsidRPr="006355EC">
        <w:rPr>
          <w:lang w:eastAsia="tr-TR"/>
        </w:rPr>
        <w:t xml:space="preserve"> in an </w:t>
      </w:r>
      <w:proofErr w:type="spellStart"/>
      <w:r w:rsidRPr="006355EC">
        <w:rPr>
          <w:lang w:eastAsia="tr-TR"/>
        </w:rPr>
        <w:t>open-admission</w:t>
      </w:r>
      <w:proofErr w:type="spellEnd"/>
      <w:r w:rsidRPr="006355EC">
        <w:rPr>
          <w:lang w:eastAsia="tr-TR"/>
        </w:rPr>
        <w:t xml:space="preserve"> </w:t>
      </w:r>
      <w:proofErr w:type="spellStart"/>
      <w:r w:rsidRPr="006355EC">
        <w:rPr>
          <w:lang w:eastAsia="tr-TR"/>
        </w:rPr>
        <w:t>university</w:t>
      </w:r>
      <w:proofErr w:type="spellEnd"/>
      <w:r w:rsidRPr="006355EC">
        <w:rPr>
          <w:lang w:eastAsia="tr-TR"/>
        </w:rPr>
        <w:t xml:space="preserve"> in </w:t>
      </w:r>
      <w:proofErr w:type="spellStart"/>
      <w:r w:rsidRPr="006355EC">
        <w:rPr>
          <w:lang w:eastAsia="tr-TR"/>
        </w:rPr>
        <w:t>Flanders</w:t>
      </w:r>
      <w:proofErr w:type="spellEnd"/>
      <w:r w:rsidRPr="006355EC">
        <w:rPr>
          <w:lang w:eastAsia="tr-TR"/>
        </w:rPr>
        <w:t>—</w:t>
      </w:r>
      <w:proofErr w:type="spellStart"/>
      <w:r w:rsidRPr="006355EC">
        <w:rPr>
          <w:lang w:eastAsia="tr-TR"/>
        </w:rPr>
        <w:t>Any</w:t>
      </w:r>
      <w:proofErr w:type="spellEnd"/>
      <w:r w:rsidRPr="006355EC">
        <w:rPr>
          <w:lang w:eastAsia="tr-TR"/>
        </w:rPr>
        <w:t xml:space="preserve"> </w:t>
      </w:r>
      <w:proofErr w:type="spellStart"/>
      <w:r w:rsidRPr="006355EC">
        <w:rPr>
          <w:lang w:eastAsia="tr-TR"/>
        </w:rPr>
        <w:t>incremental</w:t>
      </w:r>
      <w:proofErr w:type="spellEnd"/>
      <w:r w:rsidRPr="006355EC">
        <w:rPr>
          <w:lang w:eastAsia="tr-TR"/>
        </w:rPr>
        <w:t xml:space="preserve"> </w:t>
      </w:r>
      <w:proofErr w:type="spellStart"/>
      <w:r w:rsidRPr="006355EC">
        <w:rPr>
          <w:lang w:eastAsia="tr-TR"/>
        </w:rPr>
        <w:t>validity</w:t>
      </w:r>
      <w:proofErr w:type="spellEnd"/>
      <w:r w:rsidRPr="006355EC">
        <w:rPr>
          <w:lang w:eastAsia="tr-TR"/>
        </w:rPr>
        <w:t xml:space="preserve"> of </w:t>
      </w:r>
      <w:proofErr w:type="spellStart"/>
      <w:r w:rsidRPr="006355EC">
        <w:rPr>
          <w:lang w:eastAsia="tr-TR"/>
        </w:rPr>
        <w:t>study</w:t>
      </w:r>
      <w:proofErr w:type="spellEnd"/>
      <w:r w:rsidRPr="006355EC">
        <w:rPr>
          <w:lang w:eastAsia="tr-TR"/>
        </w:rPr>
        <w:t xml:space="preserve"> </w:t>
      </w:r>
      <w:proofErr w:type="spellStart"/>
      <w:r w:rsidRPr="006355EC">
        <w:rPr>
          <w:lang w:eastAsia="tr-TR"/>
        </w:rPr>
        <w:t>strategies</w:t>
      </w:r>
      <w:proofErr w:type="spellEnd"/>
      <w:r w:rsidRPr="006355EC">
        <w:rPr>
          <w:lang w:eastAsia="tr-TR"/>
        </w:rPr>
        <w:t xml:space="preserve">? </w:t>
      </w:r>
      <w:proofErr w:type="spellStart"/>
      <w:r w:rsidRPr="006355EC">
        <w:rPr>
          <w:i/>
          <w:iCs/>
          <w:lang w:eastAsia="tr-TR"/>
        </w:rPr>
        <w:t>European</w:t>
      </w:r>
      <w:proofErr w:type="spellEnd"/>
      <w:r w:rsidRPr="006355EC">
        <w:rPr>
          <w:i/>
          <w:iCs/>
          <w:lang w:eastAsia="tr-TR"/>
        </w:rPr>
        <w:t xml:space="preserve"> </w:t>
      </w:r>
      <w:proofErr w:type="spellStart"/>
      <w:r w:rsidRPr="006355EC">
        <w:rPr>
          <w:i/>
          <w:iCs/>
          <w:lang w:eastAsia="tr-TR"/>
        </w:rPr>
        <w:t>Journal</w:t>
      </w:r>
      <w:proofErr w:type="spellEnd"/>
      <w:r w:rsidRPr="006355EC">
        <w:rPr>
          <w:i/>
          <w:iCs/>
          <w:lang w:eastAsia="tr-TR"/>
        </w:rPr>
        <w:t xml:space="preserve"> of </w:t>
      </w:r>
      <w:proofErr w:type="spellStart"/>
      <w:r w:rsidRPr="006355EC">
        <w:rPr>
          <w:i/>
          <w:iCs/>
          <w:lang w:eastAsia="tr-TR"/>
        </w:rPr>
        <w:t>Psychology</w:t>
      </w:r>
      <w:proofErr w:type="spellEnd"/>
      <w:r w:rsidRPr="006355EC">
        <w:rPr>
          <w:i/>
          <w:iCs/>
          <w:lang w:eastAsia="tr-TR"/>
        </w:rPr>
        <w:t xml:space="preserve"> of </w:t>
      </w:r>
      <w:proofErr w:type="spellStart"/>
      <w:r w:rsidRPr="006355EC">
        <w:rPr>
          <w:i/>
          <w:iCs/>
          <w:lang w:eastAsia="tr-TR"/>
        </w:rPr>
        <w:t>Education</w:t>
      </w:r>
      <w:proofErr w:type="spellEnd"/>
      <w:r w:rsidRPr="006355EC">
        <w:rPr>
          <w:i/>
          <w:iCs/>
          <w:lang w:eastAsia="tr-TR"/>
        </w:rPr>
        <w:t>,</w:t>
      </w:r>
      <w:r w:rsidRPr="006355EC">
        <w:rPr>
          <w:lang w:eastAsia="tr-TR"/>
        </w:rPr>
        <w:t xml:space="preserve"> </w:t>
      </w:r>
      <w:r w:rsidRPr="006355EC">
        <w:rPr>
          <w:i/>
          <w:iCs/>
          <w:lang w:eastAsia="tr-TR"/>
        </w:rPr>
        <w:t>34</w:t>
      </w:r>
      <w:r w:rsidRPr="006355EC">
        <w:rPr>
          <w:lang w:eastAsia="tr-TR"/>
        </w:rPr>
        <w:t>, 45–66.</w:t>
      </w:r>
    </w:p>
    <w:p w:rsidR="006355EC" w:rsidRPr="006355EC" w:rsidRDefault="006355EC" w:rsidP="006355EC">
      <w:pPr>
        <w:tabs>
          <w:tab w:val="left" w:pos="1620"/>
        </w:tabs>
        <w:autoSpaceDE w:val="0"/>
        <w:autoSpaceDN w:val="0"/>
        <w:adjustRightInd w:val="0"/>
        <w:spacing w:before="60" w:after="60" w:line="360" w:lineRule="auto"/>
        <w:ind w:left="567" w:right="-2" w:hanging="567"/>
        <w:jc w:val="both"/>
        <w:rPr>
          <w:lang w:eastAsia="tr-TR"/>
        </w:rPr>
      </w:pPr>
      <w:proofErr w:type="spellStart"/>
      <w:r w:rsidRPr="006355EC">
        <w:rPr>
          <w:lang w:eastAsia="tr-TR"/>
        </w:rPr>
        <w:t>Ratelle</w:t>
      </w:r>
      <w:proofErr w:type="spellEnd"/>
      <w:r w:rsidRPr="006355EC">
        <w:rPr>
          <w:lang w:eastAsia="tr-TR"/>
        </w:rPr>
        <w:t xml:space="preserve">, C. F., </w:t>
      </w:r>
      <w:proofErr w:type="spellStart"/>
      <w:r w:rsidRPr="006355EC">
        <w:rPr>
          <w:lang w:eastAsia="tr-TR"/>
        </w:rPr>
        <w:t>Guay</w:t>
      </w:r>
      <w:proofErr w:type="spellEnd"/>
      <w:r w:rsidRPr="006355EC">
        <w:rPr>
          <w:lang w:eastAsia="tr-TR"/>
        </w:rPr>
        <w:t xml:space="preserve">, F., </w:t>
      </w:r>
      <w:proofErr w:type="spellStart"/>
      <w:r w:rsidRPr="006355EC">
        <w:rPr>
          <w:lang w:eastAsia="tr-TR"/>
        </w:rPr>
        <w:t>Larose</w:t>
      </w:r>
      <w:proofErr w:type="spellEnd"/>
      <w:r w:rsidRPr="006355EC">
        <w:rPr>
          <w:lang w:eastAsia="tr-TR"/>
        </w:rPr>
        <w:t xml:space="preserve">, S., &amp; </w:t>
      </w:r>
      <w:proofErr w:type="spellStart"/>
      <w:r w:rsidRPr="006355EC">
        <w:rPr>
          <w:lang w:eastAsia="tr-TR"/>
        </w:rPr>
        <w:t>Senécal</w:t>
      </w:r>
      <w:proofErr w:type="spellEnd"/>
      <w:r w:rsidRPr="006355EC">
        <w:rPr>
          <w:lang w:eastAsia="tr-TR"/>
        </w:rPr>
        <w:t xml:space="preserve">, C. (2004). </w:t>
      </w:r>
      <w:proofErr w:type="spellStart"/>
      <w:r w:rsidRPr="006355EC">
        <w:rPr>
          <w:lang w:eastAsia="tr-TR"/>
        </w:rPr>
        <w:t>Family</w:t>
      </w:r>
      <w:proofErr w:type="spellEnd"/>
      <w:r w:rsidRPr="006355EC">
        <w:rPr>
          <w:lang w:eastAsia="tr-TR"/>
        </w:rPr>
        <w:t xml:space="preserve"> </w:t>
      </w:r>
      <w:proofErr w:type="spellStart"/>
      <w:r w:rsidRPr="006355EC">
        <w:rPr>
          <w:lang w:eastAsia="tr-TR"/>
        </w:rPr>
        <w:t>correlates</w:t>
      </w:r>
      <w:proofErr w:type="spellEnd"/>
      <w:r w:rsidRPr="006355EC">
        <w:rPr>
          <w:lang w:eastAsia="tr-TR"/>
        </w:rPr>
        <w:t xml:space="preserve"> of </w:t>
      </w:r>
      <w:proofErr w:type="spellStart"/>
      <w:r w:rsidRPr="006355EC">
        <w:rPr>
          <w:lang w:eastAsia="tr-TR"/>
        </w:rPr>
        <w:t>trajectories</w:t>
      </w:r>
      <w:proofErr w:type="spellEnd"/>
      <w:r w:rsidRPr="006355EC">
        <w:rPr>
          <w:lang w:eastAsia="tr-TR"/>
        </w:rPr>
        <w:t xml:space="preserve"> of </w:t>
      </w:r>
      <w:proofErr w:type="spellStart"/>
      <w:r w:rsidRPr="006355EC">
        <w:rPr>
          <w:lang w:eastAsia="tr-TR"/>
        </w:rPr>
        <w:t>academic</w:t>
      </w:r>
      <w:proofErr w:type="spellEnd"/>
      <w:r w:rsidRPr="006355EC">
        <w:rPr>
          <w:lang w:eastAsia="tr-TR"/>
        </w:rPr>
        <w:t xml:space="preserve"> </w:t>
      </w:r>
      <w:proofErr w:type="spellStart"/>
      <w:r w:rsidRPr="006355EC">
        <w:rPr>
          <w:lang w:eastAsia="tr-TR"/>
        </w:rPr>
        <w:t>motivation</w:t>
      </w:r>
      <w:proofErr w:type="spellEnd"/>
      <w:r w:rsidRPr="006355EC">
        <w:rPr>
          <w:lang w:eastAsia="tr-TR"/>
        </w:rPr>
        <w:t xml:space="preserve"> </w:t>
      </w:r>
      <w:proofErr w:type="spellStart"/>
      <w:r w:rsidRPr="006355EC">
        <w:rPr>
          <w:lang w:eastAsia="tr-TR"/>
        </w:rPr>
        <w:t>during</w:t>
      </w:r>
      <w:proofErr w:type="spellEnd"/>
      <w:r w:rsidRPr="006355EC">
        <w:rPr>
          <w:lang w:eastAsia="tr-TR"/>
        </w:rPr>
        <w:t xml:space="preserve"> a </w:t>
      </w:r>
      <w:proofErr w:type="spellStart"/>
      <w:r w:rsidRPr="006355EC">
        <w:rPr>
          <w:lang w:eastAsia="tr-TR"/>
        </w:rPr>
        <w:t>school</w:t>
      </w:r>
      <w:proofErr w:type="spellEnd"/>
      <w:r w:rsidRPr="006355EC">
        <w:rPr>
          <w:lang w:eastAsia="tr-TR"/>
        </w:rPr>
        <w:t xml:space="preserve"> </w:t>
      </w:r>
      <w:proofErr w:type="spellStart"/>
      <w:r w:rsidRPr="006355EC">
        <w:rPr>
          <w:lang w:eastAsia="tr-TR"/>
        </w:rPr>
        <w:t>transition</w:t>
      </w:r>
      <w:proofErr w:type="spellEnd"/>
      <w:r w:rsidRPr="006355EC">
        <w:rPr>
          <w:lang w:eastAsia="tr-TR"/>
        </w:rPr>
        <w:t xml:space="preserve">: a </w:t>
      </w:r>
      <w:proofErr w:type="spellStart"/>
      <w:r w:rsidRPr="006355EC">
        <w:rPr>
          <w:lang w:eastAsia="tr-TR"/>
        </w:rPr>
        <w:t>semiparametric</w:t>
      </w:r>
      <w:proofErr w:type="spellEnd"/>
      <w:r w:rsidRPr="006355EC">
        <w:rPr>
          <w:lang w:eastAsia="tr-TR"/>
        </w:rPr>
        <w:t xml:space="preserve"> </w:t>
      </w:r>
      <w:proofErr w:type="spellStart"/>
      <w:r w:rsidRPr="006355EC">
        <w:rPr>
          <w:lang w:eastAsia="tr-TR"/>
        </w:rPr>
        <w:t>group-based</w:t>
      </w:r>
      <w:proofErr w:type="spellEnd"/>
      <w:r w:rsidRPr="006355EC">
        <w:rPr>
          <w:lang w:eastAsia="tr-TR"/>
        </w:rPr>
        <w:t xml:space="preserve"> </w:t>
      </w:r>
      <w:proofErr w:type="spellStart"/>
      <w:r w:rsidRPr="006355EC">
        <w:rPr>
          <w:lang w:eastAsia="tr-TR"/>
        </w:rPr>
        <w:t>approach</w:t>
      </w:r>
      <w:proofErr w:type="spellEnd"/>
      <w:r w:rsidRPr="006355EC">
        <w:rPr>
          <w:lang w:eastAsia="tr-TR"/>
        </w:rPr>
        <w:t xml:space="preserve">. </w:t>
      </w:r>
      <w:proofErr w:type="spellStart"/>
      <w:r w:rsidRPr="006355EC">
        <w:rPr>
          <w:i/>
          <w:iCs/>
          <w:lang w:eastAsia="tr-TR"/>
        </w:rPr>
        <w:t>Journal</w:t>
      </w:r>
      <w:proofErr w:type="spellEnd"/>
      <w:r w:rsidRPr="006355EC">
        <w:rPr>
          <w:i/>
          <w:iCs/>
          <w:lang w:eastAsia="tr-TR"/>
        </w:rPr>
        <w:t xml:space="preserve"> of </w:t>
      </w:r>
      <w:proofErr w:type="spellStart"/>
      <w:r w:rsidRPr="006355EC">
        <w:rPr>
          <w:i/>
          <w:iCs/>
          <w:lang w:eastAsia="tr-TR"/>
        </w:rPr>
        <w:t>Educational</w:t>
      </w:r>
      <w:proofErr w:type="spellEnd"/>
      <w:r w:rsidRPr="006355EC">
        <w:rPr>
          <w:i/>
          <w:iCs/>
          <w:lang w:eastAsia="tr-TR"/>
        </w:rPr>
        <w:t xml:space="preserve"> </w:t>
      </w:r>
      <w:proofErr w:type="spellStart"/>
      <w:r w:rsidRPr="006355EC">
        <w:rPr>
          <w:i/>
          <w:iCs/>
          <w:lang w:eastAsia="tr-TR"/>
        </w:rPr>
        <w:t>Psychology</w:t>
      </w:r>
      <w:proofErr w:type="spellEnd"/>
      <w:r w:rsidRPr="006355EC">
        <w:rPr>
          <w:i/>
          <w:iCs/>
          <w:lang w:eastAsia="tr-TR"/>
        </w:rPr>
        <w:t>, 96</w:t>
      </w:r>
      <w:r w:rsidRPr="006355EC">
        <w:rPr>
          <w:lang w:eastAsia="tr-TR"/>
        </w:rPr>
        <w:t>(4), 743–754. https://doi.org/10.1037/0022-0663.96.4.743.</w:t>
      </w:r>
    </w:p>
    <w:p w:rsidR="006355EC" w:rsidRPr="006355EC" w:rsidRDefault="006355EC" w:rsidP="006355EC">
      <w:pPr>
        <w:tabs>
          <w:tab w:val="left" w:pos="1620"/>
        </w:tabs>
        <w:autoSpaceDE w:val="0"/>
        <w:autoSpaceDN w:val="0"/>
        <w:adjustRightInd w:val="0"/>
        <w:spacing w:before="60" w:after="60" w:line="360" w:lineRule="auto"/>
        <w:ind w:left="567" w:right="-2" w:hanging="567"/>
        <w:jc w:val="both"/>
        <w:rPr>
          <w:lang w:eastAsia="tr-TR"/>
        </w:rPr>
      </w:pPr>
      <w:proofErr w:type="spellStart"/>
      <w:r w:rsidRPr="006355EC">
        <w:rPr>
          <w:lang w:eastAsia="tr-TR"/>
        </w:rPr>
        <w:lastRenderedPageBreak/>
        <w:t>Reider</w:t>
      </w:r>
      <w:proofErr w:type="spellEnd"/>
      <w:r w:rsidRPr="006355EC">
        <w:rPr>
          <w:lang w:eastAsia="tr-TR"/>
        </w:rPr>
        <w:t xml:space="preserve">, D., </w:t>
      </w:r>
      <w:proofErr w:type="spellStart"/>
      <w:r w:rsidRPr="006355EC">
        <w:rPr>
          <w:lang w:eastAsia="tr-TR"/>
        </w:rPr>
        <w:t>Knestis</w:t>
      </w:r>
      <w:proofErr w:type="spellEnd"/>
      <w:r w:rsidRPr="006355EC">
        <w:rPr>
          <w:lang w:eastAsia="tr-TR"/>
        </w:rPr>
        <w:t xml:space="preserve">, K. &amp; </w:t>
      </w:r>
      <w:proofErr w:type="spellStart"/>
      <w:r w:rsidRPr="006355EC">
        <w:rPr>
          <w:lang w:eastAsia="tr-TR"/>
        </w:rPr>
        <w:t>Malyn</w:t>
      </w:r>
      <w:proofErr w:type="spellEnd"/>
      <w:r w:rsidRPr="006355EC">
        <w:rPr>
          <w:lang w:eastAsia="tr-TR"/>
        </w:rPr>
        <w:t xml:space="preserve">-Smith, J. (2016). </w:t>
      </w:r>
      <w:proofErr w:type="spellStart"/>
      <w:r w:rsidRPr="006355EC">
        <w:rPr>
          <w:lang w:eastAsia="tr-TR"/>
        </w:rPr>
        <w:t>Workforce</w:t>
      </w:r>
      <w:proofErr w:type="spellEnd"/>
      <w:r w:rsidRPr="006355EC">
        <w:rPr>
          <w:lang w:eastAsia="tr-TR"/>
        </w:rPr>
        <w:t xml:space="preserve"> </w:t>
      </w:r>
      <w:proofErr w:type="spellStart"/>
      <w:r w:rsidRPr="006355EC">
        <w:rPr>
          <w:lang w:eastAsia="tr-TR"/>
        </w:rPr>
        <w:t>education</w:t>
      </w:r>
      <w:proofErr w:type="spellEnd"/>
      <w:r w:rsidRPr="006355EC">
        <w:rPr>
          <w:lang w:eastAsia="tr-TR"/>
        </w:rPr>
        <w:t xml:space="preserve"> </w:t>
      </w:r>
      <w:proofErr w:type="spellStart"/>
      <w:r w:rsidRPr="006355EC">
        <w:rPr>
          <w:lang w:eastAsia="tr-TR"/>
        </w:rPr>
        <w:t>models</w:t>
      </w:r>
      <w:proofErr w:type="spellEnd"/>
      <w:r w:rsidRPr="006355EC">
        <w:rPr>
          <w:lang w:eastAsia="tr-TR"/>
        </w:rPr>
        <w:t xml:space="preserve"> </w:t>
      </w:r>
      <w:proofErr w:type="spellStart"/>
      <w:r w:rsidRPr="006355EC">
        <w:rPr>
          <w:lang w:eastAsia="tr-TR"/>
        </w:rPr>
        <w:t>for</w:t>
      </w:r>
      <w:proofErr w:type="spellEnd"/>
      <w:r w:rsidRPr="006355EC">
        <w:rPr>
          <w:lang w:eastAsia="tr-TR"/>
        </w:rPr>
        <w:t xml:space="preserve"> K-12 STEM </w:t>
      </w:r>
      <w:proofErr w:type="spellStart"/>
      <w:r w:rsidRPr="006355EC">
        <w:rPr>
          <w:lang w:eastAsia="tr-TR"/>
        </w:rPr>
        <w:t>education</w:t>
      </w:r>
      <w:proofErr w:type="spellEnd"/>
      <w:r w:rsidRPr="006355EC">
        <w:rPr>
          <w:lang w:eastAsia="tr-TR"/>
        </w:rPr>
        <w:t xml:space="preserve"> </w:t>
      </w:r>
      <w:proofErr w:type="spellStart"/>
      <w:r w:rsidRPr="006355EC">
        <w:rPr>
          <w:lang w:eastAsia="tr-TR"/>
        </w:rPr>
        <w:t>programs</w:t>
      </w:r>
      <w:proofErr w:type="spellEnd"/>
      <w:r w:rsidRPr="006355EC">
        <w:rPr>
          <w:lang w:eastAsia="tr-TR"/>
        </w:rPr>
        <w:t xml:space="preserve">: </w:t>
      </w:r>
      <w:proofErr w:type="spellStart"/>
      <w:r w:rsidRPr="006355EC">
        <w:rPr>
          <w:lang w:eastAsia="tr-TR"/>
        </w:rPr>
        <w:t>Reflections</w:t>
      </w:r>
      <w:proofErr w:type="spellEnd"/>
      <w:r w:rsidRPr="006355EC">
        <w:rPr>
          <w:lang w:eastAsia="tr-TR"/>
        </w:rPr>
        <w:t xml:space="preserve"> on, </w:t>
      </w:r>
      <w:proofErr w:type="spellStart"/>
      <w:r w:rsidRPr="006355EC">
        <w:rPr>
          <w:lang w:eastAsia="tr-TR"/>
        </w:rPr>
        <w:t>and</w:t>
      </w:r>
      <w:proofErr w:type="spellEnd"/>
      <w:r w:rsidRPr="006355EC">
        <w:rPr>
          <w:lang w:eastAsia="tr-TR"/>
        </w:rPr>
        <w:t xml:space="preserve"> </w:t>
      </w:r>
      <w:proofErr w:type="spellStart"/>
      <w:r w:rsidRPr="006355EC">
        <w:rPr>
          <w:lang w:eastAsia="tr-TR"/>
        </w:rPr>
        <w:t>implications</w:t>
      </w:r>
      <w:proofErr w:type="spellEnd"/>
      <w:r w:rsidRPr="006355EC">
        <w:rPr>
          <w:lang w:eastAsia="tr-TR"/>
        </w:rPr>
        <w:t xml:space="preserve"> </w:t>
      </w:r>
      <w:proofErr w:type="spellStart"/>
      <w:r w:rsidRPr="006355EC">
        <w:rPr>
          <w:lang w:eastAsia="tr-TR"/>
        </w:rPr>
        <w:t>for</w:t>
      </w:r>
      <w:proofErr w:type="spellEnd"/>
      <w:r w:rsidRPr="006355EC">
        <w:rPr>
          <w:lang w:eastAsia="tr-TR"/>
        </w:rPr>
        <w:t xml:space="preserve">, </w:t>
      </w:r>
      <w:proofErr w:type="spellStart"/>
      <w:r w:rsidRPr="006355EC">
        <w:rPr>
          <w:lang w:eastAsia="tr-TR"/>
        </w:rPr>
        <w:t>the</w:t>
      </w:r>
      <w:proofErr w:type="spellEnd"/>
      <w:r w:rsidRPr="006355EC">
        <w:rPr>
          <w:lang w:eastAsia="tr-TR"/>
        </w:rPr>
        <w:t xml:space="preserve"> NSF ITEST program. </w:t>
      </w:r>
      <w:proofErr w:type="spellStart"/>
      <w:r w:rsidR="00FF2A11" w:rsidRPr="00FF2A11">
        <w:rPr>
          <w:i/>
          <w:iCs/>
          <w:lang w:eastAsia="tr-TR"/>
        </w:rPr>
        <w:t>Journal</w:t>
      </w:r>
      <w:proofErr w:type="spellEnd"/>
      <w:r w:rsidR="00FF2A11" w:rsidRPr="00FF2A11">
        <w:rPr>
          <w:i/>
          <w:iCs/>
          <w:lang w:eastAsia="tr-TR"/>
        </w:rPr>
        <w:t xml:space="preserve"> of </w:t>
      </w:r>
      <w:proofErr w:type="spellStart"/>
      <w:r w:rsidR="00FF2A11" w:rsidRPr="00FF2A11">
        <w:rPr>
          <w:i/>
          <w:iCs/>
          <w:lang w:eastAsia="tr-TR"/>
        </w:rPr>
        <w:t>Science</w:t>
      </w:r>
      <w:proofErr w:type="spellEnd"/>
      <w:r w:rsidR="00FF2A11" w:rsidRPr="00FF2A11">
        <w:rPr>
          <w:i/>
          <w:iCs/>
          <w:lang w:eastAsia="tr-TR"/>
        </w:rPr>
        <w:t xml:space="preserve"> </w:t>
      </w:r>
      <w:proofErr w:type="spellStart"/>
      <w:r w:rsidR="00FF2A11" w:rsidRPr="00FF2A11">
        <w:rPr>
          <w:i/>
          <w:iCs/>
          <w:lang w:eastAsia="tr-TR"/>
        </w:rPr>
        <w:t>Education</w:t>
      </w:r>
      <w:proofErr w:type="spellEnd"/>
      <w:r w:rsidR="00FF2A11" w:rsidRPr="00FF2A11">
        <w:rPr>
          <w:i/>
          <w:iCs/>
          <w:lang w:eastAsia="tr-TR"/>
        </w:rPr>
        <w:t xml:space="preserve"> </w:t>
      </w:r>
      <w:proofErr w:type="spellStart"/>
      <w:r w:rsidR="00FF2A11" w:rsidRPr="00FF2A11">
        <w:rPr>
          <w:i/>
          <w:iCs/>
          <w:lang w:eastAsia="tr-TR"/>
        </w:rPr>
        <w:t>and</w:t>
      </w:r>
      <w:proofErr w:type="spellEnd"/>
      <w:r w:rsidR="00FF2A11" w:rsidRPr="00FF2A11">
        <w:rPr>
          <w:i/>
          <w:iCs/>
          <w:lang w:eastAsia="tr-TR"/>
        </w:rPr>
        <w:t xml:space="preserve"> </w:t>
      </w:r>
      <w:proofErr w:type="spellStart"/>
      <w:r w:rsidR="00FF2A11" w:rsidRPr="00FF2A11">
        <w:rPr>
          <w:i/>
          <w:iCs/>
          <w:lang w:eastAsia="tr-TR"/>
        </w:rPr>
        <w:t>Technology</w:t>
      </w:r>
      <w:proofErr w:type="spellEnd"/>
      <w:r w:rsidRPr="006355EC">
        <w:rPr>
          <w:i/>
          <w:iCs/>
          <w:lang w:eastAsia="tr-TR"/>
        </w:rPr>
        <w:t>, 25</w:t>
      </w:r>
      <w:r w:rsidRPr="006355EC">
        <w:rPr>
          <w:lang w:eastAsia="tr-TR"/>
        </w:rPr>
        <w:t>(6), 847–858.</w:t>
      </w:r>
    </w:p>
    <w:p w:rsidR="001707BF" w:rsidRDefault="001707BF" w:rsidP="00AD3FDA">
      <w:pPr>
        <w:tabs>
          <w:tab w:val="left" w:pos="1620"/>
        </w:tabs>
        <w:autoSpaceDE w:val="0"/>
        <w:autoSpaceDN w:val="0"/>
        <w:adjustRightInd w:val="0"/>
        <w:spacing w:before="60" w:after="60" w:line="360" w:lineRule="auto"/>
        <w:ind w:left="567" w:right="-2" w:hanging="567"/>
        <w:jc w:val="both"/>
        <w:rPr>
          <w:lang w:eastAsia="tr-TR"/>
        </w:rPr>
      </w:pPr>
      <w:bookmarkStart w:id="16" w:name="_Hlk24818288"/>
      <w:proofErr w:type="spellStart"/>
      <w:r>
        <w:t>Maehr</w:t>
      </w:r>
      <w:proofErr w:type="spellEnd"/>
      <w:r>
        <w:t xml:space="preserve">, M. L. (1976). </w:t>
      </w:r>
      <w:proofErr w:type="spellStart"/>
      <w:r>
        <w:t>Continuing</w:t>
      </w:r>
      <w:proofErr w:type="spellEnd"/>
      <w:r>
        <w:t xml:space="preserve"> </w:t>
      </w:r>
      <w:proofErr w:type="spellStart"/>
      <w:r>
        <w:t>motivation</w:t>
      </w:r>
      <w:proofErr w:type="spellEnd"/>
      <w:r>
        <w:t xml:space="preserve">: An </w:t>
      </w:r>
      <w:proofErr w:type="spellStart"/>
      <w:r>
        <w:t>analysis</w:t>
      </w:r>
      <w:proofErr w:type="spellEnd"/>
      <w:r>
        <w:t xml:space="preserve"> of a </w:t>
      </w:r>
      <w:proofErr w:type="spellStart"/>
      <w:r>
        <w:t>seldom</w:t>
      </w:r>
      <w:proofErr w:type="spellEnd"/>
      <w:r>
        <w:t xml:space="preserve"> </w:t>
      </w:r>
      <w:proofErr w:type="spellStart"/>
      <w:r>
        <w:t>considered</w:t>
      </w:r>
      <w:proofErr w:type="spellEnd"/>
      <w:r>
        <w:t xml:space="preserve"> </w:t>
      </w:r>
      <w:proofErr w:type="spellStart"/>
      <w:r>
        <w:t>educational</w:t>
      </w:r>
      <w:proofErr w:type="spellEnd"/>
      <w:r>
        <w:t xml:space="preserve"> </w:t>
      </w:r>
      <w:proofErr w:type="spellStart"/>
      <w:r>
        <w:t>outcome</w:t>
      </w:r>
      <w:proofErr w:type="spellEnd"/>
      <w:r>
        <w:t xml:space="preserve">. </w:t>
      </w:r>
      <w:proofErr w:type="spellStart"/>
      <w:r w:rsidRPr="001707BF">
        <w:rPr>
          <w:i/>
          <w:iCs/>
        </w:rPr>
        <w:t>Review</w:t>
      </w:r>
      <w:proofErr w:type="spellEnd"/>
      <w:r w:rsidRPr="001707BF">
        <w:rPr>
          <w:i/>
          <w:iCs/>
        </w:rPr>
        <w:t xml:space="preserve"> of </w:t>
      </w:r>
      <w:proofErr w:type="spellStart"/>
      <w:r w:rsidRPr="001707BF">
        <w:rPr>
          <w:i/>
          <w:iCs/>
        </w:rPr>
        <w:t>Educational</w:t>
      </w:r>
      <w:proofErr w:type="spellEnd"/>
      <w:r w:rsidRPr="001707BF">
        <w:rPr>
          <w:i/>
          <w:iCs/>
        </w:rPr>
        <w:t xml:space="preserve"> </w:t>
      </w:r>
      <w:proofErr w:type="spellStart"/>
      <w:r w:rsidRPr="001707BF">
        <w:rPr>
          <w:i/>
          <w:iCs/>
        </w:rPr>
        <w:t>Research</w:t>
      </w:r>
      <w:proofErr w:type="spellEnd"/>
      <w:r w:rsidRPr="001707BF">
        <w:rPr>
          <w:i/>
          <w:iCs/>
        </w:rPr>
        <w:t>, 46</w:t>
      </w:r>
      <w:r>
        <w:t>(3), 443–462. doi:10.3102/ 00346543046003443</w:t>
      </w:r>
    </w:p>
    <w:p w:rsidR="00AD3FDA" w:rsidRPr="006355EC" w:rsidRDefault="006355EC" w:rsidP="00AD3FDA">
      <w:pPr>
        <w:tabs>
          <w:tab w:val="left" w:pos="1620"/>
        </w:tabs>
        <w:autoSpaceDE w:val="0"/>
        <w:autoSpaceDN w:val="0"/>
        <w:adjustRightInd w:val="0"/>
        <w:spacing w:before="60" w:after="60" w:line="360" w:lineRule="auto"/>
        <w:ind w:left="567" w:right="-2" w:hanging="567"/>
        <w:jc w:val="both"/>
        <w:rPr>
          <w:lang w:eastAsia="tr-TR"/>
        </w:rPr>
      </w:pPr>
      <w:proofErr w:type="spellStart"/>
      <w:r w:rsidRPr="006355EC">
        <w:rPr>
          <w:lang w:eastAsia="tr-TR"/>
        </w:rPr>
        <w:t>Maltese</w:t>
      </w:r>
      <w:proofErr w:type="spellEnd"/>
      <w:r w:rsidRPr="006355EC">
        <w:rPr>
          <w:lang w:eastAsia="tr-TR"/>
        </w:rPr>
        <w:t xml:space="preserve"> A.V., </w:t>
      </w:r>
      <w:proofErr w:type="spellStart"/>
      <w:r w:rsidRPr="006355EC">
        <w:rPr>
          <w:lang w:eastAsia="tr-TR"/>
        </w:rPr>
        <w:t>Tai</w:t>
      </w:r>
      <w:proofErr w:type="spellEnd"/>
      <w:r w:rsidRPr="006355EC">
        <w:rPr>
          <w:lang w:eastAsia="tr-TR"/>
        </w:rPr>
        <w:t xml:space="preserve"> R.H., </w:t>
      </w:r>
      <w:bookmarkEnd w:id="16"/>
      <w:r w:rsidRPr="006355EC">
        <w:rPr>
          <w:lang w:eastAsia="tr-TR"/>
        </w:rPr>
        <w:t xml:space="preserve">(2011). </w:t>
      </w:r>
      <w:proofErr w:type="spellStart"/>
      <w:r w:rsidRPr="006355EC">
        <w:rPr>
          <w:lang w:eastAsia="tr-TR"/>
        </w:rPr>
        <w:t>Pipeline</w:t>
      </w:r>
      <w:proofErr w:type="spellEnd"/>
      <w:r w:rsidRPr="006355EC">
        <w:rPr>
          <w:lang w:eastAsia="tr-TR"/>
        </w:rPr>
        <w:t xml:space="preserve"> </w:t>
      </w:r>
      <w:proofErr w:type="spellStart"/>
      <w:r w:rsidRPr="006355EC">
        <w:rPr>
          <w:lang w:eastAsia="tr-TR"/>
        </w:rPr>
        <w:t>persistence</w:t>
      </w:r>
      <w:proofErr w:type="spellEnd"/>
      <w:r w:rsidRPr="006355EC">
        <w:rPr>
          <w:lang w:eastAsia="tr-TR"/>
        </w:rPr>
        <w:t xml:space="preserve">: </w:t>
      </w:r>
      <w:proofErr w:type="spellStart"/>
      <w:r w:rsidRPr="006355EC">
        <w:rPr>
          <w:lang w:eastAsia="tr-TR"/>
        </w:rPr>
        <w:t>examining</w:t>
      </w:r>
      <w:proofErr w:type="spellEnd"/>
      <w:r w:rsidRPr="006355EC">
        <w:rPr>
          <w:lang w:eastAsia="tr-TR"/>
        </w:rPr>
        <w:t xml:space="preserve"> </w:t>
      </w:r>
      <w:proofErr w:type="spellStart"/>
      <w:r w:rsidRPr="006355EC">
        <w:rPr>
          <w:lang w:eastAsia="tr-TR"/>
        </w:rPr>
        <w:t>the</w:t>
      </w:r>
      <w:proofErr w:type="spellEnd"/>
      <w:r w:rsidRPr="006355EC">
        <w:rPr>
          <w:lang w:eastAsia="tr-TR"/>
        </w:rPr>
        <w:t xml:space="preserve"> </w:t>
      </w:r>
      <w:proofErr w:type="spellStart"/>
      <w:r w:rsidRPr="006355EC">
        <w:rPr>
          <w:lang w:eastAsia="tr-TR"/>
        </w:rPr>
        <w:t>association</w:t>
      </w:r>
      <w:proofErr w:type="spellEnd"/>
      <w:r w:rsidRPr="006355EC">
        <w:rPr>
          <w:lang w:eastAsia="tr-TR"/>
        </w:rPr>
        <w:t xml:space="preserve"> of </w:t>
      </w:r>
      <w:proofErr w:type="spellStart"/>
      <w:r w:rsidRPr="006355EC">
        <w:rPr>
          <w:lang w:eastAsia="tr-TR"/>
        </w:rPr>
        <w:t>educational</w:t>
      </w:r>
      <w:proofErr w:type="spellEnd"/>
      <w:r w:rsidRPr="006355EC">
        <w:rPr>
          <w:lang w:eastAsia="tr-TR"/>
        </w:rPr>
        <w:t xml:space="preserve"> </w:t>
      </w:r>
      <w:proofErr w:type="spellStart"/>
      <w:r w:rsidRPr="006355EC">
        <w:rPr>
          <w:lang w:eastAsia="tr-TR"/>
        </w:rPr>
        <w:t>experiences</w:t>
      </w:r>
      <w:proofErr w:type="spellEnd"/>
      <w:r w:rsidRPr="006355EC">
        <w:rPr>
          <w:lang w:eastAsia="tr-TR"/>
        </w:rPr>
        <w:t xml:space="preserve"> </w:t>
      </w:r>
      <w:proofErr w:type="spellStart"/>
      <w:r w:rsidRPr="006355EC">
        <w:rPr>
          <w:lang w:eastAsia="tr-TR"/>
        </w:rPr>
        <w:t>with</w:t>
      </w:r>
      <w:proofErr w:type="spellEnd"/>
      <w:r w:rsidRPr="006355EC">
        <w:rPr>
          <w:lang w:eastAsia="tr-TR"/>
        </w:rPr>
        <w:t xml:space="preserve"> </w:t>
      </w:r>
      <w:proofErr w:type="spellStart"/>
      <w:r w:rsidRPr="006355EC">
        <w:rPr>
          <w:lang w:eastAsia="tr-TR"/>
        </w:rPr>
        <w:t>earned</w:t>
      </w:r>
      <w:proofErr w:type="spellEnd"/>
      <w:r w:rsidRPr="006355EC">
        <w:rPr>
          <w:lang w:eastAsia="tr-TR"/>
        </w:rPr>
        <w:t xml:space="preserve"> </w:t>
      </w:r>
      <w:proofErr w:type="spellStart"/>
      <w:r w:rsidRPr="006355EC">
        <w:rPr>
          <w:lang w:eastAsia="tr-TR"/>
        </w:rPr>
        <w:t>degrees</w:t>
      </w:r>
      <w:proofErr w:type="spellEnd"/>
      <w:r w:rsidRPr="006355EC">
        <w:rPr>
          <w:lang w:eastAsia="tr-TR"/>
        </w:rPr>
        <w:t xml:space="preserve"> in STEM </w:t>
      </w:r>
      <w:proofErr w:type="spellStart"/>
      <w:r w:rsidRPr="006355EC">
        <w:rPr>
          <w:lang w:eastAsia="tr-TR"/>
        </w:rPr>
        <w:t>among</w:t>
      </w:r>
      <w:proofErr w:type="spellEnd"/>
      <w:r w:rsidRPr="006355EC">
        <w:rPr>
          <w:lang w:eastAsia="tr-TR"/>
        </w:rPr>
        <w:t xml:space="preserve"> U.S. </w:t>
      </w:r>
      <w:proofErr w:type="spellStart"/>
      <w:r w:rsidRPr="006355EC">
        <w:rPr>
          <w:lang w:eastAsia="tr-TR"/>
        </w:rPr>
        <w:t>students</w:t>
      </w:r>
      <w:proofErr w:type="spellEnd"/>
      <w:r w:rsidRPr="006355EC">
        <w:rPr>
          <w:lang w:eastAsia="tr-TR"/>
        </w:rPr>
        <w:t xml:space="preserve">. </w:t>
      </w:r>
      <w:proofErr w:type="spellStart"/>
      <w:r w:rsidR="00FF2A11" w:rsidRPr="00FF2A11">
        <w:rPr>
          <w:i/>
          <w:iCs/>
          <w:lang w:eastAsia="tr-TR"/>
        </w:rPr>
        <w:t>Science</w:t>
      </w:r>
      <w:proofErr w:type="spellEnd"/>
      <w:r w:rsidR="00FF2A11" w:rsidRPr="00FF2A11">
        <w:rPr>
          <w:i/>
          <w:iCs/>
          <w:lang w:eastAsia="tr-TR"/>
        </w:rPr>
        <w:t xml:space="preserve"> Education</w:t>
      </w:r>
      <w:r w:rsidR="00FF2A11">
        <w:rPr>
          <w:i/>
          <w:iCs/>
          <w:lang w:eastAsia="tr-TR"/>
        </w:rPr>
        <w:t>,</w:t>
      </w:r>
      <w:r w:rsidRPr="006355EC">
        <w:rPr>
          <w:i/>
          <w:iCs/>
          <w:lang w:eastAsia="tr-TR"/>
        </w:rPr>
        <w:t>95</w:t>
      </w:r>
      <w:r w:rsidRPr="006355EC">
        <w:rPr>
          <w:lang w:eastAsia="tr-TR"/>
        </w:rPr>
        <w:t>(5):877–907.</w:t>
      </w:r>
    </w:p>
    <w:p w:rsidR="006355EC" w:rsidRDefault="006355EC" w:rsidP="006355EC">
      <w:pPr>
        <w:tabs>
          <w:tab w:val="left" w:pos="1620"/>
        </w:tabs>
        <w:autoSpaceDE w:val="0"/>
        <w:autoSpaceDN w:val="0"/>
        <w:adjustRightInd w:val="0"/>
        <w:spacing w:before="60" w:after="60" w:line="360" w:lineRule="auto"/>
        <w:ind w:left="567" w:right="-2" w:hanging="567"/>
        <w:jc w:val="both"/>
        <w:rPr>
          <w:lang w:eastAsia="tr-TR"/>
        </w:rPr>
      </w:pPr>
      <w:proofErr w:type="spellStart"/>
      <w:r w:rsidRPr="006355EC">
        <w:rPr>
          <w:lang w:eastAsia="tr-TR"/>
        </w:rPr>
        <w:t>Manolopoulou</w:t>
      </w:r>
      <w:proofErr w:type="spellEnd"/>
      <w:r w:rsidRPr="006355EC">
        <w:rPr>
          <w:lang w:eastAsia="tr-TR"/>
        </w:rPr>
        <w:t xml:space="preserve">-Sergi, E. (2004). </w:t>
      </w:r>
      <w:proofErr w:type="spellStart"/>
      <w:r w:rsidRPr="006355EC">
        <w:rPr>
          <w:lang w:eastAsia="tr-TR"/>
        </w:rPr>
        <w:t>Motivation</w:t>
      </w:r>
      <w:proofErr w:type="spellEnd"/>
      <w:r w:rsidRPr="006355EC">
        <w:rPr>
          <w:lang w:eastAsia="tr-TR"/>
        </w:rPr>
        <w:t xml:space="preserve"> </w:t>
      </w:r>
      <w:proofErr w:type="spellStart"/>
      <w:r w:rsidRPr="006355EC">
        <w:rPr>
          <w:lang w:eastAsia="tr-TR"/>
        </w:rPr>
        <w:t>within</w:t>
      </w:r>
      <w:proofErr w:type="spellEnd"/>
      <w:r w:rsidRPr="006355EC">
        <w:rPr>
          <w:lang w:eastAsia="tr-TR"/>
        </w:rPr>
        <w:t xml:space="preserve"> </w:t>
      </w:r>
      <w:proofErr w:type="spellStart"/>
      <w:r w:rsidRPr="006355EC">
        <w:rPr>
          <w:lang w:eastAsia="tr-TR"/>
        </w:rPr>
        <w:t>the</w:t>
      </w:r>
      <w:proofErr w:type="spellEnd"/>
      <w:r w:rsidRPr="006355EC">
        <w:rPr>
          <w:lang w:eastAsia="tr-TR"/>
        </w:rPr>
        <w:t xml:space="preserve"> </w:t>
      </w:r>
      <w:proofErr w:type="spellStart"/>
      <w:r w:rsidRPr="006355EC">
        <w:rPr>
          <w:lang w:eastAsia="tr-TR"/>
        </w:rPr>
        <w:t>information</w:t>
      </w:r>
      <w:proofErr w:type="spellEnd"/>
      <w:r w:rsidRPr="006355EC">
        <w:rPr>
          <w:lang w:eastAsia="tr-TR"/>
        </w:rPr>
        <w:t xml:space="preserve"> </w:t>
      </w:r>
      <w:proofErr w:type="spellStart"/>
      <w:r w:rsidRPr="006355EC">
        <w:rPr>
          <w:lang w:eastAsia="tr-TR"/>
        </w:rPr>
        <w:t>processing</w:t>
      </w:r>
      <w:proofErr w:type="spellEnd"/>
      <w:r w:rsidRPr="006355EC">
        <w:rPr>
          <w:lang w:eastAsia="tr-TR"/>
        </w:rPr>
        <w:t xml:space="preserve"> model of </w:t>
      </w:r>
      <w:proofErr w:type="spellStart"/>
      <w:r w:rsidRPr="006355EC">
        <w:rPr>
          <w:lang w:eastAsia="tr-TR"/>
        </w:rPr>
        <w:t>foreign</w:t>
      </w:r>
      <w:proofErr w:type="spellEnd"/>
      <w:r w:rsidRPr="006355EC">
        <w:rPr>
          <w:lang w:eastAsia="tr-TR"/>
        </w:rPr>
        <w:t xml:space="preserve"> </w:t>
      </w:r>
      <w:proofErr w:type="spellStart"/>
      <w:r w:rsidRPr="006355EC">
        <w:rPr>
          <w:lang w:eastAsia="tr-TR"/>
        </w:rPr>
        <w:t>language</w:t>
      </w:r>
      <w:proofErr w:type="spellEnd"/>
      <w:r w:rsidRPr="006355EC">
        <w:rPr>
          <w:lang w:eastAsia="tr-TR"/>
        </w:rPr>
        <w:t xml:space="preserve"> </w:t>
      </w:r>
      <w:proofErr w:type="spellStart"/>
      <w:r w:rsidRPr="006355EC">
        <w:rPr>
          <w:lang w:eastAsia="tr-TR"/>
        </w:rPr>
        <w:t>learning</w:t>
      </w:r>
      <w:proofErr w:type="spellEnd"/>
      <w:r w:rsidRPr="006355EC">
        <w:rPr>
          <w:lang w:eastAsia="tr-TR"/>
        </w:rPr>
        <w:t xml:space="preserve">. </w:t>
      </w:r>
      <w:proofErr w:type="spellStart"/>
      <w:r w:rsidRPr="006355EC">
        <w:rPr>
          <w:i/>
          <w:iCs/>
          <w:lang w:eastAsia="tr-TR"/>
        </w:rPr>
        <w:t>System</w:t>
      </w:r>
      <w:proofErr w:type="spellEnd"/>
      <w:r w:rsidRPr="006355EC">
        <w:rPr>
          <w:i/>
          <w:iCs/>
          <w:lang w:eastAsia="tr-TR"/>
        </w:rPr>
        <w:t>, 32</w:t>
      </w:r>
      <w:r w:rsidRPr="006355EC">
        <w:rPr>
          <w:lang w:eastAsia="tr-TR"/>
        </w:rPr>
        <w:t>(3), 427–441.</w:t>
      </w:r>
    </w:p>
    <w:p w:rsidR="00AD3FDA" w:rsidRPr="006355EC" w:rsidRDefault="00AD3FDA" w:rsidP="00AD3FDA">
      <w:pPr>
        <w:tabs>
          <w:tab w:val="left" w:pos="1620"/>
        </w:tabs>
        <w:autoSpaceDE w:val="0"/>
        <w:autoSpaceDN w:val="0"/>
        <w:adjustRightInd w:val="0"/>
        <w:spacing w:before="60" w:after="60" w:line="360" w:lineRule="auto"/>
        <w:ind w:left="567" w:right="-2" w:hanging="567"/>
        <w:jc w:val="both"/>
        <w:rPr>
          <w:lang w:eastAsia="tr-TR"/>
        </w:rPr>
      </w:pPr>
      <w:r w:rsidRPr="00AD3FDA">
        <w:rPr>
          <w:lang w:eastAsia="tr-TR"/>
        </w:rPr>
        <w:t xml:space="preserve">Master, A., </w:t>
      </w:r>
      <w:proofErr w:type="spellStart"/>
      <w:r w:rsidRPr="00AD3FDA">
        <w:rPr>
          <w:lang w:eastAsia="tr-TR"/>
        </w:rPr>
        <w:t>Cheryan</w:t>
      </w:r>
      <w:proofErr w:type="spellEnd"/>
      <w:r w:rsidRPr="00AD3FDA">
        <w:rPr>
          <w:lang w:eastAsia="tr-TR"/>
        </w:rPr>
        <w:t xml:space="preserve">, S., </w:t>
      </w:r>
      <w:proofErr w:type="spellStart"/>
      <w:r w:rsidRPr="00AD3FDA">
        <w:rPr>
          <w:lang w:eastAsia="tr-TR"/>
        </w:rPr>
        <w:t>Moscatelli</w:t>
      </w:r>
      <w:proofErr w:type="spellEnd"/>
      <w:r w:rsidRPr="00AD3FDA">
        <w:rPr>
          <w:lang w:eastAsia="tr-TR"/>
        </w:rPr>
        <w:t xml:space="preserve">, A., &amp; </w:t>
      </w:r>
      <w:proofErr w:type="spellStart"/>
      <w:r w:rsidRPr="00AD3FDA">
        <w:rPr>
          <w:lang w:eastAsia="tr-TR"/>
        </w:rPr>
        <w:t>Meltzoff</w:t>
      </w:r>
      <w:proofErr w:type="spellEnd"/>
      <w:r w:rsidRPr="00AD3FDA">
        <w:rPr>
          <w:lang w:eastAsia="tr-TR"/>
        </w:rPr>
        <w:t xml:space="preserve">, A. N. (2017). Programming </w:t>
      </w:r>
      <w:proofErr w:type="spellStart"/>
      <w:r w:rsidRPr="00AD3FDA">
        <w:rPr>
          <w:lang w:eastAsia="tr-TR"/>
        </w:rPr>
        <w:t>experience</w:t>
      </w:r>
      <w:proofErr w:type="spellEnd"/>
      <w:r w:rsidRPr="00AD3FDA">
        <w:rPr>
          <w:lang w:eastAsia="tr-TR"/>
        </w:rPr>
        <w:t xml:space="preserve"> </w:t>
      </w:r>
      <w:proofErr w:type="spellStart"/>
      <w:r w:rsidRPr="00AD3FDA">
        <w:rPr>
          <w:lang w:eastAsia="tr-TR"/>
        </w:rPr>
        <w:t>promotes</w:t>
      </w:r>
      <w:proofErr w:type="spellEnd"/>
      <w:r w:rsidRPr="00AD3FDA">
        <w:rPr>
          <w:lang w:eastAsia="tr-TR"/>
        </w:rPr>
        <w:t xml:space="preserve"> </w:t>
      </w:r>
      <w:proofErr w:type="spellStart"/>
      <w:r w:rsidRPr="00AD3FDA">
        <w:rPr>
          <w:lang w:eastAsia="tr-TR"/>
        </w:rPr>
        <w:t>higher</w:t>
      </w:r>
      <w:proofErr w:type="spellEnd"/>
      <w:r w:rsidRPr="00AD3FDA">
        <w:rPr>
          <w:lang w:eastAsia="tr-TR"/>
        </w:rPr>
        <w:t xml:space="preserve"> STEM </w:t>
      </w:r>
      <w:proofErr w:type="spellStart"/>
      <w:r w:rsidRPr="00AD3FDA">
        <w:rPr>
          <w:lang w:eastAsia="tr-TR"/>
        </w:rPr>
        <w:t>motivation</w:t>
      </w:r>
      <w:proofErr w:type="spellEnd"/>
      <w:r w:rsidRPr="00AD3FDA">
        <w:rPr>
          <w:lang w:eastAsia="tr-TR"/>
        </w:rPr>
        <w:t xml:space="preserve"> </w:t>
      </w:r>
      <w:proofErr w:type="spellStart"/>
      <w:r w:rsidRPr="00AD3FDA">
        <w:rPr>
          <w:lang w:eastAsia="tr-TR"/>
        </w:rPr>
        <w:t>among</w:t>
      </w:r>
      <w:proofErr w:type="spellEnd"/>
      <w:r w:rsidRPr="00AD3FDA">
        <w:rPr>
          <w:lang w:eastAsia="tr-TR"/>
        </w:rPr>
        <w:t xml:space="preserve"> </w:t>
      </w:r>
      <w:proofErr w:type="spellStart"/>
      <w:r w:rsidRPr="00AD3FDA">
        <w:rPr>
          <w:lang w:eastAsia="tr-TR"/>
        </w:rPr>
        <w:t>first-grade</w:t>
      </w:r>
      <w:proofErr w:type="spellEnd"/>
      <w:r w:rsidRPr="00AD3FDA">
        <w:rPr>
          <w:lang w:eastAsia="tr-TR"/>
        </w:rPr>
        <w:t xml:space="preserve"> </w:t>
      </w:r>
      <w:proofErr w:type="spellStart"/>
      <w:r w:rsidRPr="00AD3FDA">
        <w:rPr>
          <w:lang w:eastAsia="tr-TR"/>
        </w:rPr>
        <w:t>girls</w:t>
      </w:r>
      <w:proofErr w:type="spellEnd"/>
      <w:r w:rsidRPr="00AD3FDA">
        <w:rPr>
          <w:lang w:eastAsia="tr-TR"/>
        </w:rPr>
        <w:t xml:space="preserve">. </w:t>
      </w:r>
      <w:proofErr w:type="spellStart"/>
      <w:r w:rsidRPr="00AD3FDA">
        <w:rPr>
          <w:i/>
          <w:iCs/>
          <w:lang w:eastAsia="tr-TR"/>
        </w:rPr>
        <w:t>Journal</w:t>
      </w:r>
      <w:proofErr w:type="spellEnd"/>
      <w:r w:rsidRPr="00AD3FDA">
        <w:rPr>
          <w:i/>
          <w:iCs/>
          <w:lang w:eastAsia="tr-TR"/>
        </w:rPr>
        <w:t xml:space="preserve"> of </w:t>
      </w:r>
      <w:proofErr w:type="spellStart"/>
      <w:r w:rsidRPr="00AD3FDA">
        <w:rPr>
          <w:i/>
          <w:iCs/>
          <w:lang w:eastAsia="tr-TR"/>
        </w:rPr>
        <w:t>Experimental</w:t>
      </w:r>
      <w:proofErr w:type="spellEnd"/>
      <w:r w:rsidRPr="00AD3FDA">
        <w:rPr>
          <w:i/>
          <w:iCs/>
          <w:lang w:eastAsia="tr-TR"/>
        </w:rPr>
        <w:t xml:space="preserve"> Child </w:t>
      </w:r>
      <w:proofErr w:type="spellStart"/>
      <w:r w:rsidRPr="00AD3FDA">
        <w:rPr>
          <w:i/>
          <w:iCs/>
          <w:lang w:eastAsia="tr-TR"/>
        </w:rPr>
        <w:t>Psychology</w:t>
      </w:r>
      <w:proofErr w:type="spellEnd"/>
      <w:r w:rsidRPr="00AD3FDA">
        <w:rPr>
          <w:i/>
          <w:iCs/>
          <w:lang w:eastAsia="tr-TR"/>
        </w:rPr>
        <w:t>,</w:t>
      </w:r>
      <w:r w:rsidRPr="00AD3FDA">
        <w:rPr>
          <w:lang w:eastAsia="tr-TR"/>
        </w:rPr>
        <w:t xml:space="preserve"> 160, 92-106</w:t>
      </w:r>
      <w:r>
        <w:rPr>
          <w:lang w:eastAsia="tr-TR"/>
        </w:rPr>
        <w:t>.</w:t>
      </w:r>
    </w:p>
    <w:p w:rsidR="006355EC" w:rsidRPr="006355EC" w:rsidRDefault="006355EC" w:rsidP="006355EC">
      <w:pPr>
        <w:tabs>
          <w:tab w:val="left" w:pos="1620"/>
        </w:tabs>
        <w:autoSpaceDE w:val="0"/>
        <w:autoSpaceDN w:val="0"/>
        <w:adjustRightInd w:val="0"/>
        <w:spacing w:before="60" w:after="60" w:line="360" w:lineRule="auto"/>
        <w:ind w:left="567" w:right="-2" w:hanging="567"/>
        <w:jc w:val="both"/>
        <w:rPr>
          <w:lang w:eastAsia="tr-TR"/>
        </w:rPr>
      </w:pPr>
      <w:r w:rsidRPr="006355EC">
        <w:rPr>
          <w:lang w:eastAsia="tr-TR"/>
        </w:rPr>
        <w:t xml:space="preserve">Milli Eğitim Bakanlığı (2018). </w:t>
      </w:r>
      <w:r w:rsidRPr="006355EC">
        <w:rPr>
          <w:i/>
          <w:iCs/>
          <w:lang w:eastAsia="tr-TR"/>
        </w:rPr>
        <w:t xml:space="preserve">Fen Bilimleri Dersi </w:t>
      </w:r>
      <w:r w:rsidRPr="006355EC">
        <w:rPr>
          <w:rFonts w:hint="eastAsia"/>
          <w:i/>
          <w:iCs/>
          <w:lang w:eastAsia="tr-TR"/>
        </w:rPr>
        <w:t>Öğ</w:t>
      </w:r>
      <w:r w:rsidRPr="006355EC">
        <w:rPr>
          <w:i/>
          <w:iCs/>
          <w:lang w:eastAsia="tr-TR"/>
        </w:rPr>
        <w:t>retim Program</w:t>
      </w:r>
      <w:r w:rsidRPr="006355EC">
        <w:rPr>
          <w:rFonts w:hint="eastAsia"/>
          <w:i/>
          <w:iCs/>
          <w:lang w:eastAsia="tr-TR"/>
        </w:rPr>
        <w:t>ı</w:t>
      </w:r>
      <w:r w:rsidRPr="006355EC">
        <w:rPr>
          <w:i/>
          <w:iCs/>
          <w:lang w:eastAsia="tr-TR"/>
        </w:rPr>
        <w:t xml:space="preserve">. </w:t>
      </w:r>
      <w:r w:rsidRPr="006355EC">
        <w:rPr>
          <w:lang w:eastAsia="tr-TR"/>
        </w:rPr>
        <w:t>Ankara.</w:t>
      </w:r>
    </w:p>
    <w:p w:rsidR="006355EC" w:rsidRDefault="006355EC" w:rsidP="006355EC">
      <w:pPr>
        <w:tabs>
          <w:tab w:val="left" w:pos="1620"/>
        </w:tabs>
        <w:autoSpaceDE w:val="0"/>
        <w:autoSpaceDN w:val="0"/>
        <w:adjustRightInd w:val="0"/>
        <w:spacing w:before="60" w:after="60" w:line="360" w:lineRule="auto"/>
        <w:ind w:left="567" w:right="-2" w:hanging="567"/>
        <w:jc w:val="both"/>
        <w:rPr>
          <w:lang w:eastAsia="tr-TR"/>
        </w:rPr>
      </w:pPr>
      <w:proofErr w:type="spellStart"/>
      <w:r w:rsidRPr="006355EC">
        <w:rPr>
          <w:lang w:eastAsia="tr-TR"/>
        </w:rPr>
        <w:t>National</w:t>
      </w:r>
      <w:proofErr w:type="spellEnd"/>
      <w:r w:rsidRPr="006355EC">
        <w:rPr>
          <w:lang w:eastAsia="tr-TR"/>
        </w:rPr>
        <w:t xml:space="preserve"> </w:t>
      </w:r>
      <w:proofErr w:type="spellStart"/>
      <w:r w:rsidRPr="006355EC">
        <w:rPr>
          <w:lang w:eastAsia="tr-TR"/>
        </w:rPr>
        <w:t>Research</w:t>
      </w:r>
      <w:proofErr w:type="spellEnd"/>
      <w:r w:rsidRPr="006355EC">
        <w:rPr>
          <w:lang w:eastAsia="tr-TR"/>
        </w:rPr>
        <w:t xml:space="preserve"> </w:t>
      </w:r>
      <w:proofErr w:type="spellStart"/>
      <w:r w:rsidRPr="006355EC">
        <w:rPr>
          <w:lang w:eastAsia="tr-TR"/>
        </w:rPr>
        <w:t>Council</w:t>
      </w:r>
      <w:proofErr w:type="spellEnd"/>
      <w:r w:rsidRPr="006355EC">
        <w:rPr>
          <w:lang w:eastAsia="tr-TR"/>
        </w:rPr>
        <w:t xml:space="preserve"> [NRC]. (2011). </w:t>
      </w:r>
      <w:proofErr w:type="spellStart"/>
      <w:r w:rsidRPr="006355EC">
        <w:rPr>
          <w:i/>
          <w:iCs/>
          <w:lang w:eastAsia="tr-TR"/>
        </w:rPr>
        <w:t>National</w:t>
      </w:r>
      <w:proofErr w:type="spellEnd"/>
      <w:r w:rsidRPr="006355EC">
        <w:rPr>
          <w:i/>
          <w:iCs/>
          <w:lang w:eastAsia="tr-TR"/>
        </w:rPr>
        <w:t xml:space="preserve"> </w:t>
      </w:r>
      <w:proofErr w:type="spellStart"/>
      <w:r w:rsidRPr="006355EC">
        <w:rPr>
          <w:i/>
          <w:iCs/>
          <w:lang w:eastAsia="tr-TR"/>
        </w:rPr>
        <w:t>science</w:t>
      </w:r>
      <w:proofErr w:type="spellEnd"/>
      <w:r w:rsidRPr="006355EC">
        <w:rPr>
          <w:i/>
          <w:iCs/>
          <w:lang w:eastAsia="tr-TR"/>
        </w:rPr>
        <w:t xml:space="preserve"> </w:t>
      </w:r>
      <w:proofErr w:type="spellStart"/>
      <w:r w:rsidRPr="006355EC">
        <w:rPr>
          <w:i/>
          <w:iCs/>
          <w:lang w:eastAsia="tr-TR"/>
        </w:rPr>
        <w:t>education</w:t>
      </w:r>
      <w:proofErr w:type="spellEnd"/>
      <w:r w:rsidRPr="006355EC">
        <w:rPr>
          <w:i/>
          <w:iCs/>
          <w:lang w:eastAsia="tr-TR"/>
        </w:rPr>
        <w:t xml:space="preserve"> </w:t>
      </w:r>
      <w:proofErr w:type="spellStart"/>
      <w:r w:rsidRPr="006355EC">
        <w:rPr>
          <w:i/>
          <w:iCs/>
          <w:lang w:eastAsia="tr-TR"/>
        </w:rPr>
        <w:t>standards</w:t>
      </w:r>
      <w:proofErr w:type="spellEnd"/>
      <w:r w:rsidRPr="006355EC">
        <w:rPr>
          <w:lang w:eastAsia="tr-TR"/>
        </w:rPr>
        <w:t xml:space="preserve">. Washington, DC: </w:t>
      </w:r>
      <w:proofErr w:type="spellStart"/>
      <w:r w:rsidRPr="006355EC">
        <w:rPr>
          <w:lang w:eastAsia="tr-TR"/>
        </w:rPr>
        <w:t>National</w:t>
      </w:r>
      <w:proofErr w:type="spellEnd"/>
      <w:r w:rsidRPr="006355EC">
        <w:rPr>
          <w:lang w:eastAsia="tr-TR"/>
        </w:rPr>
        <w:t xml:space="preserve"> Academy.</w:t>
      </w:r>
    </w:p>
    <w:p w:rsidR="00AD3FDA" w:rsidRPr="006355EC" w:rsidRDefault="00AD3FDA" w:rsidP="006355EC">
      <w:pPr>
        <w:tabs>
          <w:tab w:val="left" w:pos="1620"/>
        </w:tabs>
        <w:autoSpaceDE w:val="0"/>
        <w:autoSpaceDN w:val="0"/>
        <w:adjustRightInd w:val="0"/>
        <w:spacing w:before="60" w:after="60" w:line="360" w:lineRule="auto"/>
        <w:ind w:left="567" w:right="-2" w:hanging="567"/>
        <w:jc w:val="both"/>
        <w:rPr>
          <w:lang w:eastAsia="tr-TR"/>
        </w:rPr>
      </w:pPr>
      <w:proofErr w:type="spellStart"/>
      <w:r w:rsidRPr="00AD3FDA">
        <w:rPr>
          <w:lang w:eastAsia="tr-TR"/>
        </w:rPr>
        <w:t>Neuman</w:t>
      </w:r>
      <w:proofErr w:type="spellEnd"/>
      <w:r w:rsidRPr="00AD3FDA">
        <w:rPr>
          <w:lang w:eastAsia="tr-TR"/>
        </w:rPr>
        <w:t xml:space="preserve">, W. L. &amp; </w:t>
      </w:r>
      <w:proofErr w:type="spellStart"/>
      <w:r w:rsidRPr="00AD3FDA">
        <w:rPr>
          <w:lang w:eastAsia="tr-TR"/>
        </w:rPr>
        <w:t>Robson</w:t>
      </w:r>
      <w:proofErr w:type="spellEnd"/>
      <w:r w:rsidRPr="00AD3FDA">
        <w:rPr>
          <w:lang w:eastAsia="tr-TR"/>
        </w:rPr>
        <w:t xml:space="preserve">, K. (2014). Basics Of </w:t>
      </w:r>
      <w:proofErr w:type="spellStart"/>
      <w:r w:rsidRPr="00AD3FDA">
        <w:rPr>
          <w:lang w:eastAsia="tr-TR"/>
        </w:rPr>
        <w:t>Social</w:t>
      </w:r>
      <w:proofErr w:type="spellEnd"/>
      <w:r w:rsidRPr="00AD3FDA">
        <w:rPr>
          <w:lang w:eastAsia="tr-TR"/>
        </w:rPr>
        <w:t xml:space="preserve"> </w:t>
      </w:r>
      <w:proofErr w:type="spellStart"/>
      <w:r w:rsidRPr="00AD3FDA">
        <w:rPr>
          <w:lang w:eastAsia="tr-TR"/>
        </w:rPr>
        <w:t>Research</w:t>
      </w:r>
      <w:proofErr w:type="spellEnd"/>
      <w:r w:rsidRPr="00AD3FDA">
        <w:rPr>
          <w:lang w:eastAsia="tr-TR"/>
        </w:rPr>
        <w:t xml:space="preserve">. Toronto: </w:t>
      </w:r>
      <w:proofErr w:type="spellStart"/>
      <w:r w:rsidRPr="00AD3FDA">
        <w:rPr>
          <w:lang w:eastAsia="tr-TR"/>
        </w:rPr>
        <w:t>Pearson</w:t>
      </w:r>
      <w:proofErr w:type="spellEnd"/>
      <w:r w:rsidRPr="00AD3FDA">
        <w:rPr>
          <w:lang w:eastAsia="tr-TR"/>
        </w:rPr>
        <w:t xml:space="preserve"> </w:t>
      </w:r>
      <w:proofErr w:type="spellStart"/>
      <w:r w:rsidRPr="00AD3FDA">
        <w:rPr>
          <w:lang w:eastAsia="tr-TR"/>
        </w:rPr>
        <w:t>Canada</w:t>
      </w:r>
      <w:proofErr w:type="spellEnd"/>
      <w:r w:rsidRPr="00AD3FDA">
        <w:rPr>
          <w:lang w:eastAsia="tr-TR"/>
        </w:rPr>
        <w:t>.</w:t>
      </w:r>
    </w:p>
    <w:p w:rsidR="006355EC" w:rsidRPr="006355EC" w:rsidRDefault="006355EC" w:rsidP="006355EC">
      <w:pPr>
        <w:tabs>
          <w:tab w:val="left" w:pos="1620"/>
        </w:tabs>
        <w:autoSpaceDE w:val="0"/>
        <w:autoSpaceDN w:val="0"/>
        <w:adjustRightInd w:val="0"/>
        <w:spacing w:before="60" w:after="60" w:line="360" w:lineRule="auto"/>
        <w:ind w:left="567" w:right="-2" w:hanging="567"/>
        <w:jc w:val="both"/>
        <w:rPr>
          <w:lang w:eastAsia="tr-TR"/>
        </w:rPr>
      </w:pPr>
      <w:proofErr w:type="spellStart"/>
      <w:r w:rsidRPr="006355EC">
        <w:rPr>
          <w:lang w:eastAsia="tr-TR"/>
        </w:rPr>
        <w:t>Osborne</w:t>
      </w:r>
      <w:proofErr w:type="spellEnd"/>
      <w:r w:rsidRPr="006355EC">
        <w:rPr>
          <w:lang w:eastAsia="tr-TR"/>
        </w:rPr>
        <w:t xml:space="preserve">, J., </w:t>
      </w:r>
      <w:proofErr w:type="spellStart"/>
      <w:r w:rsidRPr="006355EC">
        <w:rPr>
          <w:lang w:eastAsia="tr-TR"/>
        </w:rPr>
        <w:t>Simon</w:t>
      </w:r>
      <w:proofErr w:type="spellEnd"/>
      <w:r w:rsidRPr="006355EC">
        <w:rPr>
          <w:lang w:eastAsia="tr-TR"/>
        </w:rPr>
        <w:t xml:space="preserve">, S., </w:t>
      </w:r>
      <w:proofErr w:type="spellStart"/>
      <w:r w:rsidRPr="006355EC">
        <w:rPr>
          <w:lang w:eastAsia="tr-TR"/>
        </w:rPr>
        <w:t>and</w:t>
      </w:r>
      <w:proofErr w:type="spellEnd"/>
      <w:r w:rsidRPr="006355EC">
        <w:rPr>
          <w:lang w:eastAsia="tr-TR"/>
        </w:rPr>
        <w:t xml:space="preserve"> </w:t>
      </w:r>
      <w:proofErr w:type="spellStart"/>
      <w:r w:rsidRPr="006355EC">
        <w:rPr>
          <w:lang w:eastAsia="tr-TR"/>
        </w:rPr>
        <w:t>Collins</w:t>
      </w:r>
      <w:proofErr w:type="spellEnd"/>
      <w:r w:rsidRPr="006355EC">
        <w:rPr>
          <w:lang w:eastAsia="tr-TR"/>
        </w:rPr>
        <w:t xml:space="preserve">, S. (2003). </w:t>
      </w:r>
      <w:proofErr w:type="spellStart"/>
      <w:r w:rsidRPr="006355EC">
        <w:rPr>
          <w:lang w:eastAsia="tr-TR"/>
        </w:rPr>
        <w:t>Attitudes</w:t>
      </w:r>
      <w:proofErr w:type="spellEnd"/>
      <w:r w:rsidRPr="006355EC">
        <w:rPr>
          <w:lang w:eastAsia="tr-TR"/>
        </w:rPr>
        <w:t xml:space="preserve"> </w:t>
      </w:r>
      <w:proofErr w:type="spellStart"/>
      <w:r w:rsidRPr="006355EC">
        <w:rPr>
          <w:lang w:eastAsia="tr-TR"/>
        </w:rPr>
        <w:t>towards</w:t>
      </w:r>
      <w:proofErr w:type="spellEnd"/>
      <w:r w:rsidRPr="006355EC">
        <w:rPr>
          <w:lang w:eastAsia="tr-TR"/>
        </w:rPr>
        <w:t xml:space="preserve"> </w:t>
      </w:r>
      <w:proofErr w:type="spellStart"/>
      <w:r w:rsidRPr="006355EC">
        <w:rPr>
          <w:lang w:eastAsia="tr-TR"/>
        </w:rPr>
        <w:t>science</w:t>
      </w:r>
      <w:proofErr w:type="spellEnd"/>
      <w:r w:rsidRPr="006355EC">
        <w:rPr>
          <w:lang w:eastAsia="tr-TR"/>
        </w:rPr>
        <w:t xml:space="preserve">: A </w:t>
      </w:r>
      <w:proofErr w:type="spellStart"/>
      <w:r w:rsidRPr="006355EC">
        <w:rPr>
          <w:lang w:eastAsia="tr-TR"/>
        </w:rPr>
        <w:t>review</w:t>
      </w:r>
      <w:proofErr w:type="spellEnd"/>
      <w:r w:rsidRPr="006355EC">
        <w:rPr>
          <w:lang w:eastAsia="tr-TR"/>
        </w:rPr>
        <w:t xml:space="preserve"> of </w:t>
      </w:r>
      <w:proofErr w:type="spellStart"/>
      <w:r w:rsidRPr="006355EC">
        <w:rPr>
          <w:lang w:eastAsia="tr-TR"/>
        </w:rPr>
        <w:t>the</w:t>
      </w:r>
      <w:proofErr w:type="spellEnd"/>
      <w:r w:rsidRPr="006355EC">
        <w:rPr>
          <w:lang w:eastAsia="tr-TR"/>
        </w:rPr>
        <w:t xml:space="preserve"> </w:t>
      </w:r>
      <w:proofErr w:type="spellStart"/>
      <w:r w:rsidRPr="006355EC">
        <w:rPr>
          <w:lang w:eastAsia="tr-TR"/>
        </w:rPr>
        <w:t>literature</w:t>
      </w:r>
      <w:proofErr w:type="spellEnd"/>
      <w:r w:rsidRPr="006355EC">
        <w:rPr>
          <w:lang w:eastAsia="tr-TR"/>
        </w:rPr>
        <w:t xml:space="preserve"> </w:t>
      </w:r>
      <w:proofErr w:type="spellStart"/>
      <w:r w:rsidRPr="006355EC">
        <w:rPr>
          <w:lang w:eastAsia="tr-TR"/>
        </w:rPr>
        <w:t>and</w:t>
      </w:r>
      <w:proofErr w:type="spellEnd"/>
      <w:r w:rsidRPr="006355EC">
        <w:rPr>
          <w:lang w:eastAsia="tr-TR"/>
        </w:rPr>
        <w:t xml:space="preserve"> </w:t>
      </w:r>
      <w:proofErr w:type="spellStart"/>
      <w:r w:rsidRPr="006355EC">
        <w:rPr>
          <w:lang w:eastAsia="tr-TR"/>
        </w:rPr>
        <w:t>its</w:t>
      </w:r>
      <w:proofErr w:type="spellEnd"/>
      <w:r w:rsidRPr="006355EC">
        <w:rPr>
          <w:lang w:eastAsia="tr-TR"/>
        </w:rPr>
        <w:t xml:space="preserve"> </w:t>
      </w:r>
      <w:proofErr w:type="spellStart"/>
      <w:r w:rsidRPr="006355EC">
        <w:rPr>
          <w:lang w:eastAsia="tr-TR"/>
        </w:rPr>
        <w:t>implications</w:t>
      </w:r>
      <w:proofErr w:type="spellEnd"/>
      <w:r w:rsidRPr="006355EC">
        <w:rPr>
          <w:lang w:eastAsia="tr-TR"/>
        </w:rPr>
        <w:t xml:space="preserve">. </w:t>
      </w:r>
      <w:r w:rsidRPr="006355EC">
        <w:rPr>
          <w:i/>
          <w:iCs/>
          <w:lang w:eastAsia="tr-TR"/>
        </w:rPr>
        <w:t xml:space="preserve">International </w:t>
      </w:r>
      <w:proofErr w:type="spellStart"/>
      <w:r w:rsidRPr="006355EC">
        <w:rPr>
          <w:i/>
          <w:iCs/>
          <w:lang w:eastAsia="tr-TR"/>
        </w:rPr>
        <w:t>Journal</w:t>
      </w:r>
      <w:proofErr w:type="spellEnd"/>
      <w:r w:rsidRPr="006355EC">
        <w:rPr>
          <w:i/>
          <w:iCs/>
          <w:lang w:eastAsia="tr-TR"/>
        </w:rPr>
        <w:t xml:space="preserve"> of </w:t>
      </w:r>
      <w:proofErr w:type="spellStart"/>
      <w:r w:rsidRPr="006355EC">
        <w:rPr>
          <w:i/>
          <w:iCs/>
          <w:lang w:eastAsia="tr-TR"/>
        </w:rPr>
        <w:t>Science</w:t>
      </w:r>
      <w:proofErr w:type="spellEnd"/>
      <w:r w:rsidRPr="006355EC">
        <w:rPr>
          <w:i/>
          <w:iCs/>
          <w:lang w:eastAsia="tr-TR"/>
        </w:rPr>
        <w:t xml:space="preserve"> </w:t>
      </w:r>
      <w:proofErr w:type="spellStart"/>
      <w:r w:rsidRPr="006355EC">
        <w:rPr>
          <w:i/>
          <w:iCs/>
          <w:lang w:eastAsia="tr-TR"/>
        </w:rPr>
        <w:t>Education</w:t>
      </w:r>
      <w:proofErr w:type="spellEnd"/>
      <w:r w:rsidRPr="006355EC">
        <w:rPr>
          <w:i/>
          <w:iCs/>
          <w:lang w:eastAsia="tr-TR"/>
        </w:rPr>
        <w:t>, 25</w:t>
      </w:r>
      <w:r w:rsidRPr="006355EC">
        <w:rPr>
          <w:lang w:eastAsia="tr-TR"/>
        </w:rPr>
        <w:t>(9), 1049 - 1079.</w:t>
      </w:r>
    </w:p>
    <w:p w:rsidR="006355EC" w:rsidRPr="006355EC" w:rsidRDefault="006355EC" w:rsidP="006355EC">
      <w:pPr>
        <w:tabs>
          <w:tab w:val="left" w:pos="1620"/>
        </w:tabs>
        <w:autoSpaceDE w:val="0"/>
        <w:autoSpaceDN w:val="0"/>
        <w:adjustRightInd w:val="0"/>
        <w:spacing w:before="60" w:after="60" w:line="360" w:lineRule="auto"/>
        <w:ind w:left="567" w:right="-2" w:hanging="567"/>
        <w:jc w:val="both"/>
        <w:rPr>
          <w:lang w:eastAsia="tr-TR"/>
        </w:rPr>
      </w:pPr>
      <w:proofErr w:type="spellStart"/>
      <w:r w:rsidRPr="006355EC">
        <w:rPr>
          <w:lang w:eastAsia="tr-TR"/>
        </w:rPr>
        <w:t>Osborne</w:t>
      </w:r>
      <w:proofErr w:type="spellEnd"/>
      <w:r w:rsidRPr="006355EC">
        <w:rPr>
          <w:lang w:eastAsia="tr-TR"/>
        </w:rPr>
        <w:t xml:space="preserve">, J., </w:t>
      </w:r>
      <w:proofErr w:type="spellStart"/>
      <w:r w:rsidRPr="006355EC">
        <w:rPr>
          <w:lang w:eastAsia="tr-TR"/>
        </w:rPr>
        <w:t>Simon</w:t>
      </w:r>
      <w:proofErr w:type="spellEnd"/>
      <w:r w:rsidRPr="006355EC">
        <w:rPr>
          <w:lang w:eastAsia="tr-TR"/>
        </w:rPr>
        <w:t xml:space="preserve">, S. &amp; </w:t>
      </w:r>
      <w:proofErr w:type="spellStart"/>
      <w:r w:rsidRPr="006355EC">
        <w:rPr>
          <w:lang w:eastAsia="tr-TR"/>
        </w:rPr>
        <w:t>Tytler</w:t>
      </w:r>
      <w:proofErr w:type="spellEnd"/>
      <w:r w:rsidRPr="006355EC">
        <w:rPr>
          <w:lang w:eastAsia="tr-TR"/>
        </w:rPr>
        <w:t xml:space="preserve">, R. (2009). </w:t>
      </w:r>
      <w:proofErr w:type="spellStart"/>
      <w:r w:rsidRPr="006355EC">
        <w:rPr>
          <w:lang w:eastAsia="tr-TR"/>
        </w:rPr>
        <w:t>Attitudes</w:t>
      </w:r>
      <w:proofErr w:type="spellEnd"/>
      <w:r w:rsidRPr="006355EC">
        <w:rPr>
          <w:lang w:eastAsia="tr-TR"/>
        </w:rPr>
        <w:t xml:space="preserve"> </w:t>
      </w:r>
      <w:proofErr w:type="spellStart"/>
      <w:r w:rsidRPr="006355EC">
        <w:rPr>
          <w:lang w:eastAsia="tr-TR"/>
        </w:rPr>
        <w:t>toward</w:t>
      </w:r>
      <w:proofErr w:type="spellEnd"/>
      <w:r w:rsidRPr="006355EC">
        <w:rPr>
          <w:lang w:eastAsia="tr-TR"/>
        </w:rPr>
        <w:t xml:space="preserve"> </w:t>
      </w:r>
      <w:proofErr w:type="spellStart"/>
      <w:r w:rsidRPr="006355EC">
        <w:rPr>
          <w:lang w:eastAsia="tr-TR"/>
        </w:rPr>
        <w:t>science</w:t>
      </w:r>
      <w:proofErr w:type="spellEnd"/>
      <w:r w:rsidRPr="006355EC">
        <w:rPr>
          <w:lang w:eastAsia="tr-TR"/>
        </w:rPr>
        <w:t xml:space="preserve">: An </w:t>
      </w:r>
      <w:proofErr w:type="spellStart"/>
      <w:r w:rsidRPr="006355EC">
        <w:rPr>
          <w:lang w:eastAsia="tr-TR"/>
        </w:rPr>
        <w:t>update</w:t>
      </w:r>
      <w:proofErr w:type="spellEnd"/>
      <w:r w:rsidRPr="006355EC">
        <w:rPr>
          <w:lang w:eastAsia="tr-TR"/>
        </w:rPr>
        <w:t xml:space="preserve">. </w:t>
      </w:r>
      <w:proofErr w:type="spellStart"/>
      <w:r w:rsidRPr="006355EC">
        <w:rPr>
          <w:lang w:eastAsia="tr-TR"/>
        </w:rPr>
        <w:t>Paper</w:t>
      </w:r>
      <w:proofErr w:type="spellEnd"/>
      <w:r w:rsidRPr="006355EC">
        <w:rPr>
          <w:lang w:eastAsia="tr-TR"/>
        </w:rPr>
        <w:t xml:space="preserve"> </w:t>
      </w:r>
      <w:proofErr w:type="spellStart"/>
      <w:r w:rsidRPr="006355EC">
        <w:rPr>
          <w:lang w:eastAsia="tr-TR"/>
        </w:rPr>
        <w:t>presented</w:t>
      </w:r>
      <w:proofErr w:type="spellEnd"/>
      <w:r w:rsidRPr="006355EC">
        <w:rPr>
          <w:lang w:eastAsia="tr-TR"/>
        </w:rPr>
        <w:t xml:space="preserve"> in</w:t>
      </w:r>
      <w:r w:rsidRPr="006355EC">
        <w:rPr>
          <w:i/>
          <w:iCs/>
          <w:lang w:eastAsia="tr-TR"/>
        </w:rPr>
        <w:t> </w:t>
      </w:r>
      <w:proofErr w:type="spellStart"/>
      <w:r w:rsidRPr="006355EC">
        <w:rPr>
          <w:i/>
          <w:iCs/>
          <w:lang w:eastAsia="tr-TR"/>
        </w:rPr>
        <w:t>Annual</w:t>
      </w:r>
      <w:proofErr w:type="spellEnd"/>
      <w:r w:rsidRPr="006355EC">
        <w:rPr>
          <w:i/>
          <w:iCs/>
          <w:lang w:eastAsia="tr-TR"/>
        </w:rPr>
        <w:t xml:space="preserve"> Meeting of </w:t>
      </w:r>
      <w:proofErr w:type="spellStart"/>
      <w:r w:rsidRPr="006355EC">
        <w:rPr>
          <w:i/>
          <w:iCs/>
          <w:lang w:eastAsia="tr-TR"/>
        </w:rPr>
        <w:t>the</w:t>
      </w:r>
      <w:proofErr w:type="spellEnd"/>
      <w:r w:rsidRPr="006355EC">
        <w:rPr>
          <w:i/>
          <w:iCs/>
          <w:lang w:eastAsia="tr-TR"/>
        </w:rPr>
        <w:t xml:space="preserve"> </w:t>
      </w:r>
      <w:proofErr w:type="spellStart"/>
      <w:r w:rsidRPr="006355EC">
        <w:rPr>
          <w:i/>
          <w:iCs/>
          <w:lang w:eastAsia="tr-TR"/>
        </w:rPr>
        <w:t>American</w:t>
      </w:r>
      <w:proofErr w:type="spellEnd"/>
      <w:r w:rsidRPr="006355EC">
        <w:rPr>
          <w:i/>
          <w:iCs/>
          <w:lang w:eastAsia="tr-TR"/>
        </w:rPr>
        <w:t xml:space="preserve"> </w:t>
      </w:r>
      <w:proofErr w:type="spellStart"/>
      <w:r w:rsidRPr="006355EC">
        <w:rPr>
          <w:i/>
          <w:iCs/>
          <w:lang w:eastAsia="tr-TR"/>
        </w:rPr>
        <w:t>Educational</w:t>
      </w:r>
      <w:proofErr w:type="spellEnd"/>
      <w:r w:rsidRPr="006355EC">
        <w:rPr>
          <w:i/>
          <w:iCs/>
          <w:lang w:eastAsia="tr-TR"/>
        </w:rPr>
        <w:t xml:space="preserve"> </w:t>
      </w:r>
      <w:proofErr w:type="spellStart"/>
      <w:r w:rsidRPr="006355EC">
        <w:rPr>
          <w:i/>
          <w:iCs/>
          <w:lang w:eastAsia="tr-TR"/>
        </w:rPr>
        <w:t>Research</w:t>
      </w:r>
      <w:proofErr w:type="spellEnd"/>
      <w:r w:rsidRPr="006355EC">
        <w:rPr>
          <w:i/>
          <w:iCs/>
          <w:lang w:eastAsia="tr-TR"/>
        </w:rPr>
        <w:t xml:space="preserve"> </w:t>
      </w:r>
      <w:proofErr w:type="spellStart"/>
      <w:r w:rsidRPr="006355EC">
        <w:rPr>
          <w:i/>
          <w:iCs/>
          <w:lang w:eastAsia="tr-TR"/>
        </w:rPr>
        <w:t>Association</w:t>
      </w:r>
      <w:proofErr w:type="spellEnd"/>
      <w:r w:rsidRPr="006355EC">
        <w:rPr>
          <w:lang w:eastAsia="tr-TR"/>
        </w:rPr>
        <w:t>, San Diego, California.</w:t>
      </w:r>
    </w:p>
    <w:p w:rsidR="006355EC" w:rsidRPr="006355EC" w:rsidRDefault="006355EC" w:rsidP="006355EC">
      <w:pPr>
        <w:tabs>
          <w:tab w:val="left" w:pos="1620"/>
        </w:tabs>
        <w:autoSpaceDE w:val="0"/>
        <w:autoSpaceDN w:val="0"/>
        <w:adjustRightInd w:val="0"/>
        <w:spacing w:before="60" w:after="60" w:line="360" w:lineRule="auto"/>
        <w:ind w:left="567" w:right="-2" w:hanging="567"/>
        <w:jc w:val="both"/>
        <w:rPr>
          <w:lang w:eastAsia="tr-TR"/>
        </w:rPr>
      </w:pPr>
      <w:proofErr w:type="spellStart"/>
      <w:r w:rsidRPr="006355EC">
        <w:rPr>
          <w:lang w:eastAsia="tr-TR"/>
        </w:rPr>
        <w:t>Restivo</w:t>
      </w:r>
      <w:proofErr w:type="spellEnd"/>
      <w:r w:rsidRPr="006355EC">
        <w:rPr>
          <w:lang w:eastAsia="tr-TR"/>
        </w:rPr>
        <w:t xml:space="preserve">, T., </w:t>
      </w:r>
      <w:proofErr w:type="spellStart"/>
      <w:r w:rsidRPr="006355EC">
        <w:rPr>
          <w:lang w:eastAsia="tr-TR"/>
        </w:rPr>
        <w:t>Chouzal</w:t>
      </w:r>
      <w:proofErr w:type="spellEnd"/>
      <w:r w:rsidRPr="006355EC">
        <w:rPr>
          <w:lang w:eastAsia="tr-TR"/>
        </w:rPr>
        <w:t xml:space="preserve">, F., </w:t>
      </w:r>
      <w:proofErr w:type="spellStart"/>
      <w:r w:rsidRPr="006355EC">
        <w:rPr>
          <w:lang w:eastAsia="tr-TR"/>
        </w:rPr>
        <w:t>Rodrigues</w:t>
      </w:r>
      <w:proofErr w:type="spellEnd"/>
      <w:r w:rsidRPr="006355EC">
        <w:rPr>
          <w:lang w:eastAsia="tr-TR"/>
        </w:rPr>
        <w:t xml:space="preserve">, J., </w:t>
      </w:r>
      <w:proofErr w:type="spellStart"/>
      <w:r w:rsidRPr="006355EC">
        <w:rPr>
          <w:lang w:eastAsia="tr-TR"/>
        </w:rPr>
        <w:t>Menezes</w:t>
      </w:r>
      <w:proofErr w:type="spellEnd"/>
      <w:r w:rsidRPr="006355EC">
        <w:rPr>
          <w:lang w:eastAsia="tr-TR"/>
        </w:rPr>
        <w:t xml:space="preserve">, P. </w:t>
      </w:r>
      <w:proofErr w:type="spellStart"/>
      <w:r w:rsidRPr="006355EC">
        <w:rPr>
          <w:lang w:eastAsia="tr-TR"/>
        </w:rPr>
        <w:t>and</w:t>
      </w:r>
      <w:proofErr w:type="spellEnd"/>
      <w:r w:rsidRPr="006355EC">
        <w:rPr>
          <w:lang w:eastAsia="tr-TR"/>
        </w:rPr>
        <w:t xml:space="preserve"> </w:t>
      </w:r>
      <w:proofErr w:type="spellStart"/>
      <w:r w:rsidRPr="006355EC">
        <w:rPr>
          <w:lang w:eastAsia="tr-TR"/>
        </w:rPr>
        <w:t>Bernardino</w:t>
      </w:r>
      <w:proofErr w:type="spellEnd"/>
      <w:r w:rsidRPr="006355EC">
        <w:rPr>
          <w:lang w:eastAsia="tr-TR"/>
        </w:rPr>
        <w:t xml:space="preserve"> </w:t>
      </w:r>
      <w:proofErr w:type="spellStart"/>
      <w:r w:rsidRPr="006355EC">
        <w:rPr>
          <w:lang w:eastAsia="tr-TR"/>
        </w:rPr>
        <w:t>Lopes</w:t>
      </w:r>
      <w:proofErr w:type="spellEnd"/>
      <w:r w:rsidRPr="006355EC">
        <w:rPr>
          <w:lang w:eastAsia="tr-TR"/>
        </w:rPr>
        <w:t>, J. “</w:t>
      </w:r>
      <w:proofErr w:type="spellStart"/>
      <w:r w:rsidRPr="006355EC">
        <w:rPr>
          <w:lang w:eastAsia="tr-TR"/>
        </w:rPr>
        <w:t>Augmented</w:t>
      </w:r>
      <w:proofErr w:type="spellEnd"/>
      <w:r w:rsidRPr="006355EC">
        <w:rPr>
          <w:lang w:eastAsia="tr-TR"/>
        </w:rPr>
        <w:t xml:space="preserve"> </w:t>
      </w:r>
      <w:proofErr w:type="spellStart"/>
      <w:r w:rsidRPr="006355EC">
        <w:rPr>
          <w:lang w:eastAsia="tr-TR"/>
        </w:rPr>
        <w:t>reality</w:t>
      </w:r>
      <w:proofErr w:type="spellEnd"/>
      <w:r w:rsidRPr="006355EC">
        <w:rPr>
          <w:lang w:eastAsia="tr-TR"/>
        </w:rPr>
        <w:t xml:space="preserve"> </w:t>
      </w:r>
      <w:proofErr w:type="spellStart"/>
      <w:r w:rsidRPr="006355EC">
        <w:rPr>
          <w:lang w:eastAsia="tr-TR"/>
        </w:rPr>
        <w:t>to</w:t>
      </w:r>
      <w:proofErr w:type="spellEnd"/>
      <w:r w:rsidRPr="006355EC">
        <w:rPr>
          <w:lang w:eastAsia="tr-TR"/>
        </w:rPr>
        <w:t xml:space="preserve"> </w:t>
      </w:r>
      <w:proofErr w:type="spellStart"/>
      <w:r w:rsidRPr="006355EC">
        <w:rPr>
          <w:lang w:eastAsia="tr-TR"/>
        </w:rPr>
        <w:t>improve</w:t>
      </w:r>
      <w:proofErr w:type="spellEnd"/>
      <w:r w:rsidRPr="006355EC">
        <w:rPr>
          <w:lang w:eastAsia="tr-TR"/>
        </w:rPr>
        <w:t xml:space="preserve"> </w:t>
      </w:r>
      <w:proofErr w:type="spellStart"/>
      <w:r w:rsidRPr="006355EC">
        <w:rPr>
          <w:lang w:eastAsia="tr-TR"/>
        </w:rPr>
        <w:t>stem</w:t>
      </w:r>
      <w:proofErr w:type="spellEnd"/>
      <w:r w:rsidRPr="006355EC">
        <w:rPr>
          <w:lang w:eastAsia="tr-TR"/>
        </w:rPr>
        <w:t xml:space="preserve"> </w:t>
      </w:r>
      <w:proofErr w:type="spellStart"/>
      <w:r w:rsidRPr="006355EC">
        <w:rPr>
          <w:lang w:eastAsia="tr-TR"/>
        </w:rPr>
        <w:t>motivation</w:t>
      </w:r>
      <w:proofErr w:type="spellEnd"/>
      <w:r w:rsidRPr="006355EC">
        <w:rPr>
          <w:lang w:eastAsia="tr-TR"/>
        </w:rPr>
        <w:t xml:space="preserve">,” in IEEE Global </w:t>
      </w:r>
      <w:proofErr w:type="spellStart"/>
      <w:r w:rsidRPr="006355EC">
        <w:rPr>
          <w:lang w:eastAsia="tr-TR"/>
        </w:rPr>
        <w:t>Engineering</w:t>
      </w:r>
      <w:proofErr w:type="spellEnd"/>
      <w:r w:rsidRPr="006355EC">
        <w:rPr>
          <w:lang w:eastAsia="tr-TR"/>
        </w:rPr>
        <w:t xml:space="preserve"> </w:t>
      </w:r>
      <w:proofErr w:type="spellStart"/>
      <w:r w:rsidRPr="006355EC">
        <w:rPr>
          <w:lang w:eastAsia="tr-TR"/>
        </w:rPr>
        <w:t>Education</w:t>
      </w:r>
      <w:proofErr w:type="spellEnd"/>
      <w:r w:rsidRPr="006355EC">
        <w:rPr>
          <w:lang w:eastAsia="tr-TR"/>
        </w:rPr>
        <w:t xml:space="preserve"> Conference, </w:t>
      </w:r>
      <w:proofErr w:type="spellStart"/>
      <w:r w:rsidRPr="006355EC">
        <w:rPr>
          <w:lang w:eastAsia="tr-TR"/>
        </w:rPr>
        <w:t>Istanbul</w:t>
      </w:r>
      <w:proofErr w:type="spellEnd"/>
      <w:r w:rsidRPr="006355EC">
        <w:rPr>
          <w:lang w:eastAsia="tr-TR"/>
        </w:rPr>
        <w:t xml:space="preserve">, </w:t>
      </w:r>
      <w:proofErr w:type="spellStart"/>
      <w:r w:rsidRPr="006355EC">
        <w:rPr>
          <w:lang w:eastAsia="tr-TR"/>
        </w:rPr>
        <w:t>Turkey</w:t>
      </w:r>
      <w:proofErr w:type="spellEnd"/>
      <w:r w:rsidRPr="006355EC">
        <w:rPr>
          <w:lang w:eastAsia="tr-TR"/>
        </w:rPr>
        <w:t xml:space="preserve">, April 2014, </w:t>
      </w:r>
      <w:proofErr w:type="spellStart"/>
      <w:r w:rsidRPr="006355EC">
        <w:rPr>
          <w:lang w:eastAsia="tr-TR"/>
        </w:rPr>
        <w:t>pp</w:t>
      </w:r>
      <w:proofErr w:type="spellEnd"/>
      <w:r w:rsidRPr="006355EC">
        <w:rPr>
          <w:lang w:eastAsia="tr-TR"/>
        </w:rPr>
        <w:t>. 803–806.</w:t>
      </w:r>
    </w:p>
    <w:p w:rsidR="006355EC" w:rsidRPr="006355EC" w:rsidRDefault="006355EC" w:rsidP="006355EC">
      <w:pPr>
        <w:tabs>
          <w:tab w:val="left" w:pos="1620"/>
        </w:tabs>
        <w:autoSpaceDE w:val="0"/>
        <w:autoSpaceDN w:val="0"/>
        <w:adjustRightInd w:val="0"/>
        <w:spacing w:before="60" w:after="60" w:line="360" w:lineRule="auto"/>
        <w:ind w:left="567" w:right="-2" w:hanging="567"/>
        <w:jc w:val="both"/>
        <w:rPr>
          <w:lang w:eastAsia="tr-TR"/>
        </w:rPr>
      </w:pPr>
      <w:proofErr w:type="spellStart"/>
      <w:r w:rsidRPr="006355EC">
        <w:rPr>
          <w:lang w:eastAsia="tr-TR"/>
        </w:rPr>
        <w:t>Segars</w:t>
      </w:r>
      <w:proofErr w:type="spellEnd"/>
      <w:r w:rsidRPr="006355EC">
        <w:rPr>
          <w:lang w:eastAsia="tr-TR"/>
        </w:rPr>
        <w:t xml:space="preserve">, A. H. &amp; </w:t>
      </w:r>
      <w:proofErr w:type="spellStart"/>
      <w:r w:rsidRPr="006355EC">
        <w:rPr>
          <w:lang w:eastAsia="tr-TR"/>
        </w:rPr>
        <w:t>Grover</w:t>
      </w:r>
      <w:proofErr w:type="spellEnd"/>
      <w:r w:rsidRPr="006355EC">
        <w:rPr>
          <w:lang w:eastAsia="tr-TR"/>
        </w:rPr>
        <w:t>, V. (1993). Re-</w:t>
      </w:r>
      <w:proofErr w:type="spellStart"/>
      <w:r w:rsidRPr="006355EC">
        <w:rPr>
          <w:lang w:eastAsia="tr-TR"/>
        </w:rPr>
        <w:t>examining</w:t>
      </w:r>
      <w:proofErr w:type="spellEnd"/>
      <w:r w:rsidRPr="006355EC">
        <w:rPr>
          <w:lang w:eastAsia="tr-TR"/>
        </w:rPr>
        <w:t xml:space="preserve"> </w:t>
      </w:r>
      <w:proofErr w:type="spellStart"/>
      <w:r w:rsidRPr="006355EC">
        <w:rPr>
          <w:lang w:eastAsia="tr-TR"/>
        </w:rPr>
        <w:t>perceived</w:t>
      </w:r>
      <w:proofErr w:type="spellEnd"/>
      <w:r w:rsidRPr="006355EC">
        <w:rPr>
          <w:lang w:eastAsia="tr-TR"/>
        </w:rPr>
        <w:t xml:space="preserve"> </w:t>
      </w:r>
      <w:proofErr w:type="spellStart"/>
      <w:r w:rsidRPr="006355EC">
        <w:rPr>
          <w:lang w:eastAsia="tr-TR"/>
        </w:rPr>
        <w:t>ease</w:t>
      </w:r>
      <w:proofErr w:type="spellEnd"/>
      <w:r w:rsidRPr="006355EC">
        <w:rPr>
          <w:lang w:eastAsia="tr-TR"/>
        </w:rPr>
        <w:t xml:space="preserve"> of </w:t>
      </w:r>
      <w:proofErr w:type="spellStart"/>
      <w:r w:rsidRPr="006355EC">
        <w:rPr>
          <w:lang w:eastAsia="tr-TR"/>
        </w:rPr>
        <w:t>use</w:t>
      </w:r>
      <w:proofErr w:type="spellEnd"/>
      <w:r w:rsidRPr="006355EC">
        <w:rPr>
          <w:lang w:eastAsia="tr-TR"/>
        </w:rPr>
        <w:t xml:space="preserve"> </w:t>
      </w:r>
      <w:proofErr w:type="spellStart"/>
      <w:r w:rsidRPr="006355EC">
        <w:rPr>
          <w:lang w:eastAsia="tr-TR"/>
        </w:rPr>
        <w:t>and</w:t>
      </w:r>
      <w:proofErr w:type="spellEnd"/>
      <w:r w:rsidRPr="006355EC">
        <w:rPr>
          <w:lang w:eastAsia="tr-TR"/>
        </w:rPr>
        <w:t xml:space="preserve"> </w:t>
      </w:r>
      <w:proofErr w:type="spellStart"/>
      <w:r w:rsidRPr="006355EC">
        <w:rPr>
          <w:lang w:eastAsia="tr-TR"/>
        </w:rPr>
        <w:t>usefulness</w:t>
      </w:r>
      <w:proofErr w:type="spellEnd"/>
      <w:r w:rsidRPr="006355EC">
        <w:rPr>
          <w:lang w:eastAsia="tr-TR"/>
        </w:rPr>
        <w:t xml:space="preserve">: a </w:t>
      </w:r>
      <w:proofErr w:type="spellStart"/>
      <w:r w:rsidRPr="006355EC">
        <w:rPr>
          <w:lang w:eastAsia="tr-TR"/>
        </w:rPr>
        <w:t>confirmatory</w:t>
      </w:r>
      <w:proofErr w:type="spellEnd"/>
      <w:r w:rsidRPr="006355EC">
        <w:rPr>
          <w:lang w:eastAsia="tr-TR"/>
        </w:rPr>
        <w:t xml:space="preserve"> </w:t>
      </w:r>
      <w:proofErr w:type="spellStart"/>
      <w:r w:rsidRPr="006355EC">
        <w:rPr>
          <w:lang w:eastAsia="tr-TR"/>
        </w:rPr>
        <w:t>factor</w:t>
      </w:r>
      <w:proofErr w:type="spellEnd"/>
      <w:r w:rsidRPr="006355EC">
        <w:rPr>
          <w:lang w:eastAsia="tr-TR"/>
        </w:rPr>
        <w:t xml:space="preserve"> </w:t>
      </w:r>
      <w:proofErr w:type="spellStart"/>
      <w:r w:rsidRPr="006355EC">
        <w:rPr>
          <w:lang w:eastAsia="tr-TR"/>
        </w:rPr>
        <w:t>analysis</w:t>
      </w:r>
      <w:proofErr w:type="spellEnd"/>
      <w:r w:rsidRPr="006355EC">
        <w:rPr>
          <w:lang w:eastAsia="tr-TR"/>
        </w:rPr>
        <w:t xml:space="preserve">, </w:t>
      </w:r>
      <w:r w:rsidRPr="006355EC">
        <w:rPr>
          <w:i/>
          <w:lang w:eastAsia="tr-TR"/>
        </w:rPr>
        <w:t xml:space="preserve">MIS </w:t>
      </w:r>
      <w:proofErr w:type="spellStart"/>
      <w:r w:rsidRPr="006355EC">
        <w:rPr>
          <w:i/>
          <w:lang w:eastAsia="tr-TR"/>
        </w:rPr>
        <w:t>Quarterly</w:t>
      </w:r>
      <w:proofErr w:type="spellEnd"/>
      <w:r w:rsidRPr="006355EC">
        <w:rPr>
          <w:lang w:eastAsia="tr-TR"/>
        </w:rPr>
        <w:t>, 17 (4), 517-525.</w:t>
      </w:r>
    </w:p>
    <w:p w:rsidR="006355EC" w:rsidRPr="006355EC" w:rsidRDefault="006355EC" w:rsidP="006355EC">
      <w:pPr>
        <w:tabs>
          <w:tab w:val="left" w:pos="1620"/>
        </w:tabs>
        <w:autoSpaceDE w:val="0"/>
        <w:autoSpaceDN w:val="0"/>
        <w:adjustRightInd w:val="0"/>
        <w:spacing w:before="60" w:after="60" w:line="360" w:lineRule="auto"/>
        <w:ind w:left="567" w:right="-2" w:hanging="567"/>
        <w:jc w:val="both"/>
        <w:rPr>
          <w:lang w:eastAsia="tr-TR"/>
        </w:rPr>
      </w:pPr>
      <w:proofErr w:type="spellStart"/>
      <w:r w:rsidRPr="006355EC">
        <w:rPr>
          <w:lang w:eastAsia="tr-TR"/>
        </w:rPr>
        <w:lastRenderedPageBreak/>
        <w:t>Schick</w:t>
      </w:r>
      <w:proofErr w:type="spellEnd"/>
      <w:r w:rsidRPr="006355EC">
        <w:rPr>
          <w:lang w:eastAsia="tr-TR"/>
        </w:rPr>
        <w:t xml:space="preserve">, H., &amp; </w:t>
      </w:r>
      <w:proofErr w:type="spellStart"/>
      <w:r w:rsidRPr="006355EC">
        <w:rPr>
          <w:lang w:eastAsia="tr-TR"/>
        </w:rPr>
        <w:t>Phillipson</w:t>
      </w:r>
      <w:proofErr w:type="spellEnd"/>
      <w:r w:rsidRPr="006355EC">
        <w:rPr>
          <w:lang w:eastAsia="tr-TR"/>
        </w:rPr>
        <w:t xml:space="preserve">, S. N. (2009). Learning </w:t>
      </w:r>
      <w:proofErr w:type="spellStart"/>
      <w:r w:rsidRPr="006355EC">
        <w:rPr>
          <w:lang w:eastAsia="tr-TR"/>
        </w:rPr>
        <w:t>motivation</w:t>
      </w:r>
      <w:proofErr w:type="spellEnd"/>
      <w:r w:rsidRPr="006355EC">
        <w:rPr>
          <w:lang w:eastAsia="tr-TR"/>
        </w:rPr>
        <w:t xml:space="preserve"> </w:t>
      </w:r>
      <w:proofErr w:type="spellStart"/>
      <w:r w:rsidRPr="006355EC">
        <w:rPr>
          <w:lang w:eastAsia="tr-TR"/>
        </w:rPr>
        <w:t>and</w:t>
      </w:r>
      <w:proofErr w:type="spellEnd"/>
      <w:r w:rsidRPr="006355EC">
        <w:rPr>
          <w:lang w:eastAsia="tr-TR"/>
        </w:rPr>
        <w:t xml:space="preserve"> </w:t>
      </w:r>
      <w:proofErr w:type="spellStart"/>
      <w:r w:rsidRPr="006355EC">
        <w:rPr>
          <w:lang w:eastAsia="tr-TR"/>
        </w:rPr>
        <w:t>performance</w:t>
      </w:r>
      <w:proofErr w:type="spellEnd"/>
      <w:r w:rsidRPr="006355EC">
        <w:rPr>
          <w:lang w:eastAsia="tr-TR"/>
        </w:rPr>
        <w:t xml:space="preserve"> </w:t>
      </w:r>
      <w:proofErr w:type="spellStart"/>
      <w:r w:rsidRPr="006355EC">
        <w:rPr>
          <w:lang w:eastAsia="tr-TR"/>
        </w:rPr>
        <w:t>excellence</w:t>
      </w:r>
      <w:proofErr w:type="spellEnd"/>
      <w:r w:rsidRPr="006355EC">
        <w:rPr>
          <w:lang w:eastAsia="tr-TR"/>
        </w:rPr>
        <w:t xml:space="preserve"> in </w:t>
      </w:r>
      <w:proofErr w:type="spellStart"/>
      <w:r w:rsidRPr="006355EC">
        <w:rPr>
          <w:lang w:eastAsia="tr-TR"/>
        </w:rPr>
        <w:t>adolescents</w:t>
      </w:r>
      <w:proofErr w:type="spellEnd"/>
      <w:r w:rsidRPr="006355EC">
        <w:rPr>
          <w:lang w:eastAsia="tr-TR"/>
        </w:rPr>
        <w:t xml:space="preserve"> </w:t>
      </w:r>
      <w:proofErr w:type="spellStart"/>
      <w:r w:rsidRPr="006355EC">
        <w:rPr>
          <w:lang w:eastAsia="tr-TR"/>
        </w:rPr>
        <w:t>with</w:t>
      </w:r>
      <w:proofErr w:type="spellEnd"/>
      <w:r w:rsidRPr="006355EC">
        <w:rPr>
          <w:lang w:eastAsia="tr-TR"/>
        </w:rPr>
        <w:t xml:space="preserve"> </w:t>
      </w:r>
      <w:proofErr w:type="spellStart"/>
      <w:r w:rsidRPr="006355EC">
        <w:rPr>
          <w:lang w:eastAsia="tr-TR"/>
        </w:rPr>
        <w:t>high</w:t>
      </w:r>
      <w:proofErr w:type="spellEnd"/>
      <w:r w:rsidRPr="006355EC">
        <w:rPr>
          <w:lang w:eastAsia="tr-TR"/>
        </w:rPr>
        <w:t xml:space="preserve"> </w:t>
      </w:r>
      <w:proofErr w:type="spellStart"/>
      <w:r w:rsidRPr="006355EC">
        <w:rPr>
          <w:lang w:eastAsia="tr-TR"/>
        </w:rPr>
        <w:t>intellectual</w:t>
      </w:r>
      <w:proofErr w:type="spellEnd"/>
      <w:r w:rsidRPr="006355EC">
        <w:rPr>
          <w:lang w:eastAsia="tr-TR"/>
        </w:rPr>
        <w:t xml:space="preserve"> </w:t>
      </w:r>
      <w:proofErr w:type="spellStart"/>
      <w:r w:rsidRPr="006355EC">
        <w:rPr>
          <w:lang w:eastAsia="tr-TR"/>
        </w:rPr>
        <w:t>potential</w:t>
      </w:r>
      <w:proofErr w:type="spellEnd"/>
      <w:r w:rsidRPr="006355EC">
        <w:rPr>
          <w:lang w:eastAsia="tr-TR"/>
        </w:rPr>
        <w:t xml:space="preserve">: </w:t>
      </w:r>
      <w:proofErr w:type="spellStart"/>
      <w:r w:rsidRPr="006355EC">
        <w:rPr>
          <w:lang w:eastAsia="tr-TR"/>
        </w:rPr>
        <w:t>What</w:t>
      </w:r>
      <w:proofErr w:type="spellEnd"/>
      <w:r w:rsidRPr="006355EC">
        <w:rPr>
          <w:lang w:eastAsia="tr-TR"/>
        </w:rPr>
        <w:t xml:space="preserve"> </w:t>
      </w:r>
      <w:proofErr w:type="spellStart"/>
      <w:r w:rsidRPr="006355EC">
        <w:rPr>
          <w:lang w:eastAsia="tr-TR"/>
        </w:rPr>
        <w:t>really</w:t>
      </w:r>
      <w:proofErr w:type="spellEnd"/>
      <w:r w:rsidRPr="006355EC">
        <w:rPr>
          <w:lang w:eastAsia="tr-TR"/>
        </w:rPr>
        <w:t xml:space="preserve"> </w:t>
      </w:r>
      <w:proofErr w:type="spellStart"/>
      <w:r w:rsidRPr="006355EC">
        <w:rPr>
          <w:lang w:eastAsia="tr-TR"/>
        </w:rPr>
        <w:t>matters</w:t>
      </w:r>
      <w:proofErr w:type="spellEnd"/>
      <w:r w:rsidRPr="006355EC">
        <w:rPr>
          <w:lang w:eastAsia="tr-TR"/>
        </w:rPr>
        <w:t xml:space="preserve">? </w:t>
      </w:r>
      <w:r w:rsidRPr="006355EC">
        <w:rPr>
          <w:i/>
          <w:iCs/>
          <w:lang w:eastAsia="tr-TR"/>
        </w:rPr>
        <w:t xml:space="preserve">High </w:t>
      </w:r>
      <w:proofErr w:type="spellStart"/>
      <w:r w:rsidRPr="006355EC">
        <w:rPr>
          <w:i/>
          <w:iCs/>
          <w:lang w:eastAsia="tr-TR"/>
        </w:rPr>
        <w:t>Ability</w:t>
      </w:r>
      <w:proofErr w:type="spellEnd"/>
      <w:r w:rsidRPr="006355EC">
        <w:rPr>
          <w:i/>
          <w:iCs/>
          <w:lang w:eastAsia="tr-TR"/>
        </w:rPr>
        <w:t xml:space="preserve"> </w:t>
      </w:r>
      <w:proofErr w:type="spellStart"/>
      <w:r w:rsidRPr="006355EC">
        <w:rPr>
          <w:i/>
          <w:iCs/>
          <w:lang w:eastAsia="tr-TR"/>
        </w:rPr>
        <w:t>Studies</w:t>
      </w:r>
      <w:proofErr w:type="spellEnd"/>
      <w:r w:rsidRPr="006355EC">
        <w:rPr>
          <w:i/>
          <w:iCs/>
          <w:lang w:eastAsia="tr-TR"/>
        </w:rPr>
        <w:t>, 20</w:t>
      </w:r>
      <w:r w:rsidRPr="006355EC">
        <w:rPr>
          <w:lang w:eastAsia="tr-TR"/>
        </w:rPr>
        <w:t>(1), 15–37.</w:t>
      </w:r>
    </w:p>
    <w:p w:rsidR="006355EC" w:rsidRPr="006355EC" w:rsidRDefault="006355EC" w:rsidP="006355EC">
      <w:pPr>
        <w:tabs>
          <w:tab w:val="left" w:pos="1620"/>
        </w:tabs>
        <w:autoSpaceDE w:val="0"/>
        <w:autoSpaceDN w:val="0"/>
        <w:adjustRightInd w:val="0"/>
        <w:spacing w:before="60" w:after="60" w:line="360" w:lineRule="auto"/>
        <w:ind w:left="567" w:right="-2" w:hanging="567"/>
        <w:jc w:val="both"/>
        <w:rPr>
          <w:lang w:eastAsia="tr-TR"/>
        </w:rPr>
      </w:pPr>
      <w:proofErr w:type="spellStart"/>
      <w:r w:rsidRPr="006355EC">
        <w:rPr>
          <w:lang w:eastAsia="tr-TR"/>
        </w:rPr>
        <w:t>Schunk</w:t>
      </w:r>
      <w:proofErr w:type="spellEnd"/>
      <w:r w:rsidRPr="006355EC">
        <w:rPr>
          <w:lang w:eastAsia="tr-TR"/>
        </w:rPr>
        <w:t xml:space="preserve">, D. H., </w:t>
      </w:r>
      <w:proofErr w:type="spellStart"/>
      <w:r w:rsidRPr="006355EC">
        <w:rPr>
          <w:lang w:eastAsia="tr-TR"/>
        </w:rPr>
        <w:t>Pintrich</w:t>
      </w:r>
      <w:proofErr w:type="spellEnd"/>
      <w:r w:rsidRPr="006355EC">
        <w:rPr>
          <w:lang w:eastAsia="tr-TR"/>
        </w:rPr>
        <w:t xml:space="preserve">, P. R., &amp; </w:t>
      </w:r>
      <w:proofErr w:type="spellStart"/>
      <w:r w:rsidRPr="006355EC">
        <w:rPr>
          <w:lang w:eastAsia="tr-TR"/>
        </w:rPr>
        <w:t>Meece</w:t>
      </w:r>
      <w:proofErr w:type="spellEnd"/>
      <w:r w:rsidRPr="006355EC">
        <w:rPr>
          <w:lang w:eastAsia="tr-TR"/>
        </w:rPr>
        <w:t>, J. L. (2008</w:t>
      </w:r>
      <w:r w:rsidRPr="006355EC">
        <w:rPr>
          <w:i/>
          <w:iCs/>
          <w:lang w:eastAsia="tr-TR"/>
        </w:rPr>
        <w:t xml:space="preserve">). </w:t>
      </w:r>
      <w:proofErr w:type="spellStart"/>
      <w:r w:rsidRPr="006355EC">
        <w:rPr>
          <w:i/>
          <w:iCs/>
          <w:lang w:eastAsia="tr-TR"/>
        </w:rPr>
        <w:t>Motivation</w:t>
      </w:r>
      <w:proofErr w:type="spellEnd"/>
      <w:r w:rsidRPr="006355EC">
        <w:rPr>
          <w:i/>
          <w:iCs/>
          <w:lang w:eastAsia="tr-TR"/>
        </w:rPr>
        <w:t xml:space="preserve"> in </w:t>
      </w:r>
      <w:proofErr w:type="spellStart"/>
      <w:r w:rsidRPr="006355EC">
        <w:rPr>
          <w:i/>
          <w:iCs/>
          <w:lang w:eastAsia="tr-TR"/>
        </w:rPr>
        <w:t>education</w:t>
      </w:r>
      <w:proofErr w:type="spellEnd"/>
      <w:r w:rsidRPr="006355EC">
        <w:rPr>
          <w:i/>
          <w:iCs/>
          <w:lang w:eastAsia="tr-TR"/>
        </w:rPr>
        <w:t xml:space="preserve">: </w:t>
      </w:r>
      <w:proofErr w:type="spellStart"/>
      <w:r w:rsidRPr="006355EC">
        <w:rPr>
          <w:i/>
          <w:iCs/>
          <w:lang w:eastAsia="tr-TR"/>
        </w:rPr>
        <w:t>Theory</w:t>
      </w:r>
      <w:proofErr w:type="spellEnd"/>
      <w:r w:rsidRPr="006355EC">
        <w:rPr>
          <w:i/>
          <w:iCs/>
          <w:lang w:eastAsia="tr-TR"/>
        </w:rPr>
        <w:t xml:space="preserve">, </w:t>
      </w:r>
      <w:proofErr w:type="spellStart"/>
      <w:r w:rsidRPr="006355EC">
        <w:rPr>
          <w:i/>
          <w:iCs/>
          <w:lang w:eastAsia="tr-TR"/>
        </w:rPr>
        <w:t>research</w:t>
      </w:r>
      <w:proofErr w:type="spellEnd"/>
      <w:r w:rsidRPr="006355EC">
        <w:rPr>
          <w:i/>
          <w:iCs/>
          <w:lang w:eastAsia="tr-TR"/>
        </w:rPr>
        <w:t xml:space="preserve"> </w:t>
      </w:r>
      <w:proofErr w:type="spellStart"/>
      <w:r w:rsidRPr="006355EC">
        <w:rPr>
          <w:i/>
          <w:iCs/>
          <w:lang w:eastAsia="tr-TR"/>
        </w:rPr>
        <w:t>and</w:t>
      </w:r>
      <w:proofErr w:type="spellEnd"/>
      <w:r w:rsidRPr="006355EC">
        <w:rPr>
          <w:i/>
          <w:iCs/>
          <w:lang w:eastAsia="tr-TR"/>
        </w:rPr>
        <w:t xml:space="preserve"> </w:t>
      </w:r>
      <w:proofErr w:type="spellStart"/>
      <w:r w:rsidRPr="006355EC">
        <w:rPr>
          <w:i/>
          <w:iCs/>
          <w:lang w:eastAsia="tr-TR"/>
        </w:rPr>
        <w:t>application</w:t>
      </w:r>
      <w:proofErr w:type="spellEnd"/>
      <w:r w:rsidRPr="006355EC">
        <w:rPr>
          <w:lang w:eastAsia="tr-TR"/>
        </w:rPr>
        <w:t xml:space="preserve">. </w:t>
      </w:r>
      <w:proofErr w:type="spellStart"/>
      <w:r w:rsidRPr="006355EC">
        <w:rPr>
          <w:lang w:eastAsia="tr-TR"/>
        </w:rPr>
        <w:t>Columbus</w:t>
      </w:r>
      <w:proofErr w:type="spellEnd"/>
      <w:r w:rsidRPr="006355EC">
        <w:rPr>
          <w:lang w:eastAsia="tr-TR"/>
        </w:rPr>
        <w:t xml:space="preserve">, OH: </w:t>
      </w:r>
      <w:proofErr w:type="spellStart"/>
      <w:r w:rsidRPr="006355EC">
        <w:rPr>
          <w:lang w:eastAsia="tr-TR"/>
        </w:rPr>
        <w:t>Pearson</w:t>
      </w:r>
      <w:proofErr w:type="spellEnd"/>
      <w:r w:rsidRPr="006355EC">
        <w:rPr>
          <w:lang w:eastAsia="tr-TR"/>
        </w:rPr>
        <w:t>.</w:t>
      </w:r>
    </w:p>
    <w:p w:rsidR="006355EC" w:rsidRPr="006355EC" w:rsidRDefault="006355EC" w:rsidP="006355EC">
      <w:pPr>
        <w:tabs>
          <w:tab w:val="left" w:pos="1620"/>
        </w:tabs>
        <w:autoSpaceDE w:val="0"/>
        <w:autoSpaceDN w:val="0"/>
        <w:adjustRightInd w:val="0"/>
        <w:spacing w:before="60" w:after="60" w:line="360" w:lineRule="auto"/>
        <w:ind w:left="567" w:right="-2" w:hanging="567"/>
        <w:jc w:val="both"/>
        <w:rPr>
          <w:lang w:eastAsia="tr-TR"/>
        </w:rPr>
      </w:pPr>
      <w:bookmarkStart w:id="17" w:name="_Hlk24820725"/>
      <w:proofErr w:type="spellStart"/>
      <w:r w:rsidRPr="006355EC">
        <w:rPr>
          <w:lang w:eastAsia="tr-TR"/>
        </w:rPr>
        <w:t>Skinner</w:t>
      </w:r>
      <w:proofErr w:type="spellEnd"/>
      <w:r w:rsidRPr="006355EC">
        <w:rPr>
          <w:lang w:eastAsia="tr-TR"/>
        </w:rPr>
        <w:t xml:space="preserve">, E., </w:t>
      </w:r>
      <w:proofErr w:type="spellStart"/>
      <w:r w:rsidRPr="006355EC">
        <w:rPr>
          <w:lang w:eastAsia="tr-TR"/>
        </w:rPr>
        <w:t>Furrer</w:t>
      </w:r>
      <w:proofErr w:type="spellEnd"/>
      <w:r w:rsidRPr="006355EC">
        <w:rPr>
          <w:lang w:eastAsia="tr-TR"/>
        </w:rPr>
        <w:t xml:space="preserve">, C., </w:t>
      </w:r>
      <w:proofErr w:type="spellStart"/>
      <w:r w:rsidRPr="006355EC">
        <w:rPr>
          <w:lang w:eastAsia="tr-TR"/>
        </w:rPr>
        <w:t>Marchand</w:t>
      </w:r>
      <w:proofErr w:type="spellEnd"/>
      <w:r w:rsidRPr="006355EC">
        <w:rPr>
          <w:lang w:eastAsia="tr-TR"/>
        </w:rPr>
        <w:t xml:space="preserve">, G., &amp; </w:t>
      </w:r>
      <w:proofErr w:type="spellStart"/>
      <w:r w:rsidRPr="006355EC">
        <w:rPr>
          <w:lang w:eastAsia="tr-TR"/>
        </w:rPr>
        <w:t>Kindermann</w:t>
      </w:r>
      <w:proofErr w:type="spellEnd"/>
      <w:r w:rsidRPr="006355EC">
        <w:rPr>
          <w:lang w:eastAsia="tr-TR"/>
        </w:rPr>
        <w:t xml:space="preserve">, T. </w:t>
      </w:r>
      <w:bookmarkEnd w:id="17"/>
      <w:r w:rsidRPr="006355EC">
        <w:rPr>
          <w:lang w:eastAsia="tr-TR"/>
        </w:rPr>
        <w:t xml:space="preserve">(2008). </w:t>
      </w:r>
      <w:proofErr w:type="spellStart"/>
      <w:r w:rsidRPr="006355EC">
        <w:rPr>
          <w:lang w:eastAsia="tr-TR"/>
        </w:rPr>
        <w:t>Engagement</w:t>
      </w:r>
      <w:proofErr w:type="spellEnd"/>
      <w:r w:rsidRPr="006355EC">
        <w:rPr>
          <w:lang w:eastAsia="tr-TR"/>
        </w:rPr>
        <w:t xml:space="preserve"> </w:t>
      </w:r>
      <w:proofErr w:type="spellStart"/>
      <w:r w:rsidRPr="006355EC">
        <w:rPr>
          <w:lang w:eastAsia="tr-TR"/>
        </w:rPr>
        <w:t>and</w:t>
      </w:r>
      <w:proofErr w:type="spellEnd"/>
      <w:r w:rsidRPr="006355EC">
        <w:rPr>
          <w:lang w:eastAsia="tr-TR"/>
        </w:rPr>
        <w:t xml:space="preserve"> </w:t>
      </w:r>
      <w:proofErr w:type="spellStart"/>
      <w:r w:rsidRPr="006355EC">
        <w:rPr>
          <w:lang w:eastAsia="tr-TR"/>
        </w:rPr>
        <w:t>disaffection</w:t>
      </w:r>
      <w:proofErr w:type="spellEnd"/>
      <w:r w:rsidRPr="006355EC">
        <w:rPr>
          <w:lang w:eastAsia="tr-TR"/>
        </w:rPr>
        <w:t xml:space="preserve"> in </w:t>
      </w:r>
      <w:proofErr w:type="spellStart"/>
      <w:r w:rsidRPr="006355EC">
        <w:rPr>
          <w:lang w:eastAsia="tr-TR"/>
        </w:rPr>
        <w:t>the</w:t>
      </w:r>
      <w:proofErr w:type="spellEnd"/>
      <w:r w:rsidRPr="006355EC">
        <w:rPr>
          <w:lang w:eastAsia="tr-TR"/>
        </w:rPr>
        <w:t xml:space="preserve"> </w:t>
      </w:r>
      <w:proofErr w:type="spellStart"/>
      <w:r w:rsidRPr="006355EC">
        <w:rPr>
          <w:lang w:eastAsia="tr-TR"/>
        </w:rPr>
        <w:t>classroom</w:t>
      </w:r>
      <w:proofErr w:type="spellEnd"/>
      <w:r w:rsidRPr="006355EC">
        <w:rPr>
          <w:lang w:eastAsia="tr-TR"/>
        </w:rPr>
        <w:t xml:space="preserve">: </w:t>
      </w:r>
      <w:proofErr w:type="spellStart"/>
      <w:r w:rsidRPr="006355EC">
        <w:rPr>
          <w:lang w:eastAsia="tr-TR"/>
        </w:rPr>
        <w:t>Part</w:t>
      </w:r>
      <w:proofErr w:type="spellEnd"/>
      <w:r w:rsidRPr="006355EC">
        <w:rPr>
          <w:lang w:eastAsia="tr-TR"/>
        </w:rPr>
        <w:t xml:space="preserve"> of a </w:t>
      </w:r>
      <w:proofErr w:type="spellStart"/>
      <w:r w:rsidRPr="006355EC">
        <w:rPr>
          <w:lang w:eastAsia="tr-TR"/>
        </w:rPr>
        <w:t>larger</w:t>
      </w:r>
      <w:proofErr w:type="spellEnd"/>
      <w:r w:rsidRPr="006355EC">
        <w:rPr>
          <w:lang w:eastAsia="tr-TR"/>
        </w:rPr>
        <w:t xml:space="preserve"> </w:t>
      </w:r>
      <w:proofErr w:type="spellStart"/>
      <w:r w:rsidRPr="006355EC">
        <w:rPr>
          <w:lang w:eastAsia="tr-TR"/>
        </w:rPr>
        <w:t>motivational</w:t>
      </w:r>
      <w:proofErr w:type="spellEnd"/>
      <w:r w:rsidRPr="006355EC">
        <w:rPr>
          <w:lang w:eastAsia="tr-TR"/>
        </w:rPr>
        <w:t xml:space="preserve"> </w:t>
      </w:r>
      <w:proofErr w:type="spellStart"/>
      <w:r w:rsidRPr="006355EC">
        <w:rPr>
          <w:lang w:eastAsia="tr-TR"/>
        </w:rPr>
        <w:t>dynamic</w:t>
      </w:r>
      <w:proofErr w:type="spellEnd"/>
      <w:r w:rsidRPr="006355EC">
        <w:rPr>
          <w:lang w:eastAsia="tr-TR"/>
        </w:rPr>
        <w:t xml:space="preserve">? </w:t>
      </w:r>
      <w:proofErr w:type="spellStart"/>
      <w:r w:rsidRPr="006355EC">
        <w:rPr>
          <w:i/>
          <w:iCs/>
          <w:lang w:eastAsia="tr-TR"/>
        </w:rPr>
        <w:t>Journal</w:t>
      </w:r>
      <w:proofErr w:type="spellEnd"/>
      <w:r w:rsidRPr="006355EC">
        <w:rPr>
          <w:i/>
          <w:iCs/>
          <w:lang w:eastAsia="tr-TR"/>
        </w:rPr>
        <w:t xml:space="preserve"> of </w:t>
      </w:r>
      <w:proofErr w:type="spellStart"/>
      <w:r w:rsidRPr="006355EC">
        <w:rPr>
          <w:i/>
          <w:iCs/>
          <w:lang w:eastAsia="tr-TR"/>
        </w:rPr>
        <w:t>Educational</w:t>
      </w:r>
      <w:proofErr w:type="spellEnd"/>
      <w:r w:rsidRPr="006355EC">
        <w:rPr>
          <w:i/>
          <w:iCs/>
          <w:lang w:eastAsia="tr-TR"/>
        </w:rPr>
        <w:t xml:space="preserve"> </w:t>
      </w:r>
      <w:proofErr w:type="spellStart"/>
      <w:r w:rsidRPr="006355EC">
        <w:rPr>
          <w:i/>
          <w:iCs/>
          <w:lang w:eastAsia="tr-TR"/>
        </w:rPr>
        <w:t>Psychology</w:t>
      </w:r>
      <w:proofErr w:type="spellEnd"/>
      <w:r w:rsidRPr="006355EC">
        <w:rPr>
          <w:i/>
          <w:iCs/>
          <w:lang w:eastAsia="tr-TR"/>
        </w:rPr>
        <w:t>, 100</w:t>
      </w:r>
      <w:r w:rsidRPr="006355EC">
        <w:rPr>
          <w:lang w:eastAsia="tr-TR"/>
        </w:rPr>
        <w:t>(4), 765–781.</w:t>
      </w:r>
    </w:p>
    <w:p w:rsidR="006355EC" w:rsidRPr="006355EC" w:rsidRDefault="006355EC" w:rsidP="006355EC">
      <w:pPr>
        <w:tabs>
          <w:tab w:val="left" w:pos="1620"/>
        </w:tabs>
        <w:autoSpaceDE w:val="0"/>
        <w:autoSpaceDN w:val="0"/>
        <w:adjustRightInd w:val="0"/>
        <w:spacing w:before="60" w:after="60" w:line="360" w:lineRule="auto"/>
        <w:ind w:left="567" w:right="-2" w:hanging="567"/>
        <w:jc w:val="both"/>
        <w:rPr>
          <w:lang w:eastAsia="tr-TR"/>
        </w:rPr>
      </w:pPr>
      <w:proofErr w:type="spellStart"/>
      <w:r w:rsidRPr="006355EC">
        <w:rPr>
          <w:lang w:eastAsia="tr-TR"/>
        </w:rPr>
        <w:t>Super</w:t>
      </w:r>
      <w:proofErr w:type="spellEnd"/>
      <w:r w:rsidRPr="006355EC">
        <w:rPr>
          <w:lang w:eastAsia="tr-TR"/>
        </w:rPr>
        <w:t xml:space="preserve">, D. E. (1990). A Life </w:t>
      </w:r>
      <w:proofErr w:type="spellStart"/>
      <w:r w:rsidRPr="006355EC">
        <w:rPr>
          <w:lang w:eastAsia="tr-TR"/>
        </w:rPr>
        <w:t>Span</w:t>
      </w:r>
      <w:proofErr w:type="spellEnd"/>
      <w:r w:rsidRPr="006355EC">
        <w:rPr>
          <w:lang w:eastAsia="tr-TR"/>
        </w:rPr>
        <w:t xml:space="preserve">, Life Space </w:t>
      </w:r>
      <w:proofErr w:type="spellStart"/>
      <w:r w:rsidRPr="006355EC">
        <w:rPr>
          <w:lang w:eastAsia="tr-TR"/>
        </w:rPr>
        <w:t>Approach</w:t>
      </w:r>
      <w:proofErr w:type="spellEnd"/>
      <w:r w:rsidRPr="006355EC">
        <w:rPr>
          <w:lang w:eastAsia="tr-TR"/>
        </w:rPr>
        <w:t xml:space="preserve"> </w:t>
      </w:r>
      <w:proofErr w:type="spellStart"/>
      <w:r w:rsidRPr="006355EC">
        <w:rPr>
          <w:lang w:eastAsia="tr-TR"/>
        </w:rPr>
        <w:t>to</w:t>
      </w:r>
      <w:proofErr w:type="spellEnd"/>
      <w:r w:rsidRPr="006355EC">
        <w:rPr>
          <w:lang w:eastAsia="tr-TR"/>
        </w:rPr>
        <w:t xml:space="preserve"> </w:t>
      </w:r>
      <w:proofErr w:type="spellStart"/>
      <w:r w:rsidRPr="006355EC">
        <w:rPr>
          <w:lang w:eastAsia="tr-TR"/>
        </w:rPr>
        <w:t>Career</w:t>
      </w:r>
      <w:proofErr w:type="spellEnd"/>
      <w:r w:rsidRPr="006355EC">
        <w:rPr>
          <w:lang w:eastAsia="tr-TR"/>
        </w:rPr>
        <w:t xml:space="preserve"> Development. </w:t>
      </w:r>
      <w:proofErr w:type="spellStart"/>
      <w:r w:rsidRPr="006355EC">
        <w:rPr>
          <w:lang w:eastAsia="tr-TR"/>
        </w:rPr>
        <w:t>In</w:t>
      </w:r>
      <w:proofErr w:type="spellEnd"/>
      <w:r w:rsidRPr="006355EC">
        <w:rPr>
          <w:lang w:eastAsia="tr-TR"/>
        </w:rPr>
        <w:t xml:space="preserve"> D. Brown &amp; L. </w:t>
      </w:r>
      <w:proofErr w:type="spellStart"/>
      <w:r w:rsidRPr="006355EC">
        <w:rPr>
          <w:lang w:eastAsia="tr-TR"/>
        </w:rPr>
        <w:t>Brooks</w:t>
      </w:r>
      <w:proofErr w:type="spellEnd"/>
      <w:r w:rsidRPr="006355EC">
        <w:rPr>
          <w:lang w:eastAsia="tr-TR"/>
        </w:rPr>
        <w:t xml:space="preserve"> (</w:t>
      </w:r>
      <w:proofErr w:type="spellStart"/>
      <w:r w:rsidRPr="006355EC">
        <w:rPr>
          <w:lang w:eastAsia="tr-TR"/>
        </w:rPr>
        <w:t>Edit</w:t>
      </w:r>
      <w:proofErr w:type="spellEnd"/>
      <w:r w:rsidRPr="006355EC">
        <w:rPr>
          <w:lang w:eastAsia="tr-TR"/>
        </w:rPr>
        <w:t xml:space="preserve">.) </w:t>
      </w:r>
      <w:proofErr w:type="spellStart"/>
      <w:r w:rsidRPr="006355EC">
        <w:rPr>
          <w:i/>
          <w:iCs/>
          <w:lang w:eastAsia="tr-TR"/>
        </w:rPr>
        <w:t>Career</w:t>
      </w:r>
      <w:proofErr w:type="spellEnd"/>
      <w:r w:rsidRPr="006355EC">
        <w:rPr>
          <w:i/>
          <w:iCs/>
          <w:lang w:eastAsia="tr-TR"/>
        </w:rPr>
        <w:t xml:space="preserve"> </w:t>
      </w:r>
      <w:proofErr w:type="spellStart"/>
      <w:r w:rsidRPr="006355EC">
        <w:rPr>
          <w:i/>
          <w:iCs/>
          <w:lang w:eastAsia="tr-TR"/>
        </w:rPr>
        <w:t>Choice</w:t>
      </w:r>
      <w:proofErr w:type="spellEnd"/>
      <w:r w:rsidRPr="006355EC">
        <w:rPr>
          <w:i/>
          <w:iCs/>
          <w:lang w:eastAsia="tr-TR"/>
        </w:rPr>
        <w:t xml:space="preserve"> </w:t>
      </w:r>
      <w:proofErr w:type="spellStart"/>
      <w:r w:rsidRPr="006355EC">
        <w:rPr>
          <w:i/>
          <w:iCs/>
          <w:lang w:eastAsia="tr-TR"/>
        </w:rPr>
        <w:t>and</w:t>
      </w:r>
      <w:proofErr w:type="spellEnd"/>
      <w:r w:rsidRPr="006355EC">
        <w:rPr>
          <w:i/>
          <w:iCs/>
          <w:lang w:eastAsia="tr-TR"/>
        </w:rPr>
        <w:t xml:space="preserve"> Development: </w:t>
      </w:r>
      <w:proofErr w:type="spellStart"/>
      <w:r w:rsidRPr="006355EC">
        <w:rPr>
          <w:i/>
          <w:iCs/>
          <w:lang w:eastAsia="tr-TR"/>
        </w:rPr>
        <w:t>Applying</w:t>
      </w:r>
      <w:proofErr w:type="spellEnd"/>
      <w:r w:rsidRPr="006355EC">
        <w:rPr>
          <w:i/>
          <w:iCs/>
          <w:lang w:eastAsia="tr-TR"/>
        </w:rPr>
        <w:t xml:space="preserve"> </w:t>
      </w:r>
      <w:proofErr w:type="spellStart"/>
      <w:r w:rsidRPr="006355EC">
        <w:rPr>
          <w:i/>
          <w:iCs/>
          <w:lang w:eastAsia="tr-TR"/>
        </w:rPr>
        <w:t>Contemporary</w:t>
      </w:r>
      <w:proofErr w:type="spellEnd"/>
      <w:r w:rsidRPr="006355EC">
        <w:rPr>
          <w:lang w:eastAsia="tr-TR"/>
        </w:rPr>
        <w:t xml:space="preserve"> </w:t>
      </w:r>
      <w:proofErr w:type="spellStart"/>
      <w:r w:rsidRPr="006355EC">
        <w:rPr>
          <w:i/>
          <w:iCs/>
          <w:lang w:eastAsia="tr-TR"/>
        </w:rPr>
        <w:t>Theory</w:t>
      </w:r>
      <w:proofErr w:type="spellEnd"/>
      <w:r w:rsidRPr="006355EC">
        <w:rPr>
          <w:i/>
          <w:iCs/>
          <w:lang w:eastAsia="tr-TR"/>
        </w:rPr>
        <w:t xml:space="preserve"> </w:t>
      </w:r>
      <w:proofErr w:type="spellStart"/>
      <w:r w:rsidRPr="006355EC">
        <w:rPr>
          <w:i/>
          <w:iCs/>
          <w:lang w:eastAsia="tr-TR"/>
        </w:rPr>
        <w:t>to</w:t>
      </w:r>
      <w:proofErr w:type="spellEnd"/>
      <w:r w:rsidRPr="006355EC">
        <w:rPr>
          <w:i/>
          <w:iCs/>
          <w:lang w:eastAsia="tr-TR"/>
        </w:rPr>
        <w:t xml:space="preserve"> </w:t>
      </w:r>
      <w:proofErr w:type="spellStart"/>
      <w:r w:rsidRPr="006355EC">
        <w:rPr>
          <w:i/>
          <w:iCs/>
          <w:lang w:eastAsia="tr-TR"/>
        </w:rPr>
        <w:t>Practice</w:t>
      </w:r>
      <w:proofErr w:type="spellEnd"/>
      <w:r w:rsidRPr="006355EC">
        <w:rPr>
          <w:i/>
          <w:iCs/>
          <w:lang w:eastAsia="tr-TR"/>
        </w:rPr>
        <w:t xml:space="preserve"> </w:t>
      </w:r>
      <w:r w:rsidRPr="006355EC">
        <w:rPr>
          <w:lang w:eastAsia="tr-TR"/>
        </w:rPr>
        <w:t xml:space="preserve">(s.197-261). San Francisco: </w:t>
      </w:r>
      <w:proofErr w:type="spellStart"/>
      <w:r w:rsidRPr="006355EC">
        <w:rPr>
          <w:lang w:eastAsia="tr-TR"/>
        </w:rPr>
        <w:t>Jossey-Bass</w:t>
      </w:r>
      <w:proofErr w:type="spellEnd"/>
      <w:r w:rsidRPr="006355EC">
        <w:rPr>
          <w:lang w:eastAsia="tr-TR"/>
        </w:rPr>
        <w:t>.</w:t>
      </w:r>
    </w:p>
    <w:p w:rsidR="006355EC" w:rsidRPr="006355EC" w:rsidRDefault="006355EC" w:rsidP="006355EC">
      <w:pPr>
        <w:tabs>
          <w:tab w:val="left" w:pos="1620"/>
        </w:tabs>
        <w:autoSpaceDE w:val="0"/>
        <w:autoSpaceDN w:val="0"/>
        <w:adjustRightInd w:val="0"/>
        <w:spacing w:before="60" w:after="60" w:line="360" w:lineRule="auto"/>
        <w:ind w:left="567" w:right="-2" w:hanging="567"/>
        <w:jc w:val="both"/>
        <w:rPr>
          <w:lang w:eastAsia="tr-TR"/>
        </w:rPr>
      </w:pPr>
      <w:proofErr w:type="spellStart"/>
      <w:r w:rsidRPr="006355EC">
        <w:rPr>
          <w:lang w:eastAsia="tr-TR"/>
        </w:rPr>
        <w:t>Tsupros</w:t>
      </w:r>
      <w:proofErr w:type="spellEnd"/>
      <w:r w:rsidRPr="006355EC">
        <w:rPr>
          <w:lang w:eastAsia="tr-TR"/>
        </w:rPr>
        <w:t xml:space="preserve">, N., </w:t>
      </w:r>
      <w:proofErr w:type="spellStart"/>
      <w:r w:rsidRPr="006355EC">
        <w:rPr>
          <w:lang w:eastAsia="tr-TR"/>
        </w:rPr>
        <w:t>Kohler</w:t>
      </w:r>
      <w:proofErr w:type="spellEnd"/>
      <w:r w:rsidRPr="006355EC">
        <w:rPr>
          <w:lang w:eastAsia="tr-TR"/>
        </w:rPr>
        <w:t xml:space="preserve">, R., &amp; </w:t>
      </w:r>
      <w:proofErr w:type="spellStart"/>
      <w:r w:rsidRPr="006355EC">
        <w:rPr>
          <w:lang w:eastAsia="tr-TR"/>
        </w:rPr>
        <w:t>Hallinen</w:t>
      </w:r>
      <w:proofErr w:type="spellEnd"/>
      <w:r w:rsidRPr="006355EC">
        <w:rPr>
          <w:lang w:eastAsia="tr-TR"/>
        </w:rPr>
        <w:t xml:space="preserve">, J. (2009). STEM </w:t>
      </w:r>
      <w:proofErr w:type="spellStart"/>
      <w:r w:rsidRPr="006355EC">
        <w:rPr>
          <w:lang w:eastAsia="tr-TR"/>
        </w:rPr>
        <w:t>education</w:t>
      </w:r>
      <w:proofErr w:type="spellEnd"/>
      <w:r w:rsidRPr="006355EC">
        <w:rPr>
          <w:lang w:eastAsia="tr-TR"/>
        </w:rPr>
        <w:t xml:space="preserve">: A </w:t>
      </w:r>
      <w:proofErr w:type="spellStart"/>
      <w:r w:rsidRPr="006355EC">
        <w:rPr>
          <w:lang w:eastAsia="tr-TR"/>
        </w:rPr>
        <w:t>project</w:t>
      </w:r>
      <w:proofErr w:type="spellEnd"/>
      <w:r w:rsidRPr="006355EC">
        <w:rPr>
          <w:lang w:eastAsia="tr-TR"/>
        </w:rPr>
        <w:t xml:space="preserve"> </w:t>
      </w:r>
      <w:proofErr w:type="spellStart"/>
      <w:r w:rsidRPr="006355EC">
        <w:rPr>
          <w:lang w:eastAsia="tr-TR"/>
        </w:rPr>
        <w:t>to</w:t>
      </w:r>
      <w:proofErr w:type="spellEnd"/>
      <w:r w:rsidRPr="006355EC">
        <w:rPr>
          <w:lang w:eastAsia="tr-TR"/>
        </w:rPr>
        <w:t xml:space="preserve"> </w:t>
      </w:r>
      <w:proofErr w:type="spellStart"/>
      <w:r w:rsidRPr="006355EC">
        <w:rPr>
          <w:lang w:eastAsia="tr-TR"/>
        </w:rPr>
        <w:t>identify</w:t>
      </w:r>
      <w:proofErr w:type="spellEnd"/>
      <w:r w:rsidRPr="006355EC">
        <w:rPr>
          <w:lang w:eastAsia="tr-TR"/>
        </w:rPr>
        <w:t xml:space="preserve"> </w:t>
      </w:r>
      <w:proofErr w:type="spellStart"/>
      <w:r w:rsidRPr="006355EC">
        <w:rPr>
          <w:lang w:eastAsia="tr-TR"/>
        </w:rPr>
        <w:t>the</w:t>
      </w:r>
      <w:proofErr w:type="spellEnd"/>
      <w:r w:rsidRPr="006355EC">
        <w:rPr>
          <w:lang w:eastAsia="tr-TR"/>
        </w:rPr>
        <w:t xml:space="preserve"> </w:t>
      </w:r>
      <w:proofErr w:type="spellStart"/>
      <w:r w:rsidRPr="006355EC">
        <w:rPr>
          <w:lang w:eastAsia="tr-TR"/>
        </w:rPr>
        <w:t>missing</w:t>
      </w:r>
      <w:proofErr w:type="spellEnd"/>
      <w:r w:rsidRPr="006355EC">
        <w:rPr>
          <w:lang w:eastAsia="tr-TR"/>
        </w:rPr>
        <w:t xml:space="preserve"> </w:t>
      </w:r>
      <w:proofErr w:type="spellStart"/>
      <w:r w:rsidRPr="006355EC">
        <w:rPr>
          <w:lang w:eastAsia="tr-TR"/>
        </w:rPr>
        <w:t>components</w:t>
      </w:r>
      <w:proofErr w:type="spellEnd"/>
      <w:r w:rsidRPr="006355EC">
        <w:rPr>
          <w:lang w:eastAsia="tr-TR"/>
        </w:rPr>
        <w:t xml:space="preserve">. </w:t>
      </w:r>
      <w:proofErr w:type="spellStart"/>
      <w:r w:rsidRPr="006355EC">
        <w:rPr>
          <w:i/>
          <w:iCs/>
          <w:lang w:eastAsia="tr-TR"/>
        </w:rPr>
        <w:t>Intermediate</w:t>
      </w:r>
      <w:proofErr w:type="spellEnd"/>
      <w:r w:rsidRPr="006355EC">
        <w:rPr>
          <w:i/>
          <w:iCs/>
          <w:lang w:eastAsia="tr-TR"/>
        </w:rPr>
        <w:t xml:space="preserve"> </w:t>
      </w:r>
      <w:proofErr w:type="spellStart"/>
      <w:r w:rsidRPr="006355EC">
        <w:rPr>
          <w:i/>
          <w:iCs/>
          <w:lang w:eastAsia="tr-TR"/>
        </w:rPr>
        <w:t>Unit</w:t>
      </w:r>
      <w:proofErr w:type="spellEnd"/>
      <w:r w:rsidRPr="006355EC">
        <w:rPr>
          <w:i/>
          <w:iCs/>
          <w:lang w:eastAsia="tr-TR"/>
        </w:rPr>
        <w:t xml:space="preserve"> 1 </w:t>
      </w:r>
      <w:proofErr w:type="spellStart"/>
      <w:r w:rsidRPr="006355EC">
        <w:rPr>
          <w:i/>
          <w:iCs/>
          <w:lang w:eastAsia="tr-TR"/>
        </w:rPr>
        <w:t>and</w:t>
      </w:r>
      <w:proofErr w:type="spellEnd"/>
      <w:r w:rsidRPr="006355EC">
        <w:rPr>
          <w:i/>
          <w:iCs/>
          <w:lang w:eastAsia="tr-TR"/>
        </w:rPr>
        <w:t xml:space="preserve"> Carnegie Mellon.</w:t>
      </w:r>
    </w:p>
    <w:p w:rsidR="006355EC" w:rsidRPr="006355EC" w:rsidRDefault="006355EC" w:rsidP="006355EC">
      <w:pPr>
        <w:tabs>
          <w:tab w:val="left" w:pos="1620"/>
        </w:tabs>
        <w:autoSpaceDE w:val="0"/>
        <w:autoSpaceDN w:val="0"/>
        <w:adjustRightInd w:val="0"/>
        <w:spacing w:before="60" w:after="60" w:line="360" w:lineRule="auto"/>
        <w:ind w:left="567" w:right="-2" w:hanging="567"/>
        <w:jc w:val="both"/>
        <w:rPr>
          <w:lang w:eastAsia="tr-TR"/>
        </w:rPr>
      </w:pPr>
      <w:proofErr w:type="spellStart"/>
      <w:r w:rsidRPr="006355EC">
        <w:rPr>
          <w:lang w:eastAsia="tr-TR"/>
        </w:rPr>
        <w:t>Tuan</w:t>
      </w:r>
      <w:proofErr w:type="spellEnd"/>
      <w:r w:rsidRPr="006355EC">
        <w:rPr>
          <w:lang w:eastAsia="tr-TR"/>
        </w:rPr>
        <w:t xml:space="preserve">, H. L., </w:t>
      </w:r>
      <w:proofErr w:type="spellStart"/>
      <w:r w:rsidRPr="006355EC">
        <w:rPr>
          <w:lang w:eastAsia="tr-TR"/>
        </w:rPr>
        <w:t>Chin</w:t>
      </w:r>
      <w:proofErr w:type="spellEnd"/>
      <w:r w:rsidRPr="006355EC">
        <w:rPr>
          <w:lang w:eastAsia="tr-TR"/>
        </w:rPr>
        <w:t xml:space="preserve">, C. C., &amp; </w:t>
      </w:r>
      <w:proofErr w:type="spellStart"/>
      <w:r w:rsidRPr="006355EC">
        <w:rPr>
          <w:lang w:eastAsia="tr-TR"/>
        </w:rPr>
        <w:t>Shieh</w:t>
      </w:r>
      <w:proofErr w:type="spellEnd"/>
      <w:r w:rsidRPr="006355EC">
        <w:rPr>
          <w:lang w:eastAsia="tr-TR"/>
        </w:rPr>
        <w:t xml:space="preserve">, S. H. (2005). </w:t>
      </w:r>
      <w:proofErr w:type="spellStart"/>
      <w:r w:rsidRPr="006355EC">
        <w:rPr>
          <w:lang w:eastAsia="tr-TR"/>
        </w:rPr>
        <w:t>The</w:t>
      </w:r>
      <w:proofErr w:type="spellEnd"/>
      <w:r w:rsidRPr="006355EC">
        <w:rPr>
          <w:lang w:eastAsia="tr-TR"/>
        </w:rPr>
        <w:t xml:space="preserve"> </w:t>
      </w:r>
      <w:proofErr w:type="spellStart"/>
      <w:r w:rsidRPr="006355EC">
        <w:rPr>
          <w:lang w:eastAsia="tr-TR"/>
        </w:rPr>
        <w:t>development</w:t>
      </w:r>
      <w:proofErr w:type="spellEnd"/>
      <w:r w:rsidRPr="006355EC">
        <w:rPr>
          <w:lang w:eastAsia="tr-TR"/>
        </w:rPr>
        <w:t xml:space="preserve"> of a </w:t>
      </w:r>
      <w:proofErr w:type="spellStart"/>
      <w:r w:rsidRPr="006355EC">
        <w:rPr>
          <w:lang w:eastAsia="tr-TR"/>
        </w:rPr>
        <w:t>questionniare</w:t>
      </w:r>
      <w:proofErr w:type="spellEnd"/>
      <w:r w:rsidRPr="006355EC">
        <w:rPr>
          <w:lang w:eastAsia="tr-TR"/>
        </w:rPr>
        <w:t xml:space="preserve"> </w:t>
      </w:r>
      <w:proofErr w:type="spellStart"/>
      <w:r w:rsidRPr="006355EC">
        <w:rPr>
          <w:lang w:eastAsia="tr-TR"/>
        </w:rPr>
        <w:t>to</w:t>
      </w:r>
      <w:proofErr w:type="spellEnd"/>
      <w:r w:rsidRPr="006355EC">
        <w:rPr>
          <w:lang w:eastAsia="tr-TR"/>
        </w:rPr>
        <w:t xml:space="preserve"> </w:t>
      </w:r>
      <w:proofErr w:type="spellStart"/>
      <w:r w:rsidRPr="006355EC">
        <w:rPr>
          <w:lang w:eastAsia="tr-TR"/>
        </w:rPr>
        <w:t>measure</w:t>
      </w:r>
      <w:proofErr w:type="spellEnd"/>
      <w:r w:rsidRPr="006355EC">
        <w:rPr>
          <w:lang w:eastAsia="tr-TR"/>
        </w:rPr>
        <w:t xml:space="preserve"> </w:t>
      </w:r>
      <w:proofErr w:type="spellStart"/>
      <w:r w:rsidRPr="006355EC">
        <w:rPr>
          <w:lang w:eastAsia="tr-TR"/>
        </w:rPr>
        <w:t>students</w:t>
      </w:r>
      <w:proofErr w:type="spellEnd"/>
      <w:r w:rsidRPr="006355EC">
        <w:rPr>
          <w:lang w:eastAsia="tr-TR"/>
        </w:rPr>
        <w:t xml:space="preserve">' </w:t>
      </w:r>
      <w:proofErr w:type="spellStart"/>
      <w:r w:rsidRPr="006355EC">
        <w:rPr>
          <w:lang w:eastAsia="tr-TR"/>
        </w:rPr>
        <w:t>motivation</w:t>
      </w:r>
      <w:proofErr w:type="spellEnd"/>
      <w:r w:rsidRPr="006355EC">
        <w:rPr>
          <w:lang w:eastAsia="tr-TR"/>
        </w:rPr>
        <w:t xml:space="preserve"> </w:t>
      </w:r>
      <w:proofErr w:type="spellStart"/>
      <w:r w:rsidRPr="006355EC">
        <w:rPr>
          <w:lang w:eastAsia="tr-TR"/>
        </w:rPr>
        <w:t>toward</w:t>
      </w:r>
      <w:proofErr w:type="spellEnd"/>
      <w:r w:rsidRPr="006355EC">
        <w:rPr>
          <w:lang w:eastAsia="tr-TR"/>
        </w:rPr>
        <w:t xml:space="preserve"> </w:t>
      </w:r>
      <w:proofErr w:type="spellStart"/>
      <w:r w:rsidRPr="006355EC">
        <w:rPr>
          <w:lang w:eastAsia="tr-TR"/>
        </w:rPr>
        <w:t>science</w:t>
      </w:r>
      <w:proofErr w:type="spellEnd"/>
      <w:r w:rsidRPr="006355EC">
        <w:rPr>
          <w:lang w:eastAsia="tr-TR"/>
        </w:rPr>
        <w:t xml:space="preserve"> </w:t>
      </w:r>
      <w:proofErr w:type="spellStart"/>
      <w:r w:rsidRPr="006355EC">
        <w:rPr>
          <w:lang w:eastAsia="tr-TR"/>
        </w:rPr>
        <w:t>learning</w:t>
      </w:r>
      <w:proofErr w:type="spellEnd"/>
      <w:r w:rsidRPr="006355EC">
        <w:rPr>
          <w:lang w:eastAsia="tr-TR"/>
        </w:rPr>
        <w:t xml:space="preserve">. </w:t>
      </w:r>
      <w:r w:rsidRPr="006355EC">
        <w:rPr>
          <w:i/>
          <w:iCs/>
          <w:lang w:eastAsia="tr-TR"/>
        </w:rPr>
        <w:t xml:space="preserve">International </w:t>
      </w:r>
      <w:proofErr w:type="spellStart"/>
      <w:r w:rsidRPr="006355EC">
        <w:rPr>
          <w:i/>
          <w:iCs/>
          <w:lang w:eastAsia="tr-TR"/>
        </w:rPr>
        <w:t>Journal</w:t>
      </w:r>
      <w:proofErr w:type="spellEnd"/>
      <w:r w:rsidRPr="006355EC">
        <w:rPr>
          <w:i/>
          <w:iCs/>
          <w:lang w:eastAsia="tr-TR"/>
        </w:rPr>
        <w:t xml:space="preserve"> of </w:t>
      </w:r>
      <w:proofErr w:type="spellStart"/>
      <w:r w:rsidRPr="006355EC">
        <w:rPr>
          <w:i/>
          <w:iCs/>
          <w:lang w:eastAsia="tr-TR"/>
        </w:rPr>
        <w:t>Science</w:t>
      </w:r>
      <w:proofErr w:type="spellEnd"/>
      <w:r w:rsidRPr="006355EC">
        <w:rPr>
          <w:i/>
          <w:iCs/>
          <w:lang w:eastAsia="tr-TR"/>
        </w:rPr>
        <w:t xml:space="preserve"> </w:t>
      </w:r>
      <w:proofErr w:type="spellStart"/>
      <w:r w:rsidRPr="006355EC">
        <w:rPr>
          <w:i/>
          <w:iCs/>
          <w:lang w:eastAsia="tr-TR"/>
        </w:rPr>
        <w:t>Education</w:t>
      </w:r>
      <w:proofErr w:type="spellEnd"/>
      <w:r w:rsidRPr="006355EC">
        <w:rPr>
          <w:i/>
          <w:iCs/>
          <w:lang w:eastAsia="tr-TR"/>
        </w:rPr>
        <w:t>, 27</w:t>
      </w:r>
      <w:r w:rsidRPr="006355EC">
        <w:rPr>
          <w:lang w:eastAsia="tr-TR"/>
        </w:rPr>
        <w:t>(6), 639-654.</w:t>
      </w:r>
    </w:p>
    <w:p w:rsidR="006355EC" w:rsidRPr="006355EC" w:rsidRDefault="006355EC" w:rsidP="006355EC">
      <w:pPr>
        <w:tabs>
          <w:tab w:val="left" w:pos="1620"/>
        </w:tabs>
        <w:autoSpaceDE w:val="0"/>
        <w:autoSpaceDN w:val="0"/>
        <w:adjustRightInd w:val="0"/>
        <w:spacing w:before="60" w:after="60" w:line="360" w:lineRule="auto"/>
        <w:ind w:left="567" w:right="-2" w:hanging="567"/>
        <w:jc w:val="both"/>
        <w:rPr>
          <w:lang w:eastAsia="tr-TR"/>
        </w:rPr>
      </w:pPr>
      <w:proofErr w:type="spellStart"/>
      <w:r w:rsidRPr="006355EC">
        <w:rPr>
          <w:lang w:eastAsia="tr-TR"/>
        </w:rPr>
        <w:t>Vansteenkiste</w:t>
      </w:r>
      <w:proofErr w:type="spellEnd"/>
      <w:r w:rsidRPr="006355EC">
        <w:rPr>
          <w:lang w:eastAsia="tr-TR"/>
        </w:rPr>
        <w:t xml:space="preserve">, M., </w:t>
      </w:r>
      <w:proofErr w:type="spellStart"/>
      <w:r w:rsidRPr="006355EC">
        <w:rPr>
          <w:lang w:eastAsia="tr-TR"/>
        </w:rPr>
        <w:t>Smeets</w:t>
      </w:r>
      <w:proofErr w:type="spellEnd"/>
      <w:r w:rsidRPr="006355EC">
        <w:rPr>
          <w:lang w:eastAsia="tr-TR"/>
        </w:rPr>
        <w:t xml:space="preserve">, S., </w:t>
      </w:r>
      <w:proofErr w:type="spellStart"/>
      <w:r w:rsidRPr="006355EC">
        <w:rPr>
          <w:lang w:eastAsia="tr-TR"/>
        </w:rPr>
        <w:t>Soenens</w:t>
      </w:r>
      <w:proofErr w:type="spellEnd"/>
      <w:r w:rsidRPr="006355EC">
        <w:rPr>
          <w:lang w:eastAsia="tr-TR"/>
        </w:rPr>
        <w:t xml:space="preserve">, B., Lens, W., </w:t>
      </w:r>
      <w:proofErr w:type="spellStart"/>
      <w:r w:rsidRPr="006355EC">
        <w:rPr>
          <w:lang w:eastAsia="tr-TR"/>
        </w:rPr>
        <w:t>Matos</w:t>
      </w:r>
      <w:proofErr w:type="spellEnd"/>
      <w:r w:rsidRPr="006355EC">
        <w:rPr>
          <w:lang w:eastAsia="tr-TR"/>
        </w:rPr>
        <w:t xml:space="preserve">, L., &amp; </w:t>
      </w:r>
      <w:proofErr w:type="spellStart"/>
      <w:r w:rsidRPr="006355EC">
        <w:rPr>
          <w:lang w:eastAsia="tr-TR"/>
        </w:rPr>
        <w:t>Deci</w:t>
      </w:r>
      <w:proofErr w:type="spellEnd"/>
      <w:r w:rsidRPr="006355EC">
        <w:rPr>
          <w:lang w:eastAsia="tr-TR"/>
        </w:rPr>
        <w:t xml:space="preserve">, E. L. (2010). </w:t>
      </w:r>
      <w:proofErr w:type="spellStart"/>
      <w:r w:rsidRPr="006355EC">
        <w:rPr>
          <w:lang w:eastAsia="tr-TR"/>
        </w:rPr>
        <w:t>Autonomous</w:t>
      </w:r>
      <w:proofErr w:type="spellEnd"/>
      <w:r w:rsidRPr="006355EC">
        <w:rPr>
          <w:lang w:eastAsia="tr-TR"/>
        </w:rPr>
        <w:t xml:space="preserve"> </w:t>
      </w:r>
      <w:proofErr w:type="spellStart"/>
      <w:r w:rsidRPr="006355EC">
        <w:rPr>
          <w:lang w:eastAsia="tr-TR"/>
        </w:rPr>
        <w:t>and</w:t>
      </w:r>
      <w:proofErr w:type="spellEnd"/>
      <w:r w:rsidRPr="006355EC">
        <w:rPr>
          <w:lang w:eastAsia="tr-TR"/>
        </w:rPr>
        <w:t xml:space="preserve"> </w:t>
      </w:r>
      <w:proofErr w:type="spellStart"/>
      <w:r w:rsidRPr="006355EC">
        <w:rPr>
          <w:lang w:eastAsia="tr-TR"/>
        </w:rPr>
        <w:t>controlled</w:t>
      </w:r>
      <w:proofErr w:type="spellEnd"/>
      <w:r w:rsidRPr="006355EC">
        <w:rPr>
          <w:lang w:eastAsia="tr-TR"/>
        </w:rPr>
        <w:t xml:space="preserve"> </w:t>
      </w:r>
      <w:proofErr w:type="spellStart"/>
      <w:r w:rsidRPr="006355EC">
        <w:rPr>
          <w:lang w:eastAsia="tr-TR"/>
        </w:rPr>
        <w:t>regulation</w:t>
      </w:r>
      <w:proofErr w:type="spellEnd"/>
      <w:r w:rsidRPr="006355EC">
        <w:rPr>
          <w:lang w:eastAsia="tr-TR"/>
        </w:rPr>
        <w:t xml:space="preserve"> of </w:t>
      </w:r>
      <w:proofErr w:type="spellStart"/>
      <w:r w:rsidRPr="006355EC">
        <w:rPr>
          <w:lang w:eastAsia="tr-TR"/>
        </w:rPr>
        <w:t>performance-approach</w:t>
      </w:r>
      <w:proofErr w:type="spellEnd"/>
      <w:r w:rsidRPr="006355EC">
        <w:rPr>
          <w:lang w:eastAsia="tr-TR"/>
        </w:rPr>
        <w:t xml:space="preserve"> </w:t>
      </w:r>
      <w:proofErr w:type="spellStart"/>
      <w:r w:rsidRPr="006355EC">
        <w:rPr>
          <w:lang w:eastAsia="tr-TR"/>
        </w:rPr>
        <w:t>goals</w:t>
      </w:r>
      <w:proofErr w:type="spellEnd"/>
      <w:r w:rsidRPr="006355EC">
        <w:rPr>
          <w:lang w:eastAsia="tr-TR"/>
        </w:rPr>
        <w:t xml:space="preserve">: </w:t>
      </w:r>
      <w:proofErr w:type="spellStart"/>
      <w:r w:rsidRPr="006355EC">
        <w:rPr>
          <w:lang w:eastAsia="tr-TR"/>
        </w:rPr>
        <w:t>their</w:t>
      </w:r>
      <w:proofErr w:type="spellEnd"/>
      <w:r w:rsidRPr="006355EC">
        <w:rPr>
          <w:lang w:eastAsia="tr-TR"/>
        </w:rPr>
        <w:t xml:space="preserve"> </w:t>
      </w:r>
      <w:proofErr w:type="spellStart"/>
      <w:r w:rsidRPr="006355EC">
        <w:rPr>
          <w:lang w:eastAsia="tr-TR"/>
        </w:rPr>
        <w:t>relations</w:t>
      </w:r>
      <w:proofErr w:type="spellEnd"/>
      <w:r w:rsidRPr="006355EC">
        <w:rPr>
          <w:lang w:eastAsia="tr-TR"/>
        </w:rPr>
        <w:t xml:space="preserve"> </w:t>
      </w:r>
      <w:proofErr w:type="spellStart"/>
      <w:r w:rsidRPr="006355EC">
        <w:rPr>
          <w:lang w:eastAsia="tr-TR"/>
        </w:rPr>
        <w:t>to</w:t>
      </w:r>
      <w:proofErr w:type="spellEnd"/>
      <w:r w:rsidRPr="006355EC">
        <w:rPr>
          <w:lang w:eastAsia="tr-TR"/>
        </w:rPr>
        <w:t xml:space="preserve"> </w:t>
      </w:r>
      <w:proofErr w:type="spellStart"/>
      <w:r w:rsidRPr="006355EC">
        <w:rPr>
          <w:lang w:eastAsia="tr-TR"/>
        </w:rPr>
        <w:t>perfectionism</w:t>
      </w:r>
      <w:proofErr w:type="spellEnd"/>
      <w:r w:rsidRPr="006355EC">
        <w:rPr>
          <w:lang w:eastAsia="tr-TR"/>
        </w:rPr>
        <w:t xml:space="preserve"> </w:t>
      </w:r>
      <w:proofErr w:type="spellStart"/>
      <w:r w:rsidRPr="006355EC">
        <w:rPr>
          <w:lang w:eastAsia="tr-TR"/>
        </w:rPr>
        <w:t>and</w:t>
      </w:r>
      <w:proofErr w:type="spellEnd"/>
      <w:r w:rsidRPr="006355EC">
        <w:rPr>
          <w:lang w:eastAsia="tr-TR"/>
        </w:rPr>
        <w:t xml:space="preserve"> </w:t>
      </w:r>
      <w:proofErr w:type="spellStart"/>
      <w:r w:rsidRPr="006355EC">
        <w:rPr>
          <w:lang w:eastAsia="tr-TR"/>
        </w:rPr>
        <w:t>educational</w:t>
      </w:r>
      <w:proofErr w:type="spellEnd"/>
      <w:r w:rsidRPr="006355EC">
        <w:rPr>
          <w:lang w:eastAsia="tr-TR"/>
        </w:rPr>
        <w:t xml:space="preserve"> </w:t>
      </w:r>
      <w:proofErr w:type="spellStart"/>
      <w:r w:rsidRPr="006355EC">
        <w:rPr>
          <w:lang w:eastAsia="tr-TR"/>
        </w:rPr>
        <w:t>outcomes</w:t>
      </w:r>
      <w:proofErr w:type="spellEnd"/>
      <w:r w:rsidRPr="006355EC">
        <w:rPr>
          <w:lang w:eastAsia="tr-TR"/>
        </w:rPr>
        <w:t xml:space="preserve">. </w:t>
      </w:r>
      <w:proofErr w:type="spellStart"/>
      <w:r w:rsidRPr="006355EC">
        <w:rPr>
          <w:i/>
          <w:iCs/>
          <w:lang w:eastAsia="tr-TR"/>
        </w:rPr>
        <w:t>Motivation</w:t>
      </w:r>
      <w:proofErr w:type="spellEnd"/>
      <w:r w:rsidRPr="006355EC">
        <w:rPr>
          <w:i/>
          <w:iCs/>
          <w:lang w:eastAsia="tr-TR"/>
        </w:rPr>
        <w:t xml:space="preserve"> </w:t>
      </w:r>
      <w:proofErr w:type="spellStart"/>
      <w:r w:rsidRPr="006355EC">
        <w:rPr>
          <w:i/>
          <w:iCs/>
          <w:lang w:eastAsia="tr-TR"/>
        </w:rPr>
        <w:t>and</w:t>
      </w:r>
      <w:proofErr w:type="spellEnd"/>
      <w:r w:rsidRPr="006355EC">
        <w:rPr>
          <w:i/>
          <w:iCs/>
          <w:lang w:eastAsia="tr-TR"/>
        </w:rPr>
        <w:t xml:space="preserve"> </w:t>
      </w:r>
      <w:proofErr w:type="spellStart"/>
      <w:r w:rsidRPr="006355EC">
        <w:rPr>
          <w:i/>
          <w:iCs/>
          <w:lang w:eastAsia="tr-TR"/>
        </w:rPr>
        <w:t>Emotion</w:t>
      </w:r>
      <w:proofErr w:type="spellEnd"/>
      <w:r w:rsidRPr="006355EC">
        <w:rPr>
          <w:i/>
          <w:iCs/>
          <w:lang w:eastAsia="tr-TR"/>
        </w:rPr>
        <w:t>, 34</w:t>
      </w:r>
      <w:r w:rsidRPr="006355EC">
        <w:rPr>
          <w:lang w:eastAsia="tr-TR"/>
        </w:rPr>
        <w:t>(4), 333–353. https://doi.org/10.1007/s11031- 010-9188-3</w:t>
      </w:r>
    </w:p>
    <w:p w:rsidR="006355EC" w:rsidRPr="006355EC" w:rsidRDefault="006355EC" w:rsidP="006355EC">
      <w:pPr>
        <w:tabs>
          <w:tab w:val="left" w:pos="1620"/>
        </w:tabs>
        <w:autoSpaceDE w:val="0"/>
        <w:autoSpaceDN w:val="0"/>
        <w:adjustRightInd w:val="0"/>
        <w:spacing w:before="60" w:after="60" w:line="360" w:lineRule="auto"/>
        <w:ind w:left="567" w:right="-2" w:hanging="567"/>
        <w:jc w:val="both"/>
        <w:rPr>
          <w:lang w:eastAsia="tr-TR"/>
        </w:rPr>
      </w:pPr>
      <w:proofErr w:type="spellStart"/>
      <w:r w:rsidRPr="006355EC">
        <w:rPr>
          <w:lang w:eastAsia="tr-TR"/>
        </w:rPr>
        <w:t>Vanthournout</w:t>
      </w:r>
      <w:proofErr w:type="spellEnd"/>
      <w:r w:rsidRPr="006355EC">
        <w:rPr>
          <w:lang w:eastAsia="tr-TR"/>
        </w:rPr>
        <w:t xml:space="preserve">, G., </w:t>
      </w:r>
      <w:proofErr w:type="spellStart"/>
      <w:r w:rsidRPr="006355EC">
        <w:rPr>
          <w:lang w:eastAsia="tr-TR"/>
        </w:rPr>
        <w:t>Gijbels</w:t>
      </w:r>
      <w:proofErr w:type="spellEnd"/>
      <w:r w:rsidRPr="006355EC">
        <w:rPr>
          <w:lang w:eastAsia="tr-TR"/>
        </w:rPr>
        <w:t xml:space="preserve">, D., </w:t>
      </w:r>
      <w:proofErr w:type="spellStart"/>
      <w:r w:rsidRPr="006355EC">
        <w:rPr>
          <w:lang w:eastAsia="tr-TR"/>
        </w:rPr>
        <w:t>Coertjens</w:t>
      </w:r>
      <w:proofErr w:type="spellEnd"/>
      <w:r w:rsidRPr="006355EC">
        <w:rPr>
          <w:lang w:eastAsia="tr-TR"/>
        </w:rPr>
        <w:t xml:space="preserve">, L., </w:t>
      </w:r>
      <w:proofErr w:type="spellStart"/>
      <w:r w:rsidRPr="006355EC">
        <w:rPr>
          <w:lang w:eastAsia="tr-TR"/>
        </w:rPr>
        <w:t>Donche</w:t>
      </w:r>
      <w:proofErr w:type="spellEnd"/>
      <w:r w:rsidRPr="006355EC">
        <w:rPr>
          <w:lang w:eastAsia="tr-TR"/>
        </w:rPr>
        <w:t xml:space="preserve">, V., &amp; Van </w:t>
      </w:r>
      <w:proofErr w:type="spellStart"/>
      <w:r w:rsidRPr="006355EC">
        <w:rPr>
          <w:lang w:eastAsia="tr-TR"/>
        </w:rPr>
        <w:t>Petegem</w:t>
      </w:r>
      <w:proofErr w:type="spellEnd"/>
      <w:r w:rsidRPr="006355EC">
        <w:rPr>
          <w:lang w:eastAsia="tr-TR"/>
        </w:rPr>
        <w:t xml:space="preserve">, P. (2012). </w:t>
      </w:r>
      <w:proofErr w:type="spellStart"/>
      <w:r w:rsidRPr="006355EC">
        <w:rPr>
          <w:lang w:eastAsia="tr-TR"/>
        </w:rPr>
        <w:t>Students</w:t>
      </w:r>
      <w:proofErr w:type="spellEnd"/>
      <w:r w:rsidRPr="006355EC">
        <w:rPr>
          <w:lang w:eastAsia="tr-TR"/>
        </w:rPr>
        <w:t xml:space="preserve">’ </w:t>
      </w:r>
      <w:proofErr w:type="spellStart"/>
      <w:r w:rsidRPr="006355EC">
        <w:rPr>
          <w:lang w:eastAsia="tr-TR"/>
        </w:rPr>
        <w:t>persistence</w:t>
      </w:r>
      <w:proofErr w:type="spellEnd"/>
      <w:r w:rsidRPr="006355EC">
        <w:rPr>
          <w:lang w:eastAsia="tr-TR"/>
        </w:rPr>
        <w:t xml:space="preserve"> </w:t>
      </w:r>
      <w:proofErr w:type="spellStart"/>
      <w:r w:rsidRPr="006355EC">
        <w:rPr>
          <w:lang w:eastAsia="tr-TR"/>
        </w:rPr>
        <w:t>and</w:t>
      </w:r>
      <w:proofErr w:type="spellEnd"/>
      <w:r w:rsidRPr="006355EC">
        <w:rPr>
          <w:lang w:eastAsia="tr-TR"/>
        </w:rPr>
        <w:t xml:space="preserve"> </w:t>
      </w:r>
      <w:proofErr w:type="spellStart"/>
      <w:r w:rsidRPr="006355EC">
        <w:rPr>
          <w:lang w:eastAsia="tr-TR"/>
        </w:rPr>
        <w:t>academic</w:t>
      </w:r>
      <w:proofErr w:type="spellEnd"/>
      <w:r w:rsidRPr="006355EC">
        <w:rPr>
          <w:lang w:eastAsia="tr-TR"/>
        </w:rPr>
        <w:t xml:space="preserve"> </w:t>
      </w:r>
      <w:proofErr w:type="spellStart"/>
      <w:r w:rsidRPr="006355EC">
        <w:rPr>
          <w:lang w:eastAsia="tr-TR"/>
        </w:rPr>
        <w:t>success</w:t>
      </w:r>
      <w:proofErr w:type="spellEnd"/>
      <w:r w:rsidRPr="006355EC">
        <w:rPr>
          <w:lang w:eastAsia="tr-TR"/>
        </w:rPr>
        <w:t xml:space="preserve"> in a </w:t>
      </w:r>
      <w:proofErr w:type="spellStart"/>
      <w:r w:rsidRPr="006355EC">
        <w:rPr>
          <w:lang w:eastAsia="tr-TR"/>
        </w:rPr>
        <w:t>first</w:t>
      </w:r>
      <w:proofErr w:type="spellEnd"/>
      <w:r w:rsidRPr="006355EC">
        <w:rPr>
          <w:lang w:eastAsia="tr-TR"/>
        </w:rPr>
        <w:t xml:space="preserve"> </w:t>
      </w:r>
      <w:proofErr w:type="spellStart"/>
      <w:r w:rsidRPr="006355EC">
        <w:rPr>
          <w:lang w:eastAsia="tr-TR"/>
        </w:rPr>
        <w:t>year</w:t>
      </w:r>
      <w:proofErr w:type="spellEnd"/>
      <w:r w:rsidRPr="006355EC">
        <w:rPr>
          <w:lang w:eastAsia="tr-TR"/>
        </w:rPr>
        <w:t xml:space="preserve"> </w:t>
      </w:r>
      <w:proofErr w:type="spellStart"/>
      <w:r w:rsidRPr="006355EC">
        <w:rPr>
          <w:lang w:eastAsia="tr-TR"/>
        </w:rPr>
        <w:t>professional</w:t>
      </w:r>
      <w:proofErr w:type="spellEnd"/>
      <w:r w:rsidRPr="006355EC">
        <w:rPr>
          <w:lang w:eastAsia="tr-TR"/>
        </w:rPr>
        <w:t xml:space="preserve"> </w:t>
      </w:r>
      <w:proofErr w:type="spellStart"/>
      <w:r w:rsidRPr="006355EC">
        <w:rPr>
          <w:lang w:eastAsia="tr-TR"/>
        </w:rPr>
        <w:t>bachelor</w:t>
      </w:r>
      <w:proofErr w:type="spellEnd"/>
      <w:r w:rsidRPr="006355EC">
        <w:rPr>
          <w:lang w:eastAsia="tr-TR"/>
        </w:rPr>
        <w:t xml:space="preserve"> program: </w:t>
      </w:r>
      <w:proofErr w:type="spellStart"/>
      <w:r w:rsidRPr="006355EC">
        <w:rPr>
          <w:lang w:eastAsia="tr-TR"/>
        </w:rPr>
        <w:t>the</w:t>
      </w:r>
      <w:proofErr w:type="spellEnd"/>
      <w:r w:rsidRPr="006355EC">
        <w:rPr>
          <w:lang w:eastAsia="tr-TR"/>
        </w:rPr>
        <w:t xml:space="preserve"> </w:t>
      </w:r>
      <w:proofErr w:type="spellStart"/>
      <w:r w:rsidRPr="006355EC">
        <w:rPr>
          <w:lang w:eastAsia="tr-TR"/>
        </w:rPr>
        <w:t>influence</w:t>
      </w:r>
      <w:proofErr w:type="spellEnd"/>
      <w:r w:rsidRPr="006355EC">
        <w:rPr>
          <w:lang w:eastAsia="tr-TR"/>
        </w:rPr>
        <w:t xml:space="preserve"> of </w:t>
      </w:r>
      <w:proofErr w:type="spellStart"/>
      <w:r w:rsidRPr="006355EC">
        <w:rPr>
          <w:lang w:eastAsia="tr-TR"/>
        </w:rPr>
        <w:t>students</w:t>
      </w:r>
      <w:proofErr w:type="spellEnd"/>
      <w:r w:rsidRPr="006355EC">
        <w:rPr>
          <w:lang w:eastAsia="tr-TR"/>
        </w:rPr>
        <w:t xml:space="preserve">’ </w:t>
      </w:r>
      <w:proofErr w:type="spellStart"/>
      <w:r w:rsidRPr="006355EC">
        <w:rPr>
          <w:lang w:eastAsia="tr-TR"/>
        </w:rPr>
        <w:t>learning</w:t>
      </w:r>
      <w:proofErr w:type="spellEnd"/>
      <w:r w:rsidRPr="006355EC">
        <w:rPr>
          <w:lang w:eastAsia="tr-TR"/>
        </w:rPr>
        <w:t xml:space="preserve"> </w:t>
      </w:r>
      <w:proofErr w:type="spellStart"/>
      <w:r w:rsidRPr="006355EC">
        <w:rPr>
          <w:lang w:eastAsia="tr-TR"/>
        </w:rPr>
        <w:t>strategies</w:t>
      </w:r>
      <w:proofErr w:type="spellEnd"/>
      <w:r w:rsidRPr="006355EC">
        <w:rPr>
          <w:lang w:eastAsia="tr-TR"/>
        </w:rPr>
        <w:t xml:space="preserve"> </w:t>
      </w:r>
      <w:proofErr w:type="spellStart"/>
      <w:r w:rsidRPr="006355EC">
        <w:rPr>
          <w:lang w:eastAsia="tr-TR"/>
        </w:rPr>
        <w:t>and</w:t>
      </w:r>
      <w:proofErr w:type="spellEnd"/>
      <w:r w:rsidRPr="006355EC">
        <w:rPr>
          <w:lang w:eastAsia="tr-TR"/>
        </w:rPr>
        <w:t xml:space="preserve"> </w:t>
      </w:r>
      <w:proofErr w:type="spellStart"/>
      <w:r w:rsidRPr="006355EC">
        <w:rPr>
          <w:lang w:eastAsia="tr-TR"/>
        </w:rPr>
        <w:t>academic</w:t>
      </w:r>
      <w:proofErr w:type="spellEnd"/>
      <w:r w:rsidRPr="006355EC">
        <w:rPr>
          <w:lang w:eastAsia="tr-TR"/>
        </w:rPr>
        <w:t xml:space="preserve"> </w:t>
      </w:r>
      <w:proofErr w:type="spellStart"/>
      <w:r w:rsidRPr="006355EC">
        <w:rPr>
          <w:lang w:eastAsia="tr-TR"/>
        </w:rPr>
        <w:t>motivation</w:t>
      </w:r>
      <w:proofErr w:type="spellEnd"/>
      <w:r w:rsidRPr="006355EC">
        <w:rPr>
          <w:lang w:eastAsia="tr-TR"/>
        </w:rPr>
        <w:t xml:space="preserve">. </w:t>
      </w:r>
      <w:proofErr w:type="spellStart"/>
      <w:r w:rsidRPr="006355EC">
        <w:rPr>
          <w:i/>
          <w:iCs/>
          <w:lang w:eastAsia="tr-TR"/>
        </w:rPr>
        <w:t>Education</w:t>
      </w:r>
      <w:proofErr w:type="spellEnd"/>
      <w:r w:rsidRPr="006355EC">
        <w:rPr>
          <w:i/>
          <w:iCs/>
          <w:lang w:eastAsia="tr-TR"/>
        </w:rPr>
        <w:t xml:space="preserve"> </w:t>
      </w:r>
      <w:proofErr w:type="spellStart"/>
      <w:r w:rsidRPr="006355EC">
        <w:rPr>
          <w:i/>
          <w:iCs/>
          <w:lang w:eastAsia="tr-TR"/>
        </w:rPr>
        <w:t>Research</w:t>
      </w:r>
      <w:proofErr w:type="spellEnd"/>
      <w:r w:rsidRPr="006355EC">
        <w:rPr>
          <w:i/>
          <w:iCs/>
          <w:lang w:eastAsia="tr-TR"/>
        </w:rPr>
        <w:t xml:space="preserve"> International, 2012</w:t>
      </w:r>
      <w:r w:rsidRPr="006355EC">
        <w:rPr>
          <w:lang w:eastAsia="tr-TR"/>
        </w:rPr>
        <w:t xml:space="preserve">, 1–10. </w:t>
      </w:r>
      <w:hyperlink r:id="rId12" w:history="1">
        <w:r w:rsidRPr="006355EC">
          <w:rPr>
            <w:rStyle w:val="Kpr"/>
            <w:lang w:eastAsia="tr-TR"/>
          </w:rPr>
          <w:t>https://doi.org/10.1155/2012/152747</w:t>
        </w:r>
      </w:hyperlink>
      <w:r w:rsidRPr="006355EC">
        <w:rPr>
          <w:lang w:eastAsia="tr-TR"/>
        </w:rPr>
        <w:t>.</w:t>
      </w:r>
    </w:p>
    <w:p w:rsidR="006355EC" w:rsidRPr="006355EC" w:rsidRDefault="006355EC" w:rsidP="006355EC">
      <w:pPr>
        <w:tabs>
          <w:tab w:val="left" w:pos="1620"/>
        </w:tabs>
        <w:autoSpaceDE w:val="0"/>
        <w:autoSpaceDN w:val="0"/>
        <w:adjustRightInd w:val="0"/>
        <w:spacing w:before="60" w:after="60" w:line="360" w:lineRule="auto"/>
        <w:ind w:left="567" w:right="-2" w:hanging="567"/>
        <w:jc w:val="both"/>
        <w:rPr>
          <w:lang w:eastAsia="tr-TR"/>
        </w:rPr>
      </w:pPr>
      <w:proofErr w:type="spellStart"/>
      <w:r w:rsidRPr="006355EC">
        <w:rPr>
          <w:lang w:eastAsia="tr-TR"/>
        </w:rPr>
        <w:t>Wang</w:t>
      </w:r>
      <w:proofErr w:type="spellEnd"/>
      <w:r w:rsidRPr="006355EC">
        <w:rPr>
          <w:lang w:eastAsia="tr-TR"/>
        </w:rPr>
        <w:t xml:space="preserve">, Y.-L., &amp; </w:t>
      </w:r>
      <w:proofErr w:type="spellStart"/>
      <w:r w:rsidRPr="006355EC">
        <w:rPr>
          <w:lang w:eastAsia="tr-TR"/>
        </w:rPr>
        <w:t>Tsai</w:t>
      </w:r>
      <w:proofErr w:type="spellEnd"/>
      <w:r w:rsidRPr="006355EC">
        <w:rPr>
          <w:lang w:eastAsia="tr-TR"/>
        </w:rPr>
        <w:t xml:space="preserve">, C.-C. (2016). </w:t>
      </w:r>
      <w:proofErr w:type="spellStart"/>
      <w:r w:rsidRPr="006355EC">
        <w:rPr>
          <w:lang w:eastAsia="tr-TR"/>
        </w:rPr>
        <w:t>Taiwanese</w:t>
      </w:r>
      <w:proofErr w:type="spellEnd"/>
      <w:r w:rsidRPr="006355EC">
        <w:rPr>
          <w:lang w:eastAsia="tr-TR"/>
        </w:rPr>
        <w:t xml:space="preserve"> </w:t>
      </w:r>
      <w:proofErr w:type="spellStart"/>
      <w:r w:rsidRPr="006355EC">
        <w:rPr>
          <w:lang w:eastAsia="tr-TR"/>
        </w:rPr>
        <w:t>students</w:t>
      </w:r>
      <w:proofErr w:type="spellEnd"/>
      <w:r w:rsidRPr="006355EC">
        <w:rPr>
          <w:lang w:eastAsia="tr-TR"/>
        </w:rPr>
        <w:t xml:space="preserve">’ </w:t>
      </w:r>
      <w:proofErr w:type="spellStart"/>
      <w:r w:rsidRPr="006355EC">
        <w:rPr>
          <w:lang w:eastAsia="tr-TR"/>
        </w:rPr>
        <w:t>science</w:t>
      </w:r>
      <w:proofErr w:type="spellEnd"/>
      <w:r w:rsidRPr="006355EC">
        <w:rPr>
          <w:lang w:eastAsia="tr-TR"/>
        </w:rPr>
        <w:t xml:space="preserve"> </w:t>
      </w:r>
      <w:proofErr w:type="spellStart"/>
      <w:r w:rsidRPr="006355EC">
        <w:rPr>
          <w:lang w:eastAsia="tr-TR"/>
        </w:rPr>
        <w:t>learning</w:t>
      </w:r>
      <w:proofErr w:type="spellEnd"/>
      <w:r w:rsidRPr="006355EC">
        <w:rPr>
          <w:lang w:eastAsia="tr-TR"/>
        </w:rPr>
        <w:t xml:space="preserve"> self-</w:t>
      </w:r>
      <w:proofErr w:type="spellStart"/>
      <w:r w:rsidRPr="006355EC">
        <w:rPr>
          <w:lang w:eastAsia="tr-TR"/>
        </w:rPr>
        <w:t>efficacy</w:t>
      </w:r>
      <w:proofErr w:type="spellEnd"/>
      <w:r w:rsidRPr="006355EC">
        <w:rPr>
          <w:lang w:eastAsia="tr-TR"/>
        </w:rPr>
        <w:t xml:space="preserve"> </w:t>
      </w:r>
      <w:proofErr w:type="spellStart"/>
      <w:r w:rsidRPr="006355EC">
        <w:rPr>
          <w:lang w:eastAsia="tr-TR"/>
        </w:rPr>
        <w:t>and</w:t>
      </w:r>
      <w:proofErr w:type="spellEnd"/>
      <w:r w:rsidRPr="006355EC">
        <w:rPr>
          <w:lang w:eastAsia="tr-TR"/>
        </w:rPr>
        <w:t xml:space="preserve"> </w:t>
      </w:r>
      <w:proofErr w:type="spellStart"/>
      <w:r w:rsidRPr="006355EC">
        <w:rPr>
          <w:lang w:eastAsia="tr-TR"/>
        </w:rPr>
        <w:t>teacher</w:t>
      </w:r>
      <w:proofErr w:type="spellEnd"/>
      <w:r w:rsidRPr="006355EC">
        <w:rPr>
          <w:lang w:eastAsia="tr-TR"/>
        </w:rPr>
        <w:t xml:space="preserve"> </w:t>
      </w:r>
      <w:proofErr w:type="spellStart"/>
      <w:r w:rsidRPr="006355EC">
        <w:rPr>
          <w:lang w:eastAsia="tr-TR"/>
        </w:rPr>
        <w:t>and</w:t>
      </w:r>
      <w:proofErr w:type="spellEnd"/>
      <w:r w:rsidRPr="006355EC">
        <w:rPr>
          <w:lang w:eastAsia="tr-TR"/>
        </w:rPr>
        <w:t xml:space="preserve"> </w:t>
      </w:r>
      <w:proofErr w:type="spellStart"/>
      <w:r w:rsidRPr="006355EC">
        <w:rPr>
          <w:lang w:eastAsia="tr-TR"/>
        </w:rPr>
        <w:t>student</w:t>
      </w:r>
      <w:proofErr w:type="spellEnd"/>
      <w:r w:rsidRPr="006355EC">
        <w:rPr>
          <w:lang w:eastAsia="tr-TR"/>
        </w:rPr>
        <w:t xml:space="preserve"> </w:t>
      </w:r>
      <w:proofErr w:type="spellStart"/>
      <w:r w:rsidRPr="006355EC">
        <w:rPr>
          <w:lang w:eastAsia="tr-TR"/>
        </w:rPr>
        <w:t>science</w:t>
      </w:r>
      <w:proofErr w:type="spellEnd"/>
      <w:r w:rsidRPr="006355EC">
        <w:rPr>
          <w:lang w:eastAsia="tr-TR"/>
        </w:rPr>
        <w:t xml:space="preserve"> </w:t>
      </w:r>
      <w:proofErr w:type="spellStart"/>
      <w:r w:rsidRPr="006355EC">
        <w:rPr>
          <w:lang w:eastAsia="tr-TR"/>
        </w:rPr>
        <w:t>hardiness</w:t>
      </w:r>
      <w:proofErr w:type="spellEnd"/>
      <w:r w:rsidRPr="006355EC">
        <w:rPr>
          <w:lang w:eastAsia="tr-TR"/>
        </w:rPr>
        <w:t xml:space="preserve">: A </w:t>
      </w:r>
      <w:proofErr w:type="spellStart"/>
      <w:r w:rsidRPr="006355EC">
        <w:rPr>
          <w:lang w:eastAsia="tr-TR"/>
        </w:rPr>
        <w:t>multilevel</w:t>
      </w:r>
      <w:proofErr w:type="spellEnd"/>
      <w:r w:rsidRPr="006355EC">
        <w:rPr>
          <w:lang w:eastAsia="tr-TR"/>
        </w:rPr>
        <w:t xml:space="preserve"> model </w:t>
      </w:r>
      <w:proofErr w:type="spellStart"/>
      <w:r w:rsidRPr="006355EC">
        <w:rPr>
          <w:lang w:eastAsia="tr-TR"/>
        </w:rPr>
        <w:t>approach</w:t>
      </w:r>
      <w:proofErr w:type="spellEnd"/>
      <w:r w:rsidRPr="006355EC">
        <w:rPr>
          <w:lang w:eastAsia="tr-TR"/>
        </w:rPr>
        <w:t xml:space="preserve">. </w:t>
      </w:r>
      <w:proofErr w:type="spellStart"/>
      <w:r w:rsidRPr="006355EC">
        <w:rPr>
          <w:i/>
          <w:iCs/>
          <w:lang w:eastAsia="tr-TR"/>
        </w:rPr>
        <w:t>European</w:t>
      </w:r>
      <w:proofErr w:type="spellEnd"/>
      <w:r w:rsidRPr="006355EC">
        <w:rPr>
          <w:i/>
          <w:iCs/>
          <w:lang w:eastAsia="tr-TR"/>
        </w:rPr>
        <w:t xml:space="preserve"> </w:t>
      </w:r>
      <w:proofErr w:type="spellStart"/>
      <w:r w:rsidRPr="006355EC">
        <w:rPr>
          <w:i/>
          <w:iCs/>
          <w:lang w:eastAsia="tr-TR"/>
        </w:rPr>
        <w:t>Journal</w:t>
      </w:r>
      <w:proofErr w:type="spellEnd"/>
      <w:r w:rsidRPr="006355EC">
        <w:rPr>
          <w:i/>
          <w:iCs/>
          <w:lang w:eastAsia="tr-TR"/>
        </w:rPr>
        <w:t xml:space="preserve"> of </w:t>
      </w:r>
      <w:proofErr w:type="spellStart"/>
      <w:r w:rsidRPr="006355EC">
        <w:rPr>
          <w:i/>
          <w:iCs/>
          <w:lang w:eastAsia="tr-TR"/>
        </w:rPr>
        <w:t>Psychology</w:t>
      </w:r>
      <w:proofErr w:type="spellEnd"/>
      <w:r w:rsidRPr="006355EC">
        <w:rPr>
          <w:i/>
          <w:iCs/>
          <w:lang w:eastAsia="tr-TR"/>
        </w:rPr>
        <w:t xml:space="preserve"> of </w:t>
      </w:r>
      <w:proofErr w:type="spellStart"/>
      <w:r w:rsidRPr="006355EC">
        <w:rPr>
          <w:i/>
          <w:iCs/>
          <w:lang w:eastAsia="tr-TR"/>
        </w:rPr>
        <w:t>Education</w:t>
      </w:r>
      <w:proofErr w:type="spellEnd"/>
      <w:r w:rsidRPr="006355EC">
        <w:rPr>
          <w:i/>
          <w:iCs/>
          <w:lang w:eastAsia="tr-TR"/>
        </w:rPr>
        <w:t>, 31</w:t>
      </w:r>
      <w:r w:rsidRPr="006355EC">
        <w:rPr>
          <w:lang w:eastAsia="tr-TR"/>
        </w:rPr>
        <w:t xml:space="preserve">(4), 537–555. </w:t>
      </w:r>
      <w:hyperlink r:id="rId13" w:history="1">
        <w:r w:rsidRPr="006355EC">
          <w:rPr>
            <w:rStyle w:val="Kpr"/>
            <w:lang w:eastAsia="tr-TR"/>
          </w:rPr>
          <w:t>https://doi.org/10.1007/s10212-015-0285-2</w:t>
        </w:r>
      </w:hyperlink>
      <w:r w:rsidRPr="006355EC">
        <w:rPr>
          <w:lang w:eastAsia="tr-TR"/>
        </w:rPr>
        <w:t>.</w:t>
      </w:r>
    </w:p>
    <w:p w:rsidR="006355EC" w:rsidRDefault="006355EC" w:rsidP="006355EC">
      <w:pPr>
        <w:tabs>
          <w:tab w:val="left" w:pos="1620"/>
        </w:tabs>
        <w:autoSpaceDE w:val="0"/>
        <w:autoSpaceDN w:val="0"/>
        <w:adjustRightInd w:val="0"/>
        <w:spacing w:before="60" w:after="60" w:line="360" w:lineRule="auto"/>
        <w:ind w:left="567" w:right="-2" w:hanging="567"/>
        <w:jc w:val="both"/>
        <w:rPr>
          <w:lang w:eastAsia="tr-TR"/>
        </w:rPr>
      </w:pPr>
      <w:proofErr w:type="spellStart"/>
      <w:r w:rsidRPr="006355EC">
        <w:rPr>
          <w:lang w:eastAsia="tr-TR"/>
        </w:rPr>
        <w:t>Wu</w:t>
      </w:r>
      <w:proofErr w:type="spellEnd"/>
      <w:r w:rsidRPr="006355EC">
        <w:rPr>
          <w:lang w:eastAsia="tr-TR"/>
        </w:rPr>
        <w:t xml:space="preserve">, T. Y., </w:t>
      </w:r>
      <w:proofErr w:type="spellStart"/>
      <w:r w:rsidRPr="006355EC">
        <w:rPr>
          <w:lang w:eastAsia="tr-TR"/>
        </w:rPr>
        <w:t>Tuan</w:t>
      </w:r>
      <w:proofErr w:type="spellEnd"/>
      <w:r w:rsidRPr="006355EC">
        <w:rPr>
          <w:lang w:eastAsia="tr-TR"/>
        </w:rPr>
        <w:t xml:space="preserve">, H. L., </w:t>
      </w:r>
      <w:proofErr w:type="spellStart"/>
      <w:r w:rsidRPr="006355EC">
        <w:rPr>
          <w:lang w:eastAsia="tr-TR"/>
        </w:rPr>
        <w:t>Hsieh</w:t>
      </w:r>
      <w:proofErr w:type="spellEnd"/>
      <w:r w:rsidRPr="006355EC">
        <w:rPr>
          <w:lang w:eastAsia="tr-TR"/>
        </w:rPr>
        <w:t xml:space="preserve">, C. H., &amp; </w:t>
      </w:r>
      <w:proofErr w:type="spellStart"/>
      <w:r w:rsidRPr="006355EC">
        <w:rPr>
          <w:lang w:eastAsia="tr-TR"/>
        </w:rPr>
        <w:t>Chin</w:t>
      </w:r>
      <w:proofErr w:type="spellEnd"/>
      <w:r w:rsidRPr="006355EC">
        <w:rPr>
          <w:lang w:eastAsia="tr-TR"/>
        </w:rPr>
        <w:t xml:space="preserve">, C. C. (2013). </w:t>
      </w:r>
      <w:proofErr w:type="spellStart"/>
      <w:r w:rsidRPr="006355EC">
        <w:rPr>
          <w:i/>
          <w:iCs/>
          <w:lang w:eastAsia="tr-TR"/>
        </w:rPr>
        <w:t>The</w:t>
      </w:r>
      <w:proofErr w:type="spellEnd"/>
      <w:r w:rsidRPr="006355EC">
        <w:rPr>
          <w:i/>
          <w:iCs/>
          <w:lang w:eastAsia="tr-TR"/>
        </w:rPr>
        <w:t xml:space="preserve"> </w:t>
      </w:r>
      <w:proofErr w:type="spellStart"/>
      <w:r w:rsidRPr="006355EC">
        <w:rPr>
          <w:i/>
          <w:iCs/>
          <w:lang w:eastAsia="tr-TR"/>
        </w:rPr>
        <w:t>validation</w:t>
      </w:r>
      <w:proofErr w:type="spellEnd"/>
      <w:r w:rsidRPr="006355EC">
        <w:rPr>
          <w:i/>
          <w:iCs/>
          <w:lang w:eastAsia="tr-TR"/>
        </w:rPr>
        <w:t xml:space="preserve"> of </w:t>
      </w:r>
      <w:proofErr w:type="spellStart"/>
      <w:r w:rsidRPr="006355EC">
        <w:rPr>
          <w:i/>
          <w:iCs/>
          <w:lang w:eastAsia="tr-TR"/>
        </w:rPr>
        <w:t>the</w:t>
      </w:r>
      <w:proofErr w:type="spellEnd"/>
      <w:r w:rsidRPr="006355EC">
        <w:rPr>
          <w:i/>
          <w:iCs/>
          <w:lang w:eastAsia="tr-TR"/>
        </w:rPr>
        <w:t xml:space="preserve"> </w:t>
      </w:r>
      <w:proofErr w:type="spellStart"/>
      <w:r w:rsidRPr="006355EC">
        <w:rPr>
          <w:i/>
          <w:iCs/>
          <w:lang w:eastAsia="tr-TR"/>
        </w:rPr>
        <w:t>questionnaire</w:t>
      </w:r>
      <w:proofErr w:type="spellEnd"/>
      <w:r w:rsidRPr="006355EC">
        <w:rPr>
          <w:i/>
          <w:iCs/>
          <w:lang w:eastAsia="tr-TR"/>
        </w:rPr>
        <w:t xml:space="preserve"> of </w:t>
      </w:r>
      <w:proofErr w:type="spellStart"/>
      <w:r w:rsidRPr="006355EC">
        <w:rPr>
          <w:i/>
          <w:iCs/>
          <w:lang w:eastAsia="tr-TR"/>
        </w:rPr>
        <w:t>science</w:t>
      </w:r>
      <w:proofErr w:type="spellEnd"/>
      <w:r w:rsidRPr="006355EC">
        <w:rPr>
          <w:i/>
          <w:iCs/>
          <w:lang w:eastAsia="tr-TR"/>
        </w:rPr>
        <w:t xml:space="preserve"> </w:t>
      </w:r>
      <w:proofErr w:type="spellStart"/>
      <w:r w:rsidRPr="006355EC">
        <w:rPr>
          <w:i/>
          <w:iCs/>
          <w:lang w:eastAsia="tr-TR"/>
        </w:rPr>
        <w:t>teacher's</w:t>
      </w:r>
      <w:proofErr w:type="spellEnd"/>
      <w:r w:rsidRPr="006355EC">
        <w:rPr>
          <w:i/>
          <w:iCs/>
          <w:lang w:eastAsia="tr-TR"/>
        </w:rPr>
        <w:t xml:space="preserve"> </w:t>
      </w:r>
      <w:proofErr w:type="spellStart"/>
      <w:r w:rsidRPr="006355EC">
        <w:rPr>
          <w:i/>
          <w:iCs/>
          <w:lang w:eastAsia="tr-TR"/>
        </w:rPr>
        <w:t>perception</w:t>
      </w:r>
      <w:proofErr w:type="spellEnd"/>
      <w:r w:rsidRPr="006355EC">
        <w:rPr>
          <w:i/>
          <w:iCs/>
          <w:lang w:eastAsia="tr-TR"/>
        </w:rPr>
        <w:t xml:space="preserve"> on </w:t>
      </w:r>
      <w:proofErr w:type="spellStart"/>
      <w:r w:rsidRPr="006355EC">
        <w:rPr>
          <w:i/>
          <w:iCs/>
          <w:lang w:eastAsia="tr-TR"/>
        </w:rPr>
        <w:t>low-achiever's</w:t>
      </w:r>
      <w:proofErr w:type="spellEnd"/>
      <w:r w:rsidRPr="006355EC">
        <w:rPr>
          <w:i/>
          <w:iCs/>
          <w:lang w:eastAsia="tr-TR"/>
        </w:rPr>
        <w:t xml:space="preserve"> </w:t>
      </w:r>
      <w:proofErr w:type="spellStart"/>
      <w:r w:rsidRPr="006355EC">
        <w:rPr>
          <w:i/>
          <w:iCs/>
          <w:lang w:eastAsia="tr-TR"/>
        </w:rPr>
        <w:t>need</w:t>
      </w:r>
      <w:proofErr w:type="spellEnd"/>
      <w:r w:rsidRPr="006355EC">
        <w:rPr>
          <w:i/>
          <w:iCs/>
          <w:lang w:eastAsia="tr-TR"/>
        </w:rPr>
        <w:t>.</w:t>
      </w:r>
      <w:r w:rsidRPr="006355EC">
        <w:rPr>
          <w:lang w:eastAsia="tr-TR"/>
        </w:rPr>
        <w:t xml:space="preserve"> </w:t>
      </w:r>
      <w:proofErr w:type="spellStart"/>
      <w:r w:rsidRPr="006355EC">
        <w:rPr>
          <w:lang w:eastAsia="tr-TR"/>
        </w:rPr>
        <w:t>Paper</w:t>
      </w:r>
      <w:proofErr w:type="spellEnd"/>
      <w:r w:rsidRPr="006355EC">
        <w:rPr>
          <w:lang w:eastAsia="tr-TR"/>
        </w:rPr>
        <w:t xml:space="preserve"> </w:t>
      </w:r>
      <w:proofErr w:type="spellStart"/>
      <w:r w:rsidRPr="006355EC">
        <w:rPr>
          <w:lang w:eastAsia="tr-TR"/>
        </w:rPr>
        <w:lastRenderedPageBreak/>
        <w:t>presented</w:t>
      </w:r>
      <w:proofErr w:type="spellEnd"/>
      <w:r w:rsidRPr="006355EC">
        <w:rPr>
          <w:lang w:eastAsia="tr-TR"/>
        </w:rPr>
        <w:t xml:space="preserve"> at </w:t>
      </w:r>
      <w:proofErr w:type="spellStart"/>
      <w:r w:rsidRPr="006355EC">
        <w:rPr>
          <w:lang w:eastAsia="tr-TR"/>
        </w:rPr>
        <w:t>the</w:t>
      </w:r>
      <w:proofErr w:type="spellEnd"/>
      <w:r w:rsidRPr="006355EC">
        <w:rPr>
          <w:lang w:eastAsia="tr-TR"/>
        </w:rPr>
        <w:t xml:space="preserve"> Third International Conference of East-</w:t>
      </w:r>
      <w:proofErr w:type="spellStart"/>
      <w:r w:rsidRPr="006355EC">
        <w:rPr>
          <w:lang w:eastAsia="tr-TR"/>
        </w:rPr>
        <w:t>Asian</w:t>
      </w:r>
      <w:proofErr w:type="spellEnd"/>
      <w:r w:rsidRPr="006355EC">
        <w:rPr>
          <w:lang w:eastAsia="tr-TR"/>
        </w:rPr>
        <w:t xml:space="preserve"> </w:t>
      </w:r>
      <w:proofErr w:type="spellStart"/>
      <w:r w:rsidRPr="006355EC">
        <w:rPr>
          <w:lang w:eastAsia="tr-TR"/>
        </w:rPr>
        <w:t>Association</w:t>
      </w:r>
      <w:proofErr w:type="spellEnd"/>
      <w:r w:rsidRPr="006355EC">
        <w:rPr>
          <w:lang w:eastAsia="tr-TR"/>
        </w:rPr>
        <w:t xml:space="preserve"> </w:t>
      </w:r>
      <w:proofErr w:type="spellStart"/>
      <w:r w:rsidRPr="006355EC">
        <w:rPr>
          <w:lang w:eastAsia="tr-TR"/>
        </w:rPr>
        <w:t>for</w:t>
      </w:r>
      <w:proofErr w:type="spellEnd"/>
      <w:r w:rsidRPr="006355EC">
        <w:rPr>
          <w:lang w:eastAsia="tr-TR"/>
        </w:rPr>
        <w:t xml:space="preserve"> </w:t>
      </w:r>
      <w:proofErr w:type="spellStart"/>
      <w:r w:rsidRPr="006355EC">
        <w:rPr>
          <w:lang w:eastAsia="tr-TR"/>
        </w:rPr>
        <w:t>Science</w:t>
      </w:r>
      <w:proofErr w:type="spellEnd"/>
      <w:r w:rsidRPr="006355EC">
        <w:rPr>
          <w:lang w:eastAsia="tr-TR"/>
        </w:rPr>
        <w:t xml:space="preserve"> </w:t>
      </w:r>
      <w:proofErr w:type="spellStart"/>
      <w:r w:rsidRPr="006355EC">
        <w:rPr>
          <w:lang w:eastAsia="tr-TR"/>
        </w:rPr>
        <w:t>Education</w:t>
      </w:r>
      <w:proofErr w:type="spellEnd"/>
      <w:r w:rsidRPr="006355EC">
        <w:rPr>
          <w:lang w:eastAsia="tr-TR"/>
        </w:rPr>
        <w:t xml:space="preserve">, Hong-Kong, </w:t>
      </w:r>
      <w:proofErr w:type="spellStart"/>
      <w:r w:rsidRPr="006355EC">
        <w:rPr>
          <w:lang w:eastAsia="tr-TR"/>
        </w:rPr>
        <w:t>China</w:t>
      </w:r>
      <w:proofErr w:type="spellEnd"/>
      <w:r w:rsidRPr="006355EC">
        <w:rPr>
          <w:lang w:eastAsia="tr-TR"/>
        </w:rPr>
        <w:t>.</w:t>
      </w:r>
    </w:p>
    <w:p w:rsidR="001707BF" w:rsidRPr="006355EC" w:rsidRDefault="001707BF" w:rsidP="006355EC">
      <w:pPr>
        <w:tabs>
          <w:tab w:val="left" w:pos="1620"/>
        </w:tabs>
        <w:autoSpaceDE w:val="0"/>
        <w:autoSpaceDN w:val="0"/>
        <w:adjustRightInd w:val="0"/>
        <w:spacing w:before="60" w:after="60" w:line="360" w:lineRule="auto"/>
        <w:ind w:left="567" w:right="-2" w:hanging="567"/>
        <w:jc w:val="both"/>
      </w:pPr>
      <w:proofErr w:type="spellStart"/>
      <w:r>
        <w:t>Zollman</w:t>
      </w:r>
      <w:proofErr w:type="spellEnd"/>
      <w:r>
        <w:t xml:space="preserve">, A. (2012). Learning </w:t>
      </w:r>
      <w:proofErr w:type="spellStart"/>
      <w:r>
        <w:t>for</w:t>
      </w:r>
      <w:proofErr w:type="spellEnd"/>
      <w:r>
        <w:t xml:space="preserve"> STEM </w:t>
      </w:r>
      <w:proofErr w:type="spellStart"/>
      <w:r>
        <w:t>literacy</w:t>
      </w:r>
      <w:proofErr w:type="spellEnd"/>
      <w:r>
        <w:t xml:space="preserve">: STEM </w:t>
      </w:r>
      <w:proofErr w:type="spellStart"/>
      <w:r>
        <w:t>literacy</w:t>
      </w:r>
      <w:proofErr w:type="spellEnd"/>
      <w:r>
        <w:t xml:space="preserve"> </w:t>
      </w:r>
      <w:proofErr w:type="spellStart"/>
      <w:r>
        <w:t>for</w:t>
      </w:r>
      <w:proofErr w:type="spellEnd"/>
      <w:r>
        <w:t xml:space="preserve"> </w:t>
      </w:r>
      <w:proofErr w:type="spellStart"/>
      <w:r>
        <w:t>learning</w:t>
      </w:r>
      <w:proofErr w:type="spellEnd"/>
      <w:r>
        <w:t xml:space="preserve">. </w:t>
      </w:r>
      <w:r w:rsidRPr="001707BF">
        <w:rPr>
          <w:i/>
          <w:iCs/>
        </w:rPr>
        <w:t xml:space="preserve">School </w:t>
      </w:r>
      <w:proofErr w:type="spellStart"/>
      <w:r w:rsidRPr="001707BF">
        <w:rPr>
          <w:i/>
          <w:iCs/>
        </w:rPr>
        <w:t>Science</w:t>
      </w:r>
      <w:proofErr w:type="spellEnd"/>
      <w:r w:rsidRPr="001707BF">
        <w:rPr>
          <w:i/>
          <w:iCs/>
        </w:rPr>
        <w:t xml:space="preserve"> </w:t>
      </w:r>
      <w:proofErr w:type="spellStart"/>
      <w:r w:rsidRPr="001707BF">
        <w:rPr>
          <w:i/>
          <w:iCs/>
        </w:rPr>
        <w:t>and</w:t>
      </w:r>
      <w:proofErr w:type="spellEnd"/>
      <w:r w:rsidRPr="001707BF">
        <w:rPr>
          <w:i/>
          <w:iCs/>
        </w:rPr>
        <w:t xml:space="preserve"> </w:t>
      </w:r>
      <w:proofErr w:type="spellStart"/>
      <w:r w:rsidRPr="001707BF">
        <w:rPr>
          <w:i/>
          <w:iCs/>
        </w:rPr>
        <w:t>Mathematics</w:t>
      </w:r>
      <w:proofErr w:type="spellEnd"/>
      <w:r w:rsidRPr="001707BF">
        <w:rPr>
          <w:i/>
          <w:iCs/>
        </w:rPr>
        <w:t>, 112</w:t>
      </w:r>
      <w:r>
        <w:t>(1), 12–19. doi:10.1111/j.1949-8594.2012.00101.x.</w:t>
      </w:r>
    </w:p>
    <w:p w:rsidR="00451A8E" w:rsidRDefault="00451A8E" w:rsidP="00451A8E">
      <w:pPr>
        <w:rPr>
          <w:rFonts w:eastAsia="Times New Roman"/>
          <w:b/>
          <w:lang w:val="en-US" w:eastAsia="tr-TR"/>
        </w:rPr>
      </w:pPr>
    </w:p>
    <w:p w:rsidR="006355EC" w:rsidRDefault="006355EC" w:rsidP="00451A8E">
      <w:pPr>
        <w:rPr>
          <w:rFonts w:eastAsia="Times New Roman"/>
          <w:b/>
          <w:lang w:val="en-US" w:eastAsia="tr-TR"/>
        </w:rPr>
      </w:pPr>
    </w:p>
    <w:p w:rsidR="006355EC" w:rsidRDefault="006355EC" w:rsidP="00451A8E">
      <w:pPr>
        <w:rPr>
          <w:rFonts w:eastAsia="Times New Roman"/>
          <w:b/>
          <w:lang w:val="en-US" w:eastAsia="tr-TR"/>
        </w:rPr>
      </w:pPr>
    </w:p>
    <w:p w:rsidR="006355EC" w:rsidRDefault="006355EC" w:rsidP="00451A8E">
      <w:pPr>
        <w:rPr>
          <w:rFonts w:eastAsia="Times New Roman"/>
          <w:b/>
          <w:lang w:val="en-US" w:eastAsia="tr-TR"/>
        </w:rPr>
      </w:pPr>
    </w:p>
    <w:p w:rsidR="006355EC" w:rsidRDefault="006355EC" w:rsidP="00451A8E">
      <w:pPr>
        <w:rPr>
          <w:rFonts w:eastAsia="Times New Roman"/>
          <w:b/>
          <w:lang w:val="en-US" w:eastAsia="tr-TR"/>
        </w:rPr>
      </w:pPr>
    </w:p>
    <w:p w:rsidR="006355EC" w:rsidRDefault="006355EC" w:rsidP="00451A8E">
      <w:pPr>
        <w:rPr>
          <w:rFonts w:eastAsia="Times New Roman"/>
          <w:b/>
          <w:lang w:val="en-US" w:eastAsia="tr-TR"/>
        </w:rPr>
      </w:pPr>
    </w:p>
    <w:p w:rsidR="006355EC" w:rsidRDefault="006355EC" w:rsidP="00451A8E">
      <w:pPr>
        <w:rPr>
          <w:rFonts w:eastAsia="Times New Roman"/>
          <w:b/>
          <w:lang w:val="en-US" w:eastAsia="tr-TR"/>
        </w:rPr>
      </w:pPr>
    </w:p>
    <w:p w:rsidR="006355EC" w:rsidRDefault="006355EC" w:rsidP="00451A8E">
      <w:pPr>
        <w:rPr>
          <w:rFonts w:eastAsia="Times New Roman"/>
          <w:b/>
          <w:lang w:val="en-US" w:eastAsia="tr-TR"/>
        </w:rPr>
      </w:pPr>
    </w:p>
    <w:p w:rsidR="006355EC" w:rsidRDefault="006355EC" w:rsidP="00451A8E">
      <w:pPr>
        <w:rPr>
          <w:rFonts w:eastAsia="Times New Roman"/>
          <w:b/>
          <w:lang w:val="en-US" w:eastAsia="tr-TR"/>
        </w:rPr>
      </w:pPr>
    </w:p>
    <w:p w:rsidR="006355EC" w:rsidRDefault="006355EC" w:rsidP="00451A8E">
      <w:pPr>
        <w:rPr>
          <w:rFonts w:eastAsia="Times New Roman"/>
          <w:b/>
          <w:lang w:val="en-US" w:eastAsia="tr-TR"/>
        </w:rPr>
      </w:pPr>
    </w:p>
    <w:p w:rsidR="006355EC" w:rsidRDefault="006355EC" w:rsidP="00451A8E">
      <w:pPr>
        <w:rPr>
          <w:rFonts w:eastAsia="Times New Roman"/>
          <w:b/>
          <w:lang w:val="en-US" w:eastAsia="tr-TR"/>
        </w:rPr>
      </w:pPr>
    </w:p>
    <w:p w:rsidR="006355EC" w:rsidRDefault="006355EC" w:rsidP="00451A8E">
      <w:pPr>
        <w:rPr>
          <w:rFonts w:eastAsia="Times New Roman"/>
          <w:b/>
          <w:lang w:val="en-US" w:eastAsia="tr-TR"/>
        </w:rPr>
      </w:pPr>
    </w:p>
    <w:p w:rsidR="006355EC" w:rsidRDefault="006355EC" w:rsidP="00451A8E">
      <w:pPr>
        <w:rPr>
          <w:rFonts w:eastAsia="Times New Roman"/>
          <w:b/>
          <w:lang w:val="en-US" w:eastAsia="tr-TR"/>
        </w:rPr>
      </w:pPr>
    </w:p>
    <w:p w:rsidR="006355EC" w:rsidRDefault="006355EC" w:rsidP="00451A8E">
      <w:pPr>
        <w:rPr>
          <w:rFonts w:eastAsia="Times New Roman"/>
          <w:b/>
          <w:lang w:val="en-US" w:eastAsia="tr-TR"/>
        </w:rPr>
      </w:pPr>
    </w:p>
    <w:p w:rsidR="006355EC" w:rsidRDefault="006355EC" w:rsidP="00451A8E">
      <w:pPr>
        <w:rPr>
          <w:rFonts w:eastAsia="Times New Roman"/>
          <w:b/>
          <w:lang w:val="en-US" w:eastAsia="tr-TR"/>
        </w:rPr>
      </w:pPr>
    </w:p>
    <w:p w:rsidR="00266DD8" w:rsidRDefault="00266DD8" w:rsidP="00451A8E">
      <w:pPr>
        <w:rPr>
          <w:rFonts w:eastAsia="Times New Roman"/>
          <w:b/>
          <w:lang w:val="en-US" w:eastAsia="tr-TR"/>
        </w:rPr>
      </w:pPr>
    </w:p>
    <w:p w:rsidR="00266DD8" w:rsidRDefault="00266DD8" w:rsidP="00451A8E">
      <w:pPr>
        <w:rPr>
          <w:rFonts w:eastAsia="Times New Roman"/>
          <w:b/>
          <w:lang w:val="en-US" w:eastAsia="tr-TR"/>
        </w:rPr>
      </w:pPr>
    </w:p>
    <w:p w:rsidR="00266DD8" w:rsidRDefault="00266DD8" w:rsidP="00451A8E">
      <w:pPr>
        <w:rPr>
          <w:rFonts w:eastAsia="Times New Roman"/>
          <w:b/>
          <w:lang w:val="en-US" w:eastAsia="tr-TR"/>
        </w:rPr>
      </w:pPr>
    </w:p>
    <w:p w:rsidR="00266DD8" w:rsidRDefault="00266DD8" w:rsidP="00451A8E">
      <w:pPr>
        <w:rPr>
          <w:rFonts w:eastAsia="Times New Roman"/>
          <w:b/>
          <w:lang w:val="en-US" w:eastAsia="tr-TR"/>
        </w:rPr>
      </w:pPr>
    </w:p>
    <w:p w:rsidR="00266DD8" w:rsidRDefault="00266DD8" w:rsidP="00451A8E">
      <w:pPr>
        <w:rPr>
          <w:rFonts w:eastAsia="Times New Roman"/>
          <w:b/>
          <w:lang w:val="en-US" w:eastAsia="tr-TR"/>
        </w:rPr>
      </w:pPr>
    </w:p>
    <w:p w:rsidR="00266DD8" w:rsidRDefault="00266DD8" w:rsidP="00451A8E">
      <w:pPr>
        <w:rPr>
          <w:rFonts w:eastAsia="Times New Roman"/>
          <w:b/>
          <w:lang w:val="en-US" w:eastAsia="tr-TR"/>
        </w:rPr>
      </w:pPr>
    </w:p>
    <w:p w:rsidR="00266DD8" w:rsidRDefault="00266DD8" w:rsidP="00451A8E">
      <w:pPr>
        <w:rPr>
          <w:rFonts w:eastAsia="Times New Roman"/>
          <w:b/>
          <w:lang w:val="en-US" w:eastAsia="tr-TR"/>
        </w:rPr>
      </w:pPr>
    </w:p>
    <w:p w:rsidR="00266DD8" w:rsidRDefault="00266DD8" w:rsidP="00451A8E">
      <w:pPr>
        <w:rPr>
          <w:rFonts w:eastAsia="Times New Roman"/>
          <w:b/>
          <w:lang w:val="en-US" w:eastAsia="tr-TR"/>
        </w:rPr>
      </w:pPr>
    </w:p>
    <w:p w:rsidR="00266DD8" w:rsidRDefault="00266DD8" w:rsidP="00451A8E">
      <w:pPr>
        <w:rPr>
          <w:rFonts w:eastAsia="Times New Roman"/>
          <w:b/>
          <w:lang w:val="en-US" w:eastAsia="tr-TR"/>
        </w:rPr>
      </w:pPr>
    </w:p>
    <w:p w:rsidR="00266DD8" w:rsidRDefault="00266DD8" w:rsidP="00451A8E">
      <w:pPr>
        <w:rPr>
          <w:rFonts w:eastAsia="Times New Roman"/>
          <w:b/>
          <w:lang w:val="en-US" w:eastAsia="tr-TR"/>
        </w:rPr>
      </w:pPr>
    </w:p>
    <w:p w:rsidR="00266DD8" w:rsidRDefault="00266DD8" w:rsidP="00451A8E">
      <w:pPr>
        <w:rPr>
          <w:rFonts w:eastAsia="Times New Roman"/>
          <w:b/>
          <w:lang w:val="en-US" w:eastAsia="tr-TR"/>
        </w:rPr>
      </w:pPr>
    </w:p>
    <w:p w:rsidR="00266DD8" w:rsidRDefault="00266DD8" w:rsidP="00451A8E">
      <w:pPr>
        <w:rPr>
          <w:rFonts w:eastAsia="Times New Roman"/>
          <w:b/>
          <w:lang w:val="en-US" w:eastAsia="tr-TR"/>
        </w:rPr>
      </w:pPr>
    </w:p>
    <w:p w:rsidR="006355EC" w:rsidRDefault="006355EC" w:rsidP="00451A8E">
      <w:pPr>
        <w:rPr>
          <w:rFonts w:eastAsia="Times New Roman"/>
          <w:b/>
          <w:lang w:val="en-US" w:eastAsia="tr-TR"/>
        </w:rPr>
      </w:pPr>
    </w:p>
    <w:p w:rsidR="006355EC" w:rsidRDefault="00857DD5" w:rsidP="00451A8E">
      <w:pPr>
        <w:rPr>
          <w:rFonts w:eastAsia="Times New Roman"/>
          <w:b/>
          <w:lang w:val="en-US" w:eastAsia="tr-TR"/>
        </w:rPr>
      </w:pPr>
      <w:r>
        <w:rPr>
          <w:rFonts w:eastAsia="Times New Roman"/>
          <w:b/>
          <w:lang w:val="en-US" w:eastAsia="tr-TR"/>
        </w:rPr>
        <w:t>,</w:t>
      </w:r>
    </w:p>
    <w:p w:rsidR="00857DD5" w:rsidRDefault="00857DD5" w:rsidP="00451A8E">
      <w:pPr>
        <w:rPr>
          <w:rFonts w:eastAsia="Times New Roman"/>
          <w:b/>
          <w:lang w:val="en-US" w:eastAsia="tr-TR"/>
        </w:rPr>
      </w:pPr>
    </w:p>
    <w:p w:rsidR="00857DD5" w:rsidRDefault="00857DD5" w:rsidP="00451A8E">
      <w:pPr>
        <w:rPr>
          <w:rFonts w:eastAsia="Times New Roman"/>
          <w:b/>
          <w:lang w:val="en-US" w:eastAsia="tr-TR"/>
        </w:rPr>
      </w:pPr>
    </w:p>
    <w:p w:rsidR="00857DD5" w:rsidRDefault="00857DD5" w:rsidP="00451A8E">
      <w:pPr>
        <w:rPr>
          <w:rFonts w:eastAsia="Times New Roman"/>
          <w:b/>
          <w:lang w:val="en-US" w:eastAsia="tr-TR"/>
        </w:rPr>
      </w:pPr>
    </w:p>
    <w:p w:rsidR="00857DD5" w:rsidRDefault="00857DD5" w:rsidP="00451A8E">
      <w:pPr>
        <w:rPr>
          <w:rFonts w:eastAsia="Times New Roman"/>
          <w:b/>
          <w:lang w:val="en-US" w:eastAsia="tr-TR"/>
        </w:rPr>
      </w:pPr>
    </w:p>
    <w:p w:rsidR="00451A8E" w:rsidRPr="00BE128C" w:rsidRDefault="00451A8E" w:rsidP="00451A8E">
      <w:pPr>
        <w:pStyle w:val="ListeParagraf"/>
        <w:spacing w:line="360" w:lineRule="auto"/>
        <w:ind w:left="502"/>
        <w:jc w:val="center"/>
        <w:rPr>
          <w:b/>
          <w:lang w:val="en-US"/>
        </w:rPr>
      </w:pPr>
      <w:r w:rsidRPr="00BE128C">
        <w:rPr>
          <w:b/>
          <w:lang w:val="en-US"/>
        </w:rPr>
        <w:t>Summary</w:t>
      </w:r>
    </w:p>
    <w:p w:rsidR="00451A8E" w:rsidRPr="0076701F" w:rsidRDefault="00451A8E" w:rsidP="00451A8E">
      <w:pPr>
        <w:autoSpaceDE w:val="0"/>
        <w:autoSpaceDN w:val="0"/>
        <w:adjustRightInd w:val="0"/>
        <w:spacing w:line="360" w:lineRule="auto"/>
        <w:ind w:firstLine="708"/>
        <w:jc w:val="center"/>
        <w:rPr>
          <w:b/>
          <w:lang w:val="en-GB"/>
        </w:rPr>
      </w:pPr>
      <w:r w:rsidRPr="0076701F">
        <w:rPr>
          <w:b/>
          <w:lang w:val="en-GB"/>
        </w:rPr>
        <w:t>Statement of Problem</w:t>
      </w:r>
    </w:p>
    <w:p w:rsidR="006355EC" w:rsidRPr="0063702C" w:rsidRDefault="006355EC" w:rsidP="006355EC">
      <w:pPr>
        <w:spacing w:line="480" w:lineRule="auto"/>
        <w:jc w:val="both"/>
        <w:rPr>
          <w:b/>
          <w:color w:val="FF0000"/>
          <w:lang w:val="en-US"/>
        </w:rPr>
      </w:pPr>
      <w:r w:rsidRPr="00F93330">
        <w:rPr>
          <w:lang w:val="en-US"/>
        </w:rPr>
        <w:t xml:space="preserve">One of the indicators of </w:t>
      </w:r>
      <w:r w:rsidR="000934FD">
        <w:rPr>
          <w:lang w:val="en-US"/>
        </w:rPr>
        <w:t xml:space="preserve">developed countries is </w:t>
      </w:r>
      <w:r w:rsidR="0063702C" w:rsidRPr="0023324F">
        <w:rPr>
          <w:bCs/>
          <w:lang w:val="en-US"/>
        </w:rPr>
        <w:t>what</w:t>
      </w:r>
      <w:r w:rsidR="0063702C" w:rsidRPr="0063702C">
        <w:rPr>
          <w:color w:val="FF0000"/>
          <w:lang w:val="en-US"/>
        </w:rPr>
        <w:t xml:space="preserve"> </w:t>
      </w:r>
      <w:r w:rsidR="0063702C">
        <w:rPr>
          <w:lang w:val="en-US"/>
        </w:rPr>
        <w:t>they</w:t>
      </w:r>
      <w:r w:rsidR="000934FD">
        <w:rPr>
          <w:lang w:val="en-US"/>
        </w:rPr>
        <w:t xml:space="preserve"> have made in science and technology. </w:t>
      </w:r>
      <w:r w:rsidRPr="00F93330">
        <w:rPr>
          <w:lang w:val="en-US"/>
        </w:rPr>
        <w:t xml:space="preserve">STEM (science, technology, engineering and mathematics) education has </w:t>
      </w:r>
      <w:r w:rsidR="0023324F" w:rsidRPr="00F93330">
        <w:rPr>
          <w:lang w:val="en-US"/>
        </w:rPr>
        <w:t>been</w:t>
      </w:r>
      <w:r w:rsidRPr="00F93330">
        <w:rPr>
          <w:lang w:val="en-US"/>
        </w:rPr>
        <w:t xml:space="preserve"> a solution in recent years in order to have in scientific and technological fields. In </w:t>
      </w:r>
      <w:r w:rsidRPr="00F93330">
        <w:rPr>
          <w:lang w:val="en-US"/>
        </w:rPr>
        <w:lastRenderedPageBreak/>
        <w:t>the 21st century, STEM literacy aims at scientific leadership and economic growth (Lacey &amp; Wright, 2009) in developed countries. STEM is an interdisciplinary approach that connects academic content with real-world situations in science, technology, engineering and mathematics, including the content of school, community, business and global initiatives, and enables the development of new economic competition conditions with STEM literacy (</w:t>
      </w:r>
      <w:proofErr w:type="spellStart"/>
      <w:r w:rsidRPr="00F93330">
        <w:rPr>
          <w:lang w:val="en-US"/>
        </w:rPr>
        <w:t>Tsupros</w:t>
      </w:r>
      <w:proofErr w:type="spellEnd"/>
      <w:r w:rsidRPr="00F93330">
        <w:rPr>
          <w:lang w:val="en-US"/>
        </w:rPr>
        <w:t xml:space="preserve">, Kohler &amp; </w:t>
      </w:r>
      <w:proofErr w:type="spellStart"/>
      <w:r w:rsidRPr="00F93330">
        <w:rPr>
          <w:lang w:val="en-US"/>
        </w:rPr>
        <w:t>Hallinen</w:t>
      </w:r>
      <w:proofErr w:type="spellEnd"/>
      <w:r w:rsidRPr="00F93330">
        <w:rPr>
          <w:lang w:val="en-US"/>
        </w:rPr>
        <w:t xml:space="preserve">, 2009). It is known that the </w:t>
      </w:r>
      <w:r w:rsidR="0023324F" w:rsidRPr="0023324F">
        <w:rPr>
          <w:bCs/>
          <w:lang w:val="en-US"/>
        </w:rPr>
        <w:t>career students</w:t>
      </w:r>
      <w:r w:rsidRPr="0023324F">
        <w:rPr>
          <w:bCs/>
          <w:lang w:val="en-US"/>
        </w:rPr>
        <w:t xml:space="preserve"> choose</w:t>
      </w:r>
      <w:r w:rsidRPr="0063702C">
        <w:rPr>
          <w:color w:val="FF0000"/>
          <w:lang w:val="en-US"/>
        </w:rPr>
        <w:t xml:space="preserve"> </w:t>
      </w:r>
      <w:r w:rsidRPr="00F93330">
        <w:rPr>
          <w:lang w:val="en-US"/>
        </w:rPr>
        <w:t>in the following years occur</w:t>
      </w:r>
      <w:r w:rsidR="000934FD">
        <w:rPr>
          <w:lang w:val="en-US"/>
        </w:rPr>
        <w:t>s</w:t>
      </w:r>
      <w:r w:rsidRPr="00F93330">
        <w:rPr>
          <w:lang w:val="en-US"/>
        </w:rPr>
        <w:t xml:space="preserve"> at the time of primary education (Auger, </w:t>
      </w:r>
      <w:proofErr w:type="spellStart"/>
      <w:r w:rsidRPr="00F93330">
        <w:rPr>
          <w:lang w:val="en-US"/>
        </w:rPr>
        <w:t>Blackhurst</w:t>
      </w:r>
      <w:proofErr w:type="spellEnd"/>
      <w:r w:rsidRPr="00F93330">
        <w:rPr>
          <w:lang w:val="en-US"/>
        </w:rPr>
        <w:t xml:space="preserve"> &amp; </w:t>
      </w:r>
      <w:proofErr w:type="spellStart"/>
      <w:r w:rsidRPr="00F93330">
        <w:rPr>
          <w:lang w:val="en-US"/>
        </w:rPr>
        <w:t>Herting</w:t>
      </w:r>
      <w:proofErr w:type="spellEnd"/>
      <w:r w:rsidRPr="00F93330">
        <w:rPr>
          <w:lang w:val="en-US"/>
        </w:rPr>
        <w:t xml:space="preserve"> 2005). However, some students begin to lose interest in science during primary school (Baird &amp; Penna 1992; Keeley, 2009). It is a critical stage for students from 10 to 14 to participate in STEM activities (Maltese &amp; Tai, 2011; Christensen &amp; Knezek, 2013) and to develop attitudes and beliefs about career options (Super, 1990) in the STEM fields. Therefore, it should be ensured that students gain experiences related to STEM fields through in-class and out-of-class practices in this process (Maltese &amp; Tai, 2011). Motivation is defined as intention to behave (Elliot &amp; Covington, 2001).</w:t>
      </w:r>
      <w:r w:rsidR="000934FD">
        <w:rPr>
          <w:lang w:val="en-US"/>
        </w:rPr>
        <w:t xml:space="preserve"> </w:t>
      </w:r>
      <w:r w:rsidR="000934FD" w:rsidRPr="00E80D11">
        <w:rPr>
          <w:lang w:val="en-US"/>
        </w:rPr>
        <w:t>The students become increasingly reluctant in participating Science, Technology, Engineering and Mathematics (STEM) (</w:t>
      </w:r>
      <w:proofErr w:type="spellStart"/>
      <w:r w:rsidR="000934FD" w:rsidRPr="00E80D11">
        <w:rPr>
          <w:lang w:val="en-US"/>
        </w:rPr>
        <w:t>Bøe</w:t>
      </w:r>
      <w:proofErr w:type="spellEnd"/>
      <w:r w:rsidR="000934FD" w:rsidRPr="00E80D11">
        <w:rPr>
          <w:lang w:val="en-US"/>
        </w:rPr>
        <w:t xml:space="preserve">, </w:t>
      </w:r>
      <w:proofErr w:type="spellStart"/>
      <w:r w:rsidR="000934FD" w:rsidRPr="00E80D11">
        <w:rPr>
          <w:lang w:val="en-US"/>
        </w:rPr>
        <w:t>Henriksen</w:t>
      </w:r>
      <w:proofErr w:type="spellEnd"/>
      <w:r w:rsidR="000934FD" w:rsidRPr="00E80D11">
        <w:rPr>
          <w:lang w:val="en-US"/>
        </w:rPr>
        <w:t xml:space="preserve">, Lyons, &amp; Schreiner, 2011; </w:t>
      </w:r>
      <w:proofErr w:type="spellStart"/>
      <w:r w:rsidR="000934FD" w:rsidRPr="00E80D11">
        <w:rPr>
          <w:lang w:val="en-US"/>
        </w:rPr>
        <w:t>Pinxten</w:t>
      </w:r>
      <w:proofErr w:type="spellEnd"/>
      <w:r w:rsidR="000934FD" w:rsidRPr="00E80D11">
        <w:rPr>
          <w:lang w:val="en-US"/>
        </w:rPr>
        <w:t xml:space="preserve">, Van </w:t>
      </w:r>
      <w:proofErr w:type="spellStart"/>
      <w:r w:rsidR="000934FD" w:rsidRPr="00E80D11">
        <w:rPr>
          <w:lang w:val="en-US"/>
        </w:rPr>
        <w:t>Soom</w:t>
      </w:r>
      <w:proofErr w:type="spellEnd"/>
      <w:r w:rsidR="000934FD" w:rsidRPr="00E80D11">
        <w:rPr>
          <w:lang w:val="en-US"/>
        </w:rPr>
        <w:t xml:space="preserve">, </w:t>
      </w:r>
      <w:proofErr w:type="spellStart"/>
      <w:r w:rsidR="000934FD" w:rsidRPr="00E80D11">
        <w:rPr>
          <w:lang w:val="en-US"/>
        </w:rPr>
        <w:t>Peeters</w:t>
      </w:r>
      <w:proofErr w:type="spellEnd"/>
      <w:r w:rsidR="000934FD" w:rsidRPr="00E80D11">
        <w:rPr>
          <w:lang w:val="en-US"/>
        </w:rPr>
        <w:t xml:space="preserve">, De </w:t>
      </w:r>
      <w:proofErr w:type="spellStart"/>
      <w:r w:rsidR="000934FD" w:rsidRPr="00E80D11">
        <w:rPr>
          <w:lang w:val="en-US"/>
        </w:rPr>
        <w:t>Laet</w:t>
      </w:r>
      <w:proofErr w:type="spellEnd"/>
      <w:r w:rsidR="000934FD" w:rsidRPr="00E80D11">
        <w:rPr>
          <w:lang w:val="en-US"/>
        </w:rPr>
        <w:t xml:space="preserve">, &amp; </w:t>
      </w:r>
      <w:proofErr w:type="spellStart"/>
      <w:r w:rsidR="000934FD" w:rsidRPr="00E80D11">
        <w:rPr>
          <w:lang w:val="en-US"/>
        </w:rPr>
        <w:t>Langie</w:t>
      </w:r>
      <w:proofErr w:type="spellEnd"/>
      <w:r w:rsidR="000934FD" w:rsidRPr="00E80D11">
        <w:rPr>
          <w:lang w:val="en-US"/>
        </w:rPr>
        <w:t>, 2017) which is the focus of the science education literature</w:t>
      </w:r>
      <w:r w:rsidR="00BE1870" w:rsidRPr="00E80D11">
        <w:rPr>
          <w:lang w:val="en-US"/>
        </w:rPr>
        <w:t>.</w:t>
      </w:r>
      <w:r w:rsidRPr="00F93330">
        <w:rPr>
          <w:lang w:val="en-US"/>
        </w:rPr>
        <w:t xml:space="preserve"> While students with higher motivation continue to participate in STEM fields over the years, students with low motivation tend to leave more and more over time (Skinner, </w:t>
      </w:r>
      <w:proofErr w:type="spellStart"/>
      <w:r w:rsidRPr="00F93330">
        <w:rPr>
          <w:lang w:val="en-US"/>
        </w:rPr>
        <w:t>Furrer</w:t>
      </w:r>
      <w:proofErr w:type="spellEnd"/>
      <w:r w:rsidRPr="00F93330">
        <w:rPr>
          <w:lang w:val="en-US"/>
        </w:rPr>
        <w:t xml:space="preserve">, </w:t>
      </w:r>
      <w:proofErr w:type="spellStart"/>
      <w:r w:rsidRPr="00F93330">
        <w:rPr>
          <w:lang w:val="en-US"/>
        </w:rPr>
        <w:t>Marchand</w:t>
      </w:r>
      <w:proofErr w:type="spellEnd"/>
      <w:r w:rsidRPr="00F93330">
        <w:rPr>
          <w:lang w:val="en-US"/>
        </w:rPr>
        <w:t xml:space="preserve"> &amp; </w:t>
      </w:r>
      <w:proofErr w:type="spellStart"/>
      <w:r w:rsidRPr="00F93330">
        <w:rPr>
          <w:lang w:val="en-US"/>
        </w:rPr>
        <w:t>Kindermann</w:t>
      </w:r>
      <w:proofErr w:type="spellEnd"/>
      <w:r w:rsidRPr="00F93330">
        <w:rPr>
          <w:lang w:val="en-US"/>
        </w:rPr>
        <w:t xml:space="preserve">, 2008). However, each new concept </w:t>
      </w:r>
      <w:r w:rsidR="007275C4">
        <w:rPr>
          <w:lang w:val="en-US"/>
        </w:rPr>
        <w:t>gets</w:t>
      </w:r>
      <w:r w:rsidR="00004177">
        <w:rPr>
          <w:lang w:val="en-US"/>
        </w:rPr>
        <w:t xml:space="preserve"> a</w:t>
      </w:r>
      <w:r w:rsidRPr="00F93330">
        <w:rPr>
          <w:lang w:val="en-US"/>
        </w:rPr>
        <w:t xml:space="preserve"> discussion about how to measure </w:t>
      </w:r>
      <w:r w:rsidR="0063702C">
        <w:rPr>
          <w:lang w:val="en-US"/>
        </w:rPr>
        <w:t xml:space="preserve">to </w:t>
      </w:r>
      <w:r w:rsidR="0063702C" w:rsidRPr="0023324F">
        <w:rPr>
          <w:bCs/>
          <w:lang w:val="en-US"/>
        </w:rPr>
        <w:t xml:space="preserve">the that </w:t>
      </w:r>
      <w:r w:rsidRPr="0023324F">
        <w:rPr>
          <w:bCs/>
          <w:lang w:val="en-US"/>
        </w:rPr>
        <w:t>concept</w:t>
      </w:r>
      <w:r w:rsidRPr="00F93330">
        <w:rPr>
          <w:lang w:val="en-US"/>
        </w:rPr>
        <w:t xml:space="preserve">. There is no study about STEM motivation in the literature in </w:t>
      </w:r>
      <w:r w:rsidR="00004177">
        <w:rPr>
          <w:lang w:val="en-US"/>
        </w:rPr>
        <w:t xml:space="preserve">the scope of </w:t>
      </w:r>
      <w:r w:rsidRPr="00F93330">
        <w:rPr>
          <w:lang w:val="en-US"/>
        </w:rPr>
        <w:t xml:space="preserve">Turkey. </w:t>
      </w:r>
      <w:r w:rsidR="00577A75" w:rsidRPr="00577A75">
        <w:rPr>
          <w:bCs/>
          <w:lang w:val="en-US"/>
        </w:rPr>
        <w:t>The purpose of this research is to make the validity and reliability study by adapting the STEM</w:t>
      </w:r>
      <w:r w:rsidR="00857DD5" w:rsidRPr="00857DD5">
        <w:t xml:space="preserve"> </w:t>
      </w:r>
      <w:r w:rsidR="00857DD5">
        <w:rPr>
          <w:bCs/>
          <w:lang w:val="en-US"/>
        </w:rPr>
        <w:t>c</w:t>
      </w:r>
      <w:r w:rsidR="00857DD5" w:rsidRPr="00857DD5">
        <w:rPr>
          <w:bCs/>
          <w:lang w:val="en-US"/>
        </w:rPr>
        <w:t>ontinuing</w:t>
      </w:r>
      <w:r w:rsidR="00577A75" w:rsidRPr="00577A75">
        <w:rPr>
          <w:bCs/>
          <w:lang w:val="en-US"/>
        </w:rPr>
        <w:t xml:space="preserve"> motivation scale developed by Luo, Wang, Liu and Zhou (2019) into Turkish.</w:t>
      </w:r>
    </w:p>
    <w:p w:rsidR="006355EC" w:rsidRPr="00F93330" w:rsidRDefault="006355EC" w:rsidP="006355EC">
      <w:pPr>
        <w:spacing w:line="480" w:lineRule="auto"/>
        <w:ind w:left="567" w:hanging="567"/>
        <w:jc w:val="both"/>
        <w:rPr>
          <w:lang w:val="en-US"/>
        </w:rPr>
      </w:pPr>
    </w:p>
    <w:p w:rsidR="006355EC" w:rsidRPr="00F93330" w:rsidRDefault="006355EC" w:rsidP="005E1765">
      <w:pPr>
        <w:spacing w:line="480" w:lineRule="auto"/>
        <w:ind w:left="567" w:hanging="567"/>
        <w:jc w:val="center"/>
        <w:rPr>
          <w:lang w:val="en-US"/>
        </w:rPr>
      </w:pPr>
      <w:r w:rsidRPr="00F93330">
        <w:rPr>
          <w:b/>
          <w:bCs/>
          <w:lang w:val="en-US"/>
        </w:rPr>
        <w:t>Method</w:t>
      </w:r>
    </w:p>
    <w:p w:rsidR="006355EC" w:rsidRDefault="006355EC" w:rsidP="005E1765">
      <w:pPr>
        <w:spacing w:line="480" w:lineRule="auto"/>
        <w:jc w:val="both"/>
        <w:rPr>
          <w:lang w:val="en-US"/>
        </w:rPr>
      </w:pPr>
      <w:r w:rsidRPr="00F93330">
        <w:rPr>
          <w:lang w:val="en-US"/>
        </w:rPr>
        <w:t>The original scale was applied to</w:t>
      </w:r>
      <w:r w:rsidR="0063702C">
        <w:rPr>
          <w:lang w:val="en-US"/>
        </w:rPr>
        <w:t xml:space="preserve"> </w:t>
      </w:r>
      <w:r w:rsidR="0063702C" w:rsidRPr="0023324F">
        <w:rPr>
          <w:bCs/>
          <w:lang w:val="en-US"/>
        </w:rPr>
        <w:t>the</w:t>
      </w:r>
      <w:r w:rsidR="0063702C" w:rsidRPr="0063702C">
        <w:rPr>
          <w:color w:val="FF0000"/>
          <w:lang w:val="en-US"/>
        </w:rPr>
        <w:t xml:space="preserve"> </w:t>
      </w:r>
      <w:r w:rsidRPr="00F93330">
        <w:rPr>
          <w:lang w:val="en-US"/>
        </w:rPr>
        <w:t xml:space="preserve">middle school students, so </w:t>
      </w:r>
      <w:r w:rsidR="0063702C">
        <w:rPr>
          <w:lang w:val="en-US"/>
        </w:rPr>
        <w:t xml:space="preserve">the measurement tool was used </w:t>
      </w:r>
      <w:r w:rsidR="0023324F" w:rsidRPr="0023324F">
        <w:rPr>
          <w:bCs/>
          <w:lang w:val="en-US"/>
        </w:rPr>
        <w:t xml:space="preserve">for </w:t>
      </w:r>
      <w:r w:rsidR="0023324F" w:rsidRPr="0023324F">
        <w:rPr>
          <w:lang w:val="en-US"/>
        </w:rPr>
        <w:t>the</w:t>
      </w:r>
      <w:r w:rsidRPr="00F93330">
        <w:rPr>
          <w:lang w:val="en-US"/>
        </w:rPr>
        <w:t xml:space="preserve"> 5th, 6th, 7th and 8th grade students. 810 students were applied the measurement tool. Of these students, 438 (54.1%) were female and 372 (45.9%) were male. 8% of the participant students were 66 5th grade students, 25% were 210 6th grade students, 20% were 169 7th grade students, 45% were 365 8th grade students. Two English language experts were asked to translate the scale from English into Turkish. After the adaptation of the translation into Turkish, two Turkish language experts were given the Turkish version of the scale and the internal validity of the scale was ensured by comparison after the arrangement regarding its agreement. The scale was examined by two Turkish teachers, applied to 20 pre-school teacher candidates, and the intelligibility, errors in the template were corrected. Finally, 25 8th grade students were pre-applied and the scale </w:t>
      </w:r>
      <w:proofErr w:type="gramStart"/>
      <w:r w:rsidRPr="00F93330">
        <w:rPr>
          <w:lang w:val="en-US"/>
        </w:rPr>
        <w:t>was finalized</w:t>
      </w:r>
      <w:proofErr w:type="gramEnd"/>
      <w:r w:rsidRPr="00F93330">
        <w:rPr>
          <w:lang w:val="en-US"/>
        </w:rPr>
        <w:t>. Pearson Moment Correlation Coefficient calculated from two scales was calculated as .81 (p = 0.000). In order to determine the reliability of the scale, reliability analysis was performed using SPSS 22.0 package program for all areas and dimensions. Then, exploratory and confirmatory factor analysis (CFA) was performed for AMOS 22.0 program to examine the relationship between the items and the ordinal scale.</w:t>
      </w:r>
    </w:p>
    <w:p w:rsidR="005E1765" w:rsidRPr="00F93330" w:rsidRDefault="005E1765" w:rsidP="005E1765">
      <w:pPr>
        <w:spacing w:line="480" w:lineRule="auto"/>
        <w:jc w:val="both"/>
        <w:rPr>
          <w:lang w:val="en-US"/>
        </w:rPr>
      </w:pPr>
    </w:p>
    <w:p w:rsidR="006355EC" w:rsidRPr="00F93330" w:rsidRDefault="006355EC" w:rsidP="005E1765">
      <w:pPr>
        <w:spacing w:line="480" w:lineRule="auto"/>
        <w:ind w:left="567" w:hanging="567"/>
        <w:jc w:val="center"/>
        <w:rPr>
          <w:b/>
          <w:bCs/>
          <w:lang w:val="en-US"/>
        </w:rPr>
      </w:pPr>
      <w:r w:rsidRPr="00F93330">
        <w:rPr>
          <w:b/>
          <w:bCs/>
          <w:lang w:val="en-US"/>
        </w:rPr>
        <w:t>Result and Discussion</w:t>
      </w:r>
    </w:p>
    <w:p w:rsidR="006355EC" w:rsidRPr="00F93330" w:rsidRDefault="006355EC" w:rsidP="006355EC">
      <w:pPr>
        <w:spacing w:line="480" w:lineRule="auto"/>
        <w:jc w:val="both"/>
        <w:rPr>
          <w:lang w:val="en-US"/>
        </w:rPr>
      </w:pPr>
      <w:r w:rsidRPr="00F93330">
        <w:rPr>
          <w:lang w:val="en-US"/>
        </w:rPr>
        <w:t xml:space="preserve">Cronbach alpha reliability coefficient was found to be 0,84 in all dimensions. In the explanatory factor analysis, Kaiser-Meyer-Olkin (KMO) value, Bartlett Dimensionality test significance level, eigenvalue-item graph, total variance values ​​of the materials were </w:t>
      </w:r>
      <w:r w:rsidRPr="00F93330">
        <w:rPr>
          <w:lang w:val="en-US"/>
        </w:rPr>
        <w:lastRenderedPageBreak/>
        <w:t xml:space="preserve">found to be 0.87 (p = 0.00). KMO value is considered as an indicator that the number of the study group is sufficient with a value close to 1, and that the data </w:t>
      </w:r>
      <w:r w:rsidR="00BE1870">
        <w:rPr>
          <w:lang w:val="en-US"/>
        </w:rPr>
        <w:t>are</w:t>
      </w:r>
      <w:r w:rsidRPr="00F93330">
        <w:rPr>
          <w:lang w:val="en-US"/>
        </w:rPr>
        <w:t xml:space="preserve"> suitable for factor analysis with the Bartlett Dimensionality test being significant with 0.000 (</w:t>
      </w:r>
      <w:proofErr w:type="spellStart"/>
      <w:r w:rsidRPr="00F93330">
        <w:rPr>
          <w:lang w:val="en-US"/>
        </w:rPr>
        <w:t>Büyüköztürk</w:t>
      </w:r>
      <w:proofErr w:type="spellEnd"/>
      <w:r w:rsidRPr="00F93330">
        <w:rPr>
          <w:lang w:val="en-US"/>
        </w:rPr>
        <w:t xml:space="preserve">, 2007). X2 / df (chi-square) value of the scale was calculated as 0.10. The chi-square value and degree of freedom are </w:t>
      </w:r>
      <w:r w:rsidR="005E1765" w:rsidRPr="00F93330">
        <w:rPr>
          <w:lang w:val="en-US"/>
        </w:rPr>
        <w:t>affected,</w:t>
      </w:r>
      <w:r w:rsidRPr="00F93330">
        <w:rPr>
          <w:lang w:val="en-US"/>
        </w:rPr>
        <w:t xml:space="preserve"> and this may lead to misinterpretations (</w:t>
      </w:r>
      <w:proofErr w:type="spellStart"/>
      <w:r w:rsidRPr="00F93330">
        <w:rPr>
          <w:lang w:val="en-US"/>
        </w:rPr>
        <w:t>Çokluk</w:t>
      </w:r>
      <w:proofErr w:type="spellEnd"/>
      <w:r w:rsidRPr="00F93330">
        <w:rPr>
          <w:lang w:val="en-US"/>
        </w:rPr>
        <w:t xml:space="preserve">, </w:t>
      </w:r>
      <w:proofErr w:type="spellStart"/>
      <w:r w:rsidRPr="00F93330">
        <w:rPr>
          <w:lang w:val="en-US"/>
        </w:rPr>
        <w:t>Şekercioğlu</w:t>
      </w:r>
      <w:proofErr w:type="spellEnd"/>
      <w:r w:rsidRPr="00F93330">
        <w:rPr>
          <w:lang w:val="en-US"/>
        </w:rPr>
        <w:t xml:space="preserve"> &amp; </w:t>
      </w:r>
      <w:proofErr w:type="spellStart"/>
      <w:r w:rsidRPr="00F93330">
        <w:rPr>
          <w:lang w:val="en-US"/>
        </w:rPr>
        <w:t>Büyüköztürk</w:t>
      </w:r>
      <w:proofErr w:type="spellEnd"/>
      <w:r w:rsidRPr="00F93330">
        <w:rPr>
          <w:lang w:val="en-US"/>
        </w:rPr>
        <w:t>, 2012: 268). RMSEA, AGFI, SRMR, CFI, AGFI values ​​were analyzed for confirmatory factor analysis. The RMSEA value was 0.076 (≤ 0.08), the SRMR value was 0.01 (≤ 0.08), the CFI value was 0.89 (0.80-0.89), and the AGFI value was 0.82 (0.80-0.89). ). According to the literature, GFI and AGFI values ​​between 0.80-0.89 (</w:t>
      </w:r>
      <w:proofErr w:type="spellStart"/>
      <w:r w:rsidRPr="00F93330">
        <w:rPr>
          <w:lang w:val="en-US"/>
        </w:rPr>
        <w:t>Segars</w:t>
      </w:r>
      <w:proofErr w:type="spellEnd"/>
      <w:r w:rsidRPr="00F93330">
        <w:rPr>
          <w:lang w:val="en-US"/>
        </w:rPr>
        <w:t xml:space="preserve"> and Grover 1993; Doll, </w:t>
      </w:r>
      <w:proofErr w:type="spellStart"/>
      <w:r w:rsidRPr="00F93330">
        <w:rPr>
          <w:lang w:val="en-US"/>
        </w:rPr>
        <w:t>Weidong</w:t>
      </w:r>
      <w:proofErr w:type="spellEnd"/>
      <w:r w:rsidRPr="00F93330">
        <w:rPr>
          <w:lang w:val="en-US"/>
        </w:rPr>
        <w:t xml:space="preserve">, </w:t>
      </w:r>
      <w:proofErr w:type="spellStart"/>
      <w:r w:rsidRPr="00F93330">
        <w:rPr>
          <w:lang w:val="en-US"/>
        </w:rPr>
        <w:t>Gholamreza</w:t>
      </w:r>
      <w:proofErr w:type="spellEnd"/>
      <w:r w:rsidRPr="00F93330">
        <w:rPr>
          <w:lang w:val="en-US"/>
        </w:rPr>
        <w:t xml:space="preserve">, 1994) are also expressed as acceptable values. According to Pearson correlation analysis, 0.797 (p &lt;0.001) among science dimension with STEM motivation scale, 0.720 (p &lt;0.001) among technology dimension with STEM motivation scale, 0.751 (p &lt;0.001) among engineering dimension with STEM motivation scale, and 0.75 (p &lt;0.001) with STEM motivation scale 0.797 (p &lt;0.001) of the mathematical dimension was calculated. There is a positive </w:t>
      </w:r>
      <w:proofErr w:type="spellStart"/>
      <w:r w:rsidRPr="00F93330">
        <w:rPr>
          <w:lang w:val="en-US"/>
        </w:rPr>
        <w:t>positive</w:t>
      </w:r>
      <w:proofErr w:type="spellEnd"/>
      <w:r w:rsidRPr="00F93330">
        <w:rPr>
          <w:lang w:val="en-US"/>
        </w:rPr>
        <w:t xml:space="preserve"> correlation between all dimensions.</w:t>
      </w:r>
      <w:r w:rsidR="005E1765">
        <w:rPr>
          <w:lang w:val="en-US"/>
        </w:rPr>
        <w:t xml:space="preserve"> </w:t>
      </w:r>
      <w:r w:rsidRPr="00F93330">
        <w:rPr>
          <w:lang w:val="en-US"/>
        </w:rPr>
        <w:t>As a result of the Turkish adaptation of STEM motivation survey, it was seen that it has a 4-dimensional structure, which is science, technology, engineering and mathematics as in the original scale. The scale is arranged in a 4-point Likert type with 25 items. The results indicate that STEM motivation scale i</w:t>
      </w:r>
      <w:r w:rsidR="0063702C">
        <w:rPr>
          <w:lang w:val="en-US"/>
        </w:rPr>
        <w:t xml:space="preserve">s a valid and reliable tool </w:t>
      </w:r>
      <w:r w:rsidR="0063702C" w:rsidRPr="0023324F">
        <w:rPr>
          <w:bCs/>
          <w:lang w:val="en-US"/>
        </w:rPr>
        <w:t>so it can be used in the study</w:t>
      </w:r>
      <w:r w:rsidR="0063702C" w:rsidRPr="0063702C">
        <w:rPr>
          <w:b/>
          <w:color w:val="FF0000"/>
          <w:lang w:val="en-US"/>
        </w:rPr>
        <w:t xml:space="preserve"> </w:t>
      </w:r>
      <w:r w:rsidRPr="00F93330">
        <w:rPr>
          <w:lang w:val="en-US"/>
        </w:rPr>
        <w:t>of motivation STEM fields for middle school students.</w:t>
      </w:r>
    </w:p>
    <w:p w:rsidR="00B756D3" w:rsidRDefault="00B756D3" w:rsidP="006355EC">
      <w:pPr>
        <w:spacing w:line="480" w:lineRule="auto"/>
        <w:jc w:val="both"/>
      </w:pPr>
    </w:p>
    <w:p w:rsidR="00B756D3" w:rsidRPr="00E80D11" w:rsidRDefault="00B756D3" w:rsidP="00B756D3">
      <w:pPr>
        <w:spacing w:line="480" w:lineRule="auto"/>
        <w:jc w:val="both"/>
        <w:rPr>
          <w:b/>
          <w:bCs/>
        </w:rPr>
      </w:pPr>
      <w:r w:rsidRPr="00E80D11">
        <w:rPr>
          <w:b/>
          <w:bCs/>
        </w:rPr>
        <w:t xml:space="preserve">Ek: 1 </w:t>
      </w:r>
    </w:p>
    <w:p w:rsidR="00B756D3" w:rsidRPr="00E80D11" w:rsidRDefault="00B756D3" w:rsidP="00B756D3">
      <w:pPr>
        <w:spacing w:line="480" w:lineRule="auto"/>
        <w:jc w:val="both"/>
        <w:rPr>
          <w:b/>
          <w:bCs/>
        </w:rPr>
      </w:pPr>
      <w:r w:rsidRPr="00E80D11">
        <w:rPr>
          <w:b/>
          <w:bCs/>
        </w:rPr>
        <w:t>STEM (Bilim-Teknoloji-Mühendislik ve Matematik) Motivasyon Ölçeği</w:t>
      </w:r>
    </w:p>
    <w:p w:rsidR="00B756D3" w:rsidRPr="00E80D11" w:rsidRDefault="00B756D3" w:rsidP="00B756D3">
      <w:pPr>
        <w:spacing w:line="480" w:lineRule="auto"/>
        <w:jc w:val="both"/>
      </w:pPr>
      <w:r w:rsidRPr="00E80D11">
        <w:lastRenderedPageBreak/>
        <w:t xml:space="preserve">Değerli öğrenciler bu ölçek sizin STEM (Bilim-Teknoloji-Mühendislik ve Matematik) kavramları hakkında görüşlerinizi almak için hazırlanmıştır. Lütfen maddeleri dikkatlice okuyunuz. Maddenin karşına X işareti koymanız yeterlidir. Anket formuna isminizi </w:t>
      </w:r>
      <w:r w:rsidRPr="00E80D11">
        <w:rPr>
          <w:u w:val="single"/>
        </w:rPr>
        <w:t>yazmayınız.</w:t>
      </w:r>
      <w:r w:rsidRPr="00E80D11">
        <w:t xml:space="preserve"> Verdiğiniz yanıtlar araştırmanın amacına hizmet etmesi açısından önemlidir. Teşekkür ederiz.</w:t>
      </w:r>
    </w:p>
    <w:p w:rsidR="00B756D3" w:rsidRPr="00E80D11" w:rsidRDefault="00B756D3" w:rsidP="00B756D3">
      <w:pPr>
        <w:spacing w:line="480" w:lineRule="auto"/>
        <w:jc w:val="both"/>
      </w:pPr>
      <w:r w:rsidRPr="00E80D11">
        <w:t>Cinsiyetiniz</w:t>
      </w:r>
      <w:r w:rsidRPr="00E80D11">
        <w:tab/>
        <w:t>Kız (  )</w:t>
      </w:r>
      <w:r w:rsidRPr="00E80D11">
        <w:tab/>
      </w:r>
      <w:r w:rsidRPr="00E80D11">
        <w:tab/>
      </w:r>
      <w:r w:rsidRPr="00E80D11">
        <w:tab/>
        <w:t>Erkek (     )</w:t>
      </w:r>
    </w:p>
    <w:p w:rsidR="00B756D3" w:rsidRPr="00E80D11" w:rsidRDefault="00B756D3" w:rsidP="00B756D3">
      <w:pPr>
        <w:spacing w:line="480" w:lineRule="auto"/>
        <w:jc w:val="both"/>
      </w:pPr>
      <w:r w:rsidRPr="00E80D11">
        <w:t>Yaşınız ……………………………………………………………….</w:t>
      </w:r>
    </w:p>
    <w:p w:rsidR="00B756D3" w:rsidRPr="00E80D11" w:rsidRDefault="00B756D3" w:rsidP="00B756D3">
      <w:pPr>
        <w:spacing w:line="480" w:lineRule="auto"/>
        <w:jc w:val="both"/>
      </w:pPr>
      <w:r w:rsidRPr="00E80D11">
        <w:t xml:space="preserve">Okuduğunuz </w:t>
      </w:r>
      <w:proofErr w:type="gramStart"/>
      <w:r w:rsidRPr="00E80D11">
        <w:t>sınıf     5</w:t>
      </w:r>
      <w:proofErr w:type="gramEnd"/>
      <w:r w:rsidRPr="00E80D11">
        <w:t>. Sınıf (  )      6.sınıf (   )            7.Sınıf</w:t>
      </w:r>
      <w:r w:rsidRPr="00E80D11">
        <w:tab/>
        <w:t xml:space="preserve">(   )            8.Sınıf(   ) </w:t>
      </w:r>
    </w:p>
    <w:tbl>
      <w:tblPr>
        <w:tblW w:w="8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7"/>
        <w:gridCol w:w="1028"/>
        <w:gridCol w:w="956"/>
        <w:gridCol w:w="848"/>
        <w:gridCol w:w="656"/>
      </w:tblGrid>
      <w:tr w:rsidR="00B756D3" w:rsidRPr="00E80D11" w:rsidTr="00A277BA">
        <w:trPr>
          <w:trHeight w:val="20"/>
        </w:trPr>
        <w:tc>
          <w:tcPr>
            <w:tcW w:w="5317" w:type="dxa"/>
            <w:shd w:val="clear" w:color="auto" w:fill="auto"/>
          </w:tcPr>
          <w:p w:rsidR="00B756D3" w:rsidRPr="00E80D11" w:rsidRDefault="00B756D3" w:rsidP="00A277BA">
            <w:pPr>
              <w:spacing w:line="480" w:lineRule="auto"/>
              <w:jc w:val="both"/>
              <w:rPr>
                <w:sz w:val="22"/>
                <w:szCs w:val="22"/>
              </w:rPr>
            </w:pPr>
            <w:r w:rsidRPr="00E80D11">
              <w:rPr>
                <w:sz w:val="22"/>
                <w:szCs w:val="22"/>
              </w:rPr>
              <w:t>Maddeler</w:t>
            </w:r>
          </w:p>
        </w:tc>
        <w:tc>
          <w:tcPr>
            <w:tcW w:w="1028" w:type="dxa"/>
            <w:shd w:val="clear" w:color="auto" w:fill="auto"/>
          </w:tcPr>
          <w:p w:rsidR="00B756D3" w:rsidRPr="00E80D11" w:rsidRDefault="00B756D3" w:rsidP="00A277BA">
            <w:pPr>
              <w:spacing w:line="480" w:lineRule="auto"/>
              <w:jc w:val="both"/>
              <w:rPr>
                <w:sz w:val="22"/>
                <w:szCs w:val="22"/>
              </w:rPr>
            </w:pPr>
            <w:r w:rsidRPr="00E80D11">
              <w:rPr>
                <w:sz w:val="22"/>
                <w:szCs w:val="22"/>
              </w:rPr>
              <w:t>Sıklıkla</w:t>
            </w:r>
          </w:p>
        </w:tc>
        <w:tc>
          <w:tcPr>
            <w:tcW w:w="956" w:type="dxa"/>
            <w:shd w:val="clear" w:color="auto" w:fill="auto"/>
          </w:tcPr>
          <w:p w:rsidR="00B756D3" w:rsidRPr="00E80D11" w:rsidRDefault="00B756D3" w:rsidP="00A277BA">
            <w:pPr>
              <w:spacing w:line="480" w:lineRule="auto"/>
              <w:jc w:val="both"/>
              <w:rPr>
                <w:sz w:val="22"/>
                <w:szCs w:val="22"/>
              </w:rPr>
            </w:pPr>
            <w:r w:rsidRPr="00E80D11">
              <w:rPr>
                <w:sz w:val="22"/>
                <w:szCs w:val="22"/>
              </w:rPr>
              <w:t>Bazen</w:t>
            </w:r>
          </w:p>
        </w:tc>
        <w:tc>
          <w:tcPr>
            <w:tcW w:w="848" w:type="dxa"/>
            <w:shd w:val="clear" w:color="auto" w:fill="auto"/>
          </w:tcPr>
          <w:p w:rsidR="00B756D3" w:rsidRPr="00E80D11" w:rsidRDefault="00B756D3" w:rsidP="00A277BA">
            <w:pPr>
              <w:spacing w:line="480" w:lineRule="auto"/>
              <w:jc w:val="both"/>
              <w:rPr>
                <w:sz w:val="22"/>
                <w:szCs w:val="22"/>
              </w:rPr>
            </w:pPr>
            <w:r w:rsidRPr="00E80D11">
              <w:rPr>
                <w:sz w:val="22"/>
                <w:szCs w:val="22"/>
              </w:rPr>
              <w:t>Çok az</w:t>
            </w:r>
          </w:p>
        </w:tc>
        <w:tc>
          <w:tcPr>
            <w:tcW w:w="656" w:type="dxa"/>
            <w:shd w:val="clear" w:color="auto" w:fill="auto"/>
          </w:tcPr>
          <w:p w:rsidR="00B756D3" w:rsidRPr="00E80D11" w:rsidRDefault="00B756D3" w:rsidP="00A277BA">
            <w:pPr>
              <w:spacing w:line="480" w:lineRule="auto"/>
              <w:jc w:val="both"/>
              <w:rPr>
                <w:sz w:val="22"/>
                <w:szCs w:val="22"/>
              </w:rPr>
            </w:pPr>
            <w:r w:rsidRPr="00E80D11">
              <w:rPr>
                <w:sz w:val="22"/>
                <w:szCs w:val="22"/>
              </w:rPr>
              <w:t>Asla</w:t>
            </w:r>
          </w:p>
        </w:tc>
      </w:tr>
      <w:tr w:rsidR="00B756D3" w:rsidRPr="00E80D11" w:rsidTr="00A277BA">
        <w:trPr>
          <w:trHeight w:val="490"/>
        </w:trPr>
        <w:tc>
          <w:tcPr>
            <w:tcW w:w="5317" w:type="dxa"/>
            <w:shd w:val="clear" w:color="auto" w:fill="auto"/>
          </w:tcPr>
          <w:p w:rsidR="00B756D3" w:rsidRPr="00E80D11" w:rsidRDefault="00B756D3" w:rsidP="00A277BA">
            <w:pPr>
              <w:spacing w:line="480" w:lineRule="auto"/>
              <w:jc w:val="both"/>
              <w:rPr>
                <w:sz w:val="22"/>
                <w:szCs w:val="22"/>
              </w:rPr>
            </w:pPr>
            <w:r w:rsidRPr="00E80D11">
              <w:rPr>
                <w:sz w:val="22"/>
                <w:szCs w:val="22"/>
              </w:rPr>
              <w:t>Bilgisayarımda bilimsel araştırmaları, bilim insanlarını, doğayı veya çevre olaylarını oku</w:t>
            </w:r>
            <w:r w:rsidR="00011A70">
              <w:rPr>
                <w:sz w:val="22"/>
                <w:szCs w:val="22"/>
              </w:rPr>
              <w:t>r</w:t>
            </w:r>
            <w:r w:rsidRPr="00E80D11">
              <w:rPr>
                <w:sz w:val="22"/>
                <w:szCs w:val="22"/>
              </w:rPr>
              <w:t>um.</w:t>
            </w:r>
          </w:p>
        </w:tc>
        <w:tc>
          <w:tcPr>
            <w:tcW w:w="1028" w:type="dxa"/>
            <w:shd w:val="clear" w:color="auto" w:fill="auto"/>
          </w:tcPr>
          <w:p w:rsidR="00B756D3" w:rsidRPr="00E80D11" w:rsidRDefault="00B756D3" w:rsidP="00A277BA">
            <w:pPr>
              <w:spacing w:line="480" w:lineRule="auto"/>
              <w:jc w:val="both"/>
              <w:rPr>
                <w:sz w:val="22"/>
                <w:szCs w:val="22"/>
              </w:rPr>
            </w:pPr>
          </w:p>
        </w:tc>
        <w:tc>
          <w:tcPr>
            <w:tcW w:w="956" w:type="dxa"/>
            <w:shd w:val="clear" w:color="auto" w:fill="auto"/>
          </w:tcPr>
          <w:p w:rsidR="00B756D3" w:rsidRPr="00E80D11" w:rsidRDefault="00B756D3" w:rsidP="00A277BA">
            <w:pPr>
              <w:spacing w:line="480" w:lineRule="auto"/>
              <w:jc w:val="both"/>
              <w:rPr>
                <w:sz w:val="22"/>
                <w:szCs w:val="22"/>
              </w:rPr>
            </w:pPr>
          </w:p>
        </w:tc>
        <w:tc>
          <w:tcPr>
            <w:tcW w:w="848" w:type="dxa"/>
            <w:shd w:val="clear" w:color="auto" w:fill="auto"/>
          </w:tcPr>
          <w:p w:rsidR="00B756D3" w:rsidRPr="00E80D11" w:rsidRDefault="00B756D3" w:rsidP="00A277BA">
            <w:pPr>
              <w:spacing w:line="480" w:lineRule="auto"/>
              <w:jc w:val="both"/>
              <w:rPr>
                <w:sz w:val="22"/>
                <w:szCs w:val="22"/>
              </w:rPr>
            </w:pPr>
          </w:p>
        </w:tc>
        <w:tc>
          <w:tcPr>
            <w:tcW w:w="656" w:type="dxa"/>
            <w:shd w:val="clear" w:color="auto" w:fill="auto"/>
          </w:tcPr>
          <w:p w:rsidR="00B756D3" w:rsidRPr="00E80D11" w:rsidRDefault="00B756D3" w:rsidP="00A277BA">
            <w:pPr>
              <w:spacing w:line="480" w:lineRule="auto"/>
              <w:jc w:val="both"/>
              <w:rPr>
                <w:sz w:val="22"/>
                <w:szCs w:val="22"/>
              </w:rPr>
            </w:pPr>
          </w:p>
        </w:tc>
      </w:tr>
      <w:tr w:rsidR="00B756D3" w:rsidRPr="00E80D11" w:rsidTr="00A277BA">
        <w:trPr>
          <w:trHeight w:val="20"/>
        </w:trPr>
        <w:tc>
          <w:tcPr>
            <w:tcW w:w="5317" w:type="dxa"/>
            <w:shd w:val="clear" w:color="auto" w:fill="auto"/>
          </w:tcPr>
          <w:p w:rsidR="00B756D3" w:rsidRPr="00E80D11" w:rsidRDefault="00B756D3" w:rsidP="00A277BA">
            <w:pPr>
              <w:spacing w:line="480" w:lineRule="auto"/>
              <w:jc w:val="both"/>
              <w:rPr>
                <w:sz w:val="22"/>
                <w:szCs w:val="22"/>
              </w:rPr>
            </w:pPr>
            <w:r w:rsidRPr="00E80D11">
              <w:rPr>
                <w:sz w:val="22"/>
                <w:szCs w:val="22"/>
              </w:rPr>
              <w:t>Cep telefonumda bilimsel araştırmaları, bilim insanları, doğa ya da çevreyi araştırırım.</w:t>
            </w:r>
          </w:p>
        </w:tc>
        <w:tc>
          <w:tcPr>
            <w:tcW w:w="1028" w:type="dxa"/>
            <w:shd w:val="clear" w:color="auto" w:fill="auto"/>
          </w:tcPr>
          <w:p w:rsidR="00B756D3" w:rsidRPr="00E80D11" w:rsidRDefault="00B756D3" w:rsidP="00A277BA">
            <w:pPr>
              <w:spacing w:line="480" w:lineRule="auto"/>
              <w:jc w:val="both"/>
              <w:rPr>
                <w:sz w:val="22"/>
                <w:szCs w:val="22"/>
              </w:rPr>
            </w:pPr>
          </w:p>
        </w:tc>
        <w:tc>
          <w:tcPr>
            <w:tcW w:w="956" w:type="dxa"/>
            <w:shd w:val="clear" w:color="auto" w:fill="auto"/>
          </w:tcPr>
          <w:p w:rsidR="00B756D3" w:rsidRPr="00E80D11" w:rsidRDefault="00B756D3" w:rsidP="00A277BA">
            <w:pPr>
              <w:spacing w:line="480" w:lineRule="auto"/>
              <w:jc w:val="both"/>
              <w:rPr>
                <w:sz w:val="22"/>
                <w:szCs w:val="22"/>
              </w:rPr>
            </w:pPr>
          </w:p>
        </w:tc>
        <w:tc>
          <w:tcPr>
            <w:tcW w:w="848" w:type="dxa"/>
            <w:shd w:val="clear" w:color="auto" w:fill="auto"/>
          </w:tcPr>
          <w:p w:rsidR="00B756D3" w:rsidRPr="00E80D11" w:rsidRDefault="00B756D3" w:rsidP="00A277BA">
            <w:pPr>
              <w:spacing w:line="480" w:lineRule="auto"/>
              <w:jc w:val="both"/>
              <w:rPr>
                <w:sz w:val="22"/>
                <w:szCs w:val="22"/>
              </w:rPr>
            </w:pPr>
          </w:p>
        </w:tc>
        <w:tc>
          <w:tcPr>
            <w:tcW w:w="656" w:type="dxa"/>
            <w:shd w:val="clear" w:color="auto" w:fill="auto"/>
          </w:tcPr>
          <w:p w:rsidR="00B756D3" w:rsidRPr="00E80D11" w:rsidRDefault="00B756D3" w:rsidP="00A277BA">
            <w:pPr>
              <w:spacing w:line="480" w:lineRule="auto"/>
              <w:jc w:val="both"/>
              <w:rPr>
                <w:sz w:val="22"/>
                <w:szCs w:val="22"/>
              </w:rPr>
            </w:pPr>
          </w:p>
        </w:tc>
      </w:tr>
      <w:tr w:rsidR="00B756D3" w:rsidRPr="00E80D11" w:rsidTr="00A277BA">
        <w:trPr>
          <w:trHeight w:val="20"/>
        </w:trPr>
        <w:tc>
          <w:tcPr>
            <w:tcW w:w="5317" w:type="dxa"/>
            <w:shd w:val="clear" w:color="auto" w:fill="auto"/>
          </w:tcPr>
          <w:p w:rsidR="00B756D3" w:rsidRPr="00E80D11" w:rsidRDefault="00B756D3" w:rsidP="00A277BA">
            <w:pPr>
              <w:spacing w:line="480" w:lineRule="auto"/>
              <w:jc w:val="both"/>
              <w:rPr>
                <w:sz w:val="22"/>
                <w:szCs w:val="22"/>
              </w:rPr>
            </w:pPr>
            <w:r w:rsidRPr="00E80D11">
              <w:rPr>
                <w:sz w:val="22"/>
                <w:szCs w:val="22"/>
              </w:rPr>
              <w:t>Bilimsel araştırma, bilim adamları, doğa veya çevre ile ilgili bir TV şovu gördüğümde kanalı değiştiririm.</w:t>
            </w:r>
          </w:p>
        </w:tc>
        <w:tc>
          <w:tcPr>
            <w:tcW w:w="1028" w:type="dxa"/>
            <w:shd w:val="clear" w:color="auto" w:fill="auto"/>
          </w:tcPr>
          <w:p w:rsidR="00B756D3" w:rsidRPr="00E80D11" w:rsidRDefault="00B756D3" w:rsidP="00A277BA">
            <w:pPr>
              <w:spacing w:line="480" w:lineRule="auto"/>
              <w:jc w:val="both"/>
              <w:rPr>
                <w:sz w:val="22"/>
                <w:szCs w:val="22"/>
              </w:rPr>
            </w:pPr>
          </w:p>
        </w:tc>
        <w:tc>
          <w:tcPr>
            <w:tcW w:w="956" w:type="dxa"/>
            <w:shd w:val="clear" w:color="auto" w:fill="auto"/>
          </w:tcPr>
          <w:p w:rsidR="00B756D3" w:rsidRPr="00E80D11" w:rsidRDefault="00B756D3" w:rsidP="00A277BA">
            <w:pPr>
              <w:spacing w:line="480" w:lineRule="auto"/>
              <w:jc w:val="both"/>
              <w:rPr>
                <w:sz w:val="22"/>
                <w:szCs w:val="22"/>
              </w:rPr>
            </w:pPr>
          </w:p>
        </w:tc>
        <w:tc>
          <w:tcPr>
            <w:tcW w:w="848" w:type="dxa"/>
            <w:shd w:val="clear" w:color="auto" w:fill="auto"/>
          </w:tcPr>
          <w:p w:rsidR="00B756D3" w:rsidRPr="00E80D11" w:rsidRDefault="00B756D3" w:rsidP="00A277BA">
            <w:pPr>
              <w:spacing w:line="480" w:lineRule="auto"/>
              <w:jc w:val="both"/>
              <w:rPr>
                <w:sz w:val="22"/>
                <w:szCs w:val="22"/>
              </w:rPr>
            </w:pPr>
          </w:p>
        </w:tc>
        <w:tc>
          <w:tcPr>
            <w:tcW w:w="656" w:type="dxa"/>
            <w:shd w:val="clear" w:color="auto" w:fill="auto"/>
          </w:tcPr>
          <w:p w:rsidR="00B756D3" w:rsidRPr="00E80D11" w:rsidRDefault="00B756D3" w:rsidP="00A277BA">
            <w:pPr>
              <w:spacing w:line="480" w:lineRule="auto"/>
              <w:jc w:val="both"/>
              <w:rPr>
                <w:sz w:val="22"/>
                <w:szCs w:val="22"/>
              </w:rPr>
            </w:pPr>
          </w:p>
        </w:tc>
      </w:tr>
      <w:tr w:rsidR="00B756D3" w:rsidRPr="00E80D11" w:rsidTr="00A277BA">
        <w:trPr>
          <w:trHeight w:val="20"/>
        </w:trPr>
        <w:tc>
          <w:tcPr>
            <w:tcW w:w="5317" w:type="dxa"/>
            <w:shd w:val="clear" w:color="auto" w:fill="auto"/>
          </w:tcPr>
          <w:p w:rsidR="00B756D3" w:rsidRPr="00E80D11" w:rsidRDefault="00B756D3" w:rsidP="00A277BA">
            <w:pPr>
              <w:spacing w:line="480" w:lineRule="auto"/>
              <w:jc w:val="both"/>
              <w:rPr>
                <w:sz w:val="22"/>
                <w:szCs w:val="22"/>
              </w:rPr>
            </w:pPr>
            <w:r w:rsidRPr="00E80D11">
              <w:rPr>
                <w:sz w:val="22"/>
                <w:szCs w:val="22"/>
              </w:rPr>
              <w:t>Bilimsel araştırmalar, bilim insanları, doğa ya da çevre (bölümler dahil) hakkındaki dergi, makale ya da kitaplarını okurum.</w:t>
            </w:r>
          </w:p>
        </w:tc>
        <w:tc>
          <w:tcPr>
            <w:tcW w:w="1028" w:type="dxa"/>
            <w:shd w:val="clear" w:color="auto" w:fill="auto"/>
          </w:tcPr>
          <w:p w:rsidR="00B756D3" w:rsidRPr="00E80D11" w:rsidRDefault="00B756D3" w:rsidP="00A277BA">
            <w:pPr>
              <w:spacing w:line="480" w:lineRule="auto"/>
              <w:jc w:val="both"/>
              <w:rPr>
                <w:sz w:val="22"/>
                <w:szCs w:val="22"/>
              </w:rPr>
            </w:pPr>
          </w:p>
        </w:tc>
        <w:tc>
          <w:tcPr>
            <w:tcW w:w="956" w:type="dxa"/>
            <w:shd w:val="clear" w:color="auto" w:fill="auto"/>
          </w:tcPr>
          <w:p w:rsidR="00B756D3" w:rsidRPr="00E80D11" w:rsidRDefault="00B756D3" w:rsidP="00A277BA">
            <w:pPr>
              <w:spacing w:line="480" w:lineRule="auto"/>
              <w:jc w:val="both"/>
              <w:rPr>
                <w:sz w:val="22"/>
                <w:szCs w:val="22"/>
              </w:rPr>
            </w:pPr>
          </w:p>
        </w:tc>
        <w:tc>
          <w:tcPr>
            <w:tcW w:w="848" w:type="dxa"/>
            <w:shd w:val="clear" w:color="auto" w:fill="auto"/>
          </w:tcPr>
          <w:p w:rsidR="00B756D3" w:rsidRPr="00E80D11" w:rsidRDefault="00B756D3" w:rsidP="00A277BA">
            <w:pPr>
              <w:spacing w:line="480" w:lineRule="auto"/>
              <w:jc w:val="both"/>
              <w:rPr>
                <w:sz w:val="22"/>
                <w:szCs w:val="22"/>
              </w:rPr>
            </w:pPr>
          </w:p>
        </w:tc>
        <w:tc>
          <w:tcPr>
            <w:tcW w:w="656" w:type="dxa"/>
            <w:shd w:val="clear" w:color="auto" w:fill="auto"/>
          </w:tcPr>
          <w:p w:rsidR="00B756D3" w:rsidRPr="00E80D11" w:rsidRDefault="00B756D3" w:rsidP="00A277BA">
            <w:pPr>
              <w:spacing w:line="480" w:lineRule="auto"/>
              <w:jc w:val="both"/>
              <w:rPr>
                <w:sz w:val="22"/>
                <w:szCs w:val="22"/>
              </w:rPr>
            </w:pPr>
          </w:p>
        </w:tc>
      </w:tr>
      <w:tr w:rsidR="00B756D3" w:rsidRPr="00E80D11" w:rsidTr="00A277BA">
        <w:trPr>
          <w:trHeight w:val="619"/>
        </w:trPr>
        <w:tc>
          <w:tcPr>
            <w:tcW w:w="5317" w:type="dxa"/>
            <w:shd w:val="clear" w:color="auto" w:fill="auto"/>
          </w:tcPr>
          <w:p w:rsidR="00B756D3" w:rsidRPr="00E80D11" w:rsidRDefault="00B756D3" w:rsidP="00A277BA">
            <w:pPr>
              <w:spacing w:line="480" w:lineRule="auto"/>
              <w:jc w:val="both"/>
              <w:rPr>
                <w:sz w:val="22"/>
                <w:szCs w:val="22"/>
              </w:rPr>
            </w:pPr>
            <w:r w:rsidRPr="00E80D11">
              <w:rPr>
                <w:sz w:val="22"/>
                <w:szCs w:val="22"/>
              </w:rPr>
              <w:t>Hayvanlar, bitkiler, gökyüzü veya diğer olayları</w:t>
            </w:r>
            <w:r w:rsidR="00011A70">
              <w:rPr>
                <w:sz w:val="22"/>
                <w:szCs w:val="22"/>
              </w:rPr>
              <w:t>nı</w:t>
            </w:r>
            <w:r w:rsidRPr="00E80D11">
              <w:rPr>
                <w:sz w:val="22"/>
                <w:szCs w:val="22"/>
              </w:rPr>
              <w:t xml:space="preserve"> gözlemlerim.</w:t>
            </w:r>
          </w:p>
        </w:tc>
        <w:tc>
          <w:tcPr>
            <w:tcW w:w="1028" w:type="dxa"/>
            <w:shd w:val="clear" w:color="auto" w:fill="auto"/>
          </w:tcPr>
          <w:p w:rsidR="00B756D3" w:rsidRPr="00E80D11" w:rsidRDefault="00B756D3" w:rsidP="00A277BA">
            <w:pPr>
              <w:spacing w:line="480" w:lineRule="auto"/>
              <w:jc w:val="both"/>
              <w:rPr>
                <w:sz w:val="22"/>
                <w:szCs w:val="22"/>
              </w:rPr>
            </w:pPr>
          </w:p>
        </w:tc>
        <w:tc>
          <w:tcPr>
            <w:tcW w:w="956" w:type="dxa"/>
            <w:shd w:val="clear" w:color="auto" w:fill="auto"/>
          </w:tcPr>
          <w:p w:rsidR="00B756D3" w:rsidRPr="00E80D11" w:rsidRDefault="00B756D3" w:rsidP="00A277BA">
            <w:pPr>
              <w:spacing w:line="480" w:lineRule="auto"/>
              <w:jc w:val="both"/>
              <w:rPr>
                <w:sz w:val="22"/>
                <w:szCs w:val="22"/>
              </w:rPr>
            </w:pPr>
          </w:p>
        </w:tc>
        <w:tc>
          <w:tcPr>
            <w:tcW w:w="848" w:type="dxa"/>
            <w:shd w:val="clear" w:color="auto" w:fill="auto"/>
          </w:tcPr>
          <w:p w:rsidR="00B756D3" w:rsidRPr="00E80D11" w:rsidRDefault="00B756D3" w:rsidP="00A277BA">
            <w:pPr>
              <w:spacing w:line="480" w:lineRule="auto"/>
              <w:jc w:val="both"/>
              <w:rPr>
                <w:sz w:val="22"/>
                <w:szCs w:val="22"/>
              </w:rPr>
            </w:pPr>
          </w:p>
        </w:tc>
        <w:tc>
          <w:tcPr>
            <w:tcW w:w="656" w:type="dxa"/>
            <w:shd w:val="clear" w:color="auto" w:fill="auto"/>
          </w:tcPr>
          <w:p w:rsidR="00B756D3" w:rsidRPr="00E80D11" w:rsidRDefault="00B756D3" w:rsidP="00A277BA">
            <w:pPr>
              <w:spacing w:line="480" w:lineRule="auto"/>
              <w:jc w:val="both"/>
              <w:rPr>
                <w:sz w:val="22"/>
                <w:szCs w:val="22"/>
              </w:rPr>
            </w:pPr>
          </w:p>
        </w:tc>
      </w:tr>
      <w:tr w:rsidR="00B756D3" w:rsidRPr="00E80D11" w:rsidTr="00A277BA">
        <w:trPr>
          <w:trHeight w:val="20"/>
        </w:trPr>
        <w:tc>
          <w:tcPr>
            <w:tcW w:w="5317" w:type="dxa"/>
            <w:shd w:val="clear" w:color="auto" w:fill="auto"/>
          </w:tcPr>
          <w:p w:rsidR="00B756D3" w:rsidRPr="00E80D11" w:rsidRDefault="00B756D3" w:rsidP="00B756D3"/>
        </w:tc>
        <w:tc>
          <w:tcPr>
            <w:tcW w:w="1028" w:type="dxa"/>
            <w:shd w:val="clear" w:color="auto" w:fill="auto"/>
          </w:tcPr>
          <w:p w:rsidR="00B756D3" w:rsidRPr="00E80D11" w:rsidRDefault="00B756D3" w:rsidP="00B756D3">
            <w:r w:rsidRPr="00E80D11">
              <w:t>Sıklıkla</w:t>
            </w:r>
          </w:p>
        </w:tc>
        <w:tc>
          <w:tcPr>
            <w:tcW w:w="956" w:type="dxa"/>
            <w:shd w:val="clear" w:color="auto" w:fill="auto"/>
          </w:tcPr>
          <w:p w:rsidR="00B756D3" w:rsidRPr="00E80D11" w:rsidRDefault="00B756D3" w:rsidP="00B756D3">
            <w:r w:rsidRPr="00E80D11">
              <w:t>Bazen</w:t>
            </w:r>
          </w:p>
        </w:tc>
        <w:tc>
          <w:tcPr>
            <w:tcW w:w="848" w:type="dxa"/>
            <w:shd w:val="clear" w:color="auto" w:fill="auto"/>
          </w:tcPr>
          <w:p w:rsidR="00B756D3" w:rsidRPr="00E80D11" w:rsidRDefault="00B756D3" w:rsidP="00B756D3">
            <w:r w:rsidRPr="00E80D11">
              <w:t>Çok az</w:t>
            </w:r>
          </w:p>
        </w:tc>
        <w:tc>
          <w:tcPr>
            <w:tcW w:w="656" w:type="dxa"/>
            <w:shd w:val="clear" w:color="auto" w:fill="auto"/>
          </w:tcPr>
          <w:p w:rsidR="00B756D3" w:rsidRPr="00E80D11" w:rsidRDefault="00B756D3" w:rsidP="00B756D3">
            <w:r w:rsidRPr="00E80D11">
              <w:t>Asla</w:t>
            </w:r>
          </w:p>
        </w:tc>
      </w:tr>
      <w:tr w:rsidR="00B756D3" w:rsidRPr="00E80D11" w:rsidTr="00A277BA">
        <w:trPr>
          <w:trHeight w:val="20"/>
        </w:trPr>
        <w:tc>
          <w:tcPr>
            <w:tcW w:w="5317" w:type="dxa"/>
            <w:shd w:val="clear" w:color="auto" w:fill="auto"/>
          </w:tcPr>
          <w:p w:rsidR="00B756D3" w:rsidRPr="00E80D11" w:rsidRDefault="00B756D3" w:rsidP="00A277BA">
            <w:pPr>
              <w:spacing w:line="480" w:lineRule="auto"/>
              <w:jc w:val="both"/>
              <w:rPr>
                <w:sz w:val="22"/>
                <w:szCs w:val="22"/>
              </w:rPr>
            </w:pPr>
            <w:r w:rsidRPr="00E80D11">
              <w:rPr>
                <w:sz w:val="22"/>
                <w:szCs w:val="22"/>
              </w:rPr>
              <w:t xml:space="preserve">Bilimsel araştırmalar, bilim insanları, doğa veya çevre ile ilgili TV </w:t>
            </w:r>
            <w:r w:rsidR="00011A70">
              <w:rPr>
                <w:sz w:val="22"/>
                <w:szCs w:val="22"/>
              </w:rPr>
              <w:t>programları</w:t>
            </w:r>
            <w:r w:rsidRPr="00E80D11">
              <w:rPr>
                <w:sz w:val="22"/>
                <w:szCs w:val="22"/>
              </w:rPr>
              <w:t xml:space="preserve"> izlerim.</w:t>
            </w:r>
          </w:p>
        </w:tc>
        <w:tc>
          <w:tcPr>
            <w:tcW w:w="1028" w:type="dxa"/>
            <w:shd w:val="clear" w:color="auto" w:fill="auto"/>
          </w:tcPr>
          <w:p w:rsidR="00B756D3" w:rsidRPr="00E80D11" w:rsidRDefault="00B756D3" w:rsidP="00A277BA">
            <w:pPr>
              <w:spacing w:line="480" w:lineRule="auto"/>
              <w:jc w:val="both"/>
              <w:rPr>
                <w:sz w:val="22"/>
                <w:szCs w:val="22"/>
              </w:rPr>
            </w:pPr>
          </w:p>
        </w:tc>
        <w:tc>
          <w:tcPr>
            <w:tcW w:w="956" w:type="dxa"/>
            <w:shd w:val="clear" w:color="auto" w:fill="auto"/>
          </w:tcPr>
          <w:p w:rsidR="00B756D3" w:rsidRPr="00E80D11" w:rsidRDefault="00B756D3" w:rsidP="00A277BA">
            <w:pPr>
              <w:spacing w:line="480" w:lineRule="auto"/>
              <w:jc w:val="both"/>
              <w:rPr>
                <w:sz w:val="22"/>
                <w:szCs w:val="22"/>
              </w:rPr>
            </w:pPr>
          </w:p>
        </w:tc>
        <w:tc>
          <w:tcPr>
            <w:tcW w:w="848" w:type="dxa"/>
            <w:shd w:val="clear" w:color="auto" w:fill="auto"/>
          </w:tcPr>
          <w:p w:rsidR="00B756D3" w:rsidRPr="00E80D11" w:rsidRDefault="00B756D3" w:rsidP="00A277BA">
            <w:pPr>
              <w:spacing w:line="480" w:lineRule="auto"/>
              <w:jc w:val="both"/>
              <w:rPr>
                <w:sz w:val="22"/>
                <w:szCs w:val="22"/>
              </w:rPr>
            </w:pPr>
          </w:p>
        </w:tc>
        <w:tc>
          <w:tcPr>
            <w:tcW w:w="656" w:type="dxa"/>
            <w:shd w:val="clear" w:color="auto" w:fill="auto"/>
          </w:tcPr>
          <w:p w:rsidR="00B756D3" w:rsidRPr="00E80D11" w:rsidRDefault="00B756D3" w:rsidP="00A277BA">
            <w:pPr>
              <w:spacing w:line="480" w:lineRule="auto"/>
              <w:jc w:val="both"/>
              <w:rPr>
                <w:sz w:val="22"/>
                <w:szCs w:val="22"/>
              </w:rPr>
            </w:pPr>
          </w:p>
        </w:tc>
      </w:tr>
      <w:tr w:rsidR="00B756D3" w:rsidRPr="00E80D11" w:rsidTr="00A277BA">
        <w:trPr>
          <w:trHeight w:val="20"/>
        </w:trPr>
        <w:tc>
          <w:tcPr>
            <w:tcW w:w="5317" w:type="dxa"/>
            <w:shd w:val="clear" w:color="auto" w:fill="auto"/>
          </w:tcPr>
          <w:p w:rsidR="00B756D3" w:rsidRPr="00E80D11" w:rsidRDefault="00B756D3" w:rsidP="00A277BA">
            <w:pPr>
              <w:spacing w:line="480" w:lineRule="auto"/>
              <w:jc w:val="both"/>
              <w:rPr>
                <w:sz w:val="22"/>
                <w:szCs w:val="22"/>
              </w:rPr>
            </w:pPr>
            <w:r w:rsidRPr="00E80D11">
              <w:rPr>
                <w:sz w:val="22"/>
                <w:szCs w:val="22"/>
              </w:rPr>
              <w:t>Boş zamanlarımda küçük bilimsel deney tasarlarımı yaparım.</w:t>
            </w:r>
          </w:p>
        </w:tc>
        <w:tc>
          <w:tcPr>
            <w:tcW w:w="1028" w:type="dxa"/>
            <w:shd w:val="clear" w:color="auto" w:fill="auto"/>
          </w:tcPr>
          <w:p w:rsidR="00B756D3" w:rsidRPr="00E80D11" w:rsidRDefault="00B756D3" w:rsidP="00A277BA">
            <w:pPr>
              <w:spacing w:line="480" w:lineRule="auto"/>
              <w:jc w:val="both"/>
              <w:rPr>
                <w:sz w:val="22"/>
                <w:szCs w:val="22"/>
              </w:rPr>
            </w:pPr>
          </w:p>
        </w:tc>
        <w:tc>
          <w:tcPr>
            <w:tcW w:w="956" w:type="dxa"/>
            <w:shd w:val="clear" w:color="auto" w:fill="auto"/>
          </w:tcPr>
          <w:p w:rsidR="00B756D3" w:rsidRPr="00E80D11" w:rsidRDefault="00B756D3" w:rsidP="00A277BA">
            <w:pPr>
              <w:spacing w:line="480" w:lineRule="auto"/>
              <w:jc w:val="both"/>
              <w:rPr>
                <w:sz w:val="22"/>
                <w:szCs w:val="22"/>
              </w:rPr>
            </w:pPr>
          </w:p>
        </w:tc>
        <w:tc>
          <w:tcPr>
            <w:tcW w:w="848" w:type="dxa"/>
            <w:shd w:val="clear" w:color="auto" w:fill="auto"/>
          </w:tcPr>
          <w:p w:rsidR="00B756D3" w:rsidRPr="00E80D11" w:rsidRDefault="00B756D3" w:rsidP="00A277BA">
            <w:pPr>
              <w:spacing w:line="480" w:lineRule="auto"/>
              <w:jc w:val="both"/>
              <w:rPr>
                <w:sz w:val="22"/>
                <w:szCs w:val="22"/>
              </w:rPr>
            </w:pPr>
          </w:p>
        </w:tc>
        <w:tc>
          <w:tcPr>
            <w:tcW w:w="656" w:type="dxa"/>
            <w:shd w:val="clear" w:color="auto" w:fill="auto"/>
          </w:tcPr>
          <w:p w:rsidR="00B756D3" w:rsidRPr="00E80D11" w:rsidRDefault="00B756D3" w:rsidP="00A277BA">
            <w:pPr>
              <w:spacing w:line="480" w:lineRule="auto"/>
              <w:jc w:val="both"/>
              <w:rPr>
                <w:sz w:val="22"/>
                <w:szCs w:val="22"/>
              </w:rPr>
            </w:pPr>
          </w:p>
        </w:tc>
      </w:tr>
      <w:tr w:rsidR="00B756D3" w:rsidRPr="00E80D11" w:rsidTr="00A277BA">
        <w:trPr>
          <w:trHeight w:val="20"/>
        </w:trPr>
        <w:tc>
          <w:tcPr>
            <w:tcW w:w="5317" w:type="dxa"/>
            <w:shd w:val="clear" w:color="auto" w:fill="auto"/>
          </w:tcPr>
          <w:p w:rsidR="00B756D3" w:rsidRPr="00E80D11" w:rsidRDefault="00B756D3" w:rsidP="00A277BA">
            <w:pPr>
              <w:spacing w:line="480" w:lineRule="auto"/>
              <w:jc w:val="both"/>
              <w:rPr>
                <w:sz w:val="22"/>
                <w:szCs w:val="22"/>
              </w:rPr>
            </w:pPr>
            <w:r w:rsidRPr="00E80D11">
              <w:rPr>
                <w:sz w:val="22"/>
                <w:szCs w:val="22"/>
              </w:rPr>
              <w:lastRenderedPageBreak/>
              <w:t>Bir öğeyi kullanmayı (saat, cep telefonu veya ev aleti vb.) öğrenmek için oynarım ya da içini açarım.</w:t>
            </w:r>
          </w:p>
        </w:tc>
        <w:tc>
          <w:tcPr>
            <w:tcW w:w="1028" w:type="dxa"/>
            <w:shd w:val="clear" w:color="auto" w:fill="auto"/>
          </w:tcPr>
          <w:p w:rsidR="00B756D3" w:rsidRPr="00E80D11" w:rsidRDefault="00B756D3" w:rsidP="00A277BA">
            <w:pPr>
              <w:spacing w:line="480" w:lineRule="auto"/>
              <w:jc w:val="both"/>
              <w:rPr>
                <w:sz w:val="22"/>
                <w:szCs w:val="22"/>
              </w:rPr>
            </w:pPr>
          </w:p>
        </w:tc>
        <w:tc>
          <w:tcPr>
            <w:tcW w:w="956" w:type="dxa"/>
            <w:shd w:val="clear" w:color="auto" w:fill="auto"/>
          </w:tcPr>
          <w:p w:rsidR="00B756D3" w:rsidRPr="00E80D11" w:rsidRDefault="00B756D3" w:rsidP="00A277BA">
            <w:pPr>
              <w:spacing w:line="480" w:lineRule="auto"/>
              <w:jc w:val="both"/>
              <w:rPr>
                <w:sz w:val="22"/>
                <w:szCs w:val="22"/>
              </w:rPr>
            </w:pPr>
          </w:p>
        </w:tc>
        <w:tc>
          <w:tcPr>
            <w:tcW w:w="848" w:type="dxa"/>
            <w:shd w:val="clear" w:color="auto" w:fill="auto"/>
          </w:tcPr>
          <w:p w:rsidR="00B756D3" w:rsidRPr="00E80D11" w:rsidRDefault="00B756D3" w:rsidP="00A277BA">
            <w:pPr>
              <w:spacing w:line="480" w:lineRule="auto"/>
              <w:jc w:val="both"/>
              <w:rPr>
                <w:sz w:val="22"/>
                <w:szCs w:val="22"/>
              </w:rPr>
            </w:pPr>
          </w:p>
        </w:tc>
        <w:tc>
          <w:tcPr>
            <w:tcW w:w="656" w:type="dxa"/>
            <w:shd w:val="clear" w:color="auto" w:fill="auto"/>
          </w:tcPr>
          <w:p w:rsidR="00B756D3" w:rsidRPr="00E80D11" w:rsidRDefault="00B756D3" w:rsidP="00A277BA">
            <w:pPr>
              <w:spacing w:line="480" w:lineRule="auto"/>
              <w:jc w:val="both"/>
              <w:rPr>
                <w:sz w:val="22"/>
                <w:szCs w:val="22"/>
              </w:rPr>
            </w:pPr>
          </w:p>
        </w:tc>
      </w:tr>
      <w:tr w:rsidR="00B756D3" w:rsidRPr="00E80D11" w:rsidTr="00A277BA">
        <w:trPr>
          <w:trHeight w:val="493"/>
        </w:trPr>
        <w:tc>
          <w:tcPr>
            <w:tcW w:w="5317" w:type="dxa"/>
            <w:shd w:val="clear" w:color="auto" w:fill="auto"/>
          </w:tcPr>
          <w:p w:rsidR="00B756D3" w:rsidRPr="00E80D11" w:rsidRDefault="00B756D3" w:rsidP="00A277BA">
            <w:pPr>
              <w:spacing w:line="480" w:lineRule="auto"/>
              <w:jc w:val="both"/>
              <w:rPr>
                <w:sz w:val="22"/>
                <w:szCs w:val="22"/>
              </w:rPr>
            </w:pPr>
            <w:r w:rsidRPr="00E80D11">
              <w:rPr>
                <w:sz w:val="22"/>
                <w:szCs w:val="22"/>
              </w:rPr>
              <w:t>Bir öğeyi kullanmayı (saat, cep telefonu veya ev aleti vb.) öğrenmek için talimatları okurum veya bilgilere erişirim.</w:t>
            </w:r>
          </w:p>
        </w:tc>
        <w:tc>
          <w:tcPr>
            <w:tcW w:w="1028" w:type="dxa"/>
            <w:shd w:val="clear" w:color="auto" w:fill="auto"/>
          </w:tcPr>
          <w:p w:rsidR="00B756D3" w:rsidRPr="00E80D11" w:rsidRDefault="00B756D3" w:rsidP="00A277BA">
            <w:pPr>
              <w:spacing w:line="480" w:lineRule="auto"/>
              <w:jc w:val="both"/>
              <w:rPr>
                <w:sz w:val="22"/>
                <w:szCs w:val="22"/>
              </w:rPr>
            </w:pPr>
          </w:p>
        </w:tc>
        <w:tc>
          <w:tcPr>
            <w:tcW w:w="956" w:type="dxa"/>
            <w:shd w:val="clear" w:color="auto" w:fill="auto"/>
          </w:tcPr>
          <w:p w:rsidR="00B756D3" w:rsidRPr="00E80D11" w:rsidRDefault="00B756D3" w:rsidP="00A277BA">
            <w:pPr>
              <w:spacing w:line="480" w:lineRule="auto"/>
              <w:jc w:val="both"/>
              <w:rPr>
                <w:sz w:val="22"/>
                <w:szCs w:val="22"/>
              </w:rPr>
            </w:pPr>
          </w:p>
        </w:tc>
        <w:tc>
          <w:tcPr>
            <w:tcW w:w="848" w:type="dxa"/>
            <w:shd w:val="clear" w:color="auto" w:fill="auto"/>
          </w:tcPr>
          <w:p w:rsidR="00B756D3" w:rsidRPr="00E80D11" w:rsidRDefault="00B756D3" w:rsidP="00A277BA">
            <w:pPr>
              <w:spacing w:line="480" w:lineRule="auto"/>
              <w:jc w:val="both"/>
              <w:rPr>
                <w:sz w:val="22"/>
                <w:szCs w:val="22"/>
              </w:rPr>
            </w:pPr>
          </w:p>
        </w:tc>
        <w:tc>
          <w:tcPr>
            <w:tcW w:w="656" w:type="dxa"/>
            <w:shd w:val="clear" w:color="auto" w:fill="auto"/>
          </w:tcPr>
          <w:p w:rsidR="00B756D3" w:rsidRPr="00E80D11" w:rsidRDefault="00B756D3" w:rsidP="00A277BA">
            <w:pPr>
              <w:spacing w:line="480" w:lineRule="auto"/>
              <w:jc w:val="both"/>
              <w:rPr>
                <w:sz w:val="22"/>
                <w:szCs w:val="22"/>
              </w:rPr>
            </w:pPr>
          </w:p>
        </w:tc>
      </w:tr>
      <w:tr w:rsidR="00B756D3" w:rsidRPr="00E80D11" w:rsidTr="00A277BA">
        <w:trPr>
          <w:trHeight w:val="20"/>
        </w:trPr>
        <w:tc>
          <w:tcPr>
            <w:tcW w:w="5317" w:type="dxa"/>
            <w:shd w:val="clear" w:color="auto" w:fill="auto"/>
          </w:tcPr>
          <w:p w:rsidR="00B756D3" w:rsidRPr="00E80D11" w:rsidRDefault="00B756D3" w:rsidP="00A277BA">
            <w:pPr>
              <w:spacing w:line="480" w:lineRule="auto"/>
              <w:jc w:val="both"/>
              <w:rPr>
                <w:sz w:val="22"/>
                <w:szCs w:val="22"/>
              </w:rPr>
            </w:pPr>
            <w:r w:rsidRPr="00E80D11">
              <w:rPr>
                <w:sz w:val="22"/>
                <w:szCs w:val="22"/>
              </w:rPr>
              <w:t>Bir şeyler ters gittiğinde (bir alet bozulduğunda), nedenini bulmaya çalışırım.</w:t>
            </w:r>
          </w:p>
        </w:tc>
        <w:tc>
          <w:tcPr>
            <w:tcW w:w="1028" w:type="dxa"/>
            <w:shd w:val="clear" w:color="auto" w:fill="auto"/>
          </w:tcPr>
          <w:p w:rsidR="00B756D3" w:rsidRPr="00E80D11" w:rsidRDefault="00B756D3" w:rsidP="00A277BA">
            <w:pPr>
              <w:spacing w:line="480" w:lineRule="auto"/>
              <w:jc w:val="both"/>
              <w:rPr>
                <w:sz w:val="22"/>
                <w:szCs w:val="22"/>
              </w:rPr>
            </w:pPr>
          </w:p>
        </w:tc>
        <w:tc>
          <w:tcPr>
            <w:tcW w:w="956" w:type="dxa"/>
            <w:shd w:val="clear" w:color="auto" w:fill="auto"/>
          </w:tcPr>
          <w:p w:rsidR="00B756D3" w:rsidRPr="00E80D11" w:rsidRDefault="00B756D3" w:rsidP="00A277BA">
            <w:pPr>
              <w:spacing w:line="480" w:lineRule="auto"/>
              <w:jc w:val="both"/>
              <w:rPr>
                <w:sz w:val="22"/>
                <w:szCs w:val="22"/>
              </w:rPr>
            </w:pPr>
          </w:p>
        </w:tc>
        <w:tc>
          <w:tcPr>
            <w:tcW w:w="848" w:type="dxa"/>
            <w:shd w:val="clear" w:color="auto" w:fill="auto"/>
          </w:tcPr>
          <w:p w:rsidR="00B756D3" w:rsidRPr="00E80D11" w:rsidRDefault="00B756D3" w:rsidP="00A277BA">
            <w:pPr>
              <w:spacing w:line="480" w:lineRule="auto"/>
              <w:jc w:val="both"/>
              <w:rPr>
                <w:sz w:val="22"/>
                <w:szCs w:val="22"/>
              </w:rPr>
            </w:pPr>
          </w:p>
        </w:tc>
        <w:tc>
          <w:tcPr>
            <w:tcW w:w="656" w:type="dxa"/>
            <w:shd w:val="clear" w:color="auto" w:fill="auto"/>
          </w:tcPr>
          <w:p w:rsidR="00B756D3" w:rsidRPr="00E80D11" w:rsidRDefault="00B756D3" w:rsidP="00A277BA">
            <w:pPr>
              <w:spacing w:line="480" w:lineRule="auto"/>
              <w:jc w:val="both"/>
              <w:rPr>
                <w:sz w:val="22"/>
                <w:szCs w:val="22"/>
              </w:rPr>
            </w:pPr>
          </w:p>
        </w:tc>
      </w:tr>
      <w:tr w:rsidR="00B756D3" w:rsidRPr="00E80D11" w:rsidTr="00A277BA">
        <w:trPr>
          <w:trHeight w:val="20"/>
        </w:trPr>
        <w:tc>
          <w:tcPr>
            <w:tcW w:w="5317" w:type="dxa"/>
            <w:shd w:val="clear" w:color="auto" w:fill="auto"/>
          </w:tcPr>
          <w:p w:rsidR="00B756D3" w:rsidRPr="00E80D11" w:rsidRDefault="00B756D3" w:rsidP="00A277BA">
            <w:pPr>
              <w:spacing w:line="480" w:lineRule="auto"/>
              <w:jc w:val="both"/>
              <w:rPr>
                <w:sz w:val="22"/>
                <w:szCs w:val="22"/>
              </w:rPr>
            </w:pPr>
            <w:r w:rsidRPr="00E80D11">
              <w:rPr>
                <w:sz w:val="22"/>
                <w:szCs w:val="22"/>
              </w:rPr>
              <w:t>Bir yanlış gittiğinde (bir alet bozulduğunda), tamir etmeye çalışırım.</w:t>
            </w:r>
          </w:p>
        </w:tc>
        <w:tc>
          <w:tcPr>
            <w:tcW w:w="1028" w:type="dxa"/>
            <w:shd w:val="clear" w:color="auto" w:fill="auto"/>
          </w:tcPr>
          <w:p w:rsidR="00B756D3" w:rsidRPr="00E80D11" w:rsidRDefault="00B756D3" w:rsidP="00A277BA">
            <w:pPr>
              <w:spacing w:line="480" w:lineRule="auto"/>
              <w:jc w:val="both"/>
              <w:rPr>
                <w:sz w:val="22"/>
                <w:szCs w:val="22"/>
              </w:rPr>
            </w:pPr>
          </w:p>
        </w:tc>
        <w:tc>
          <w:tcPr>
            <w:tcW w:w="956" w:type="dxa"/>
            <w:shd w:val="clear" w:color="auto" w:fill="auto"/>
          </w:tcPr>
          <w:p w:rsidR="00B756D3" w:rsidRPr="00E80D11" w:rsidRDefault="00B756D3" w:rsidP="00A277BA">
            <w:pPr>
              <w:spacing w:line="480" w:lineRule="auto"/>
              <w:jc w:val="both"/>
              <w:rPr>
                <w:sz w:val="22"/>
                <w:szCs w:val="22"/>
              </w:rPr>
            </w:pPr>
          </w:p>
        </w:tc>
        <w:tc>
          <w:tcPr>
            <w:tcW w:w="848" w:type="dxa"/>
            <w:shd w:val="clear" w:color="auto" w:fill="auto"/>
          </w:tcPr>
          <w:p w:rsidR="00B756D3" w:rsidRPr="00E80D11" w:rsidRDefault="00B756D3" w:rsidP="00A277BA">
            <w:pPr>
              <w:spacing w:line="480" w:lineRule="auto"/>
              <w:jc w:val="both"/>
              <w:rPr>
                <w:sz w:val="22"/>
                <w:szCs w:val="22"/>
              </w:rPr>
            </w:pPr>
          </w:p>
        </w:tc>
        <w:tc>
          <w:tcPr>
            <w:tcW w:w="656" w:type="dxa"/>
            <w:shd w:val="clear" w:color="auto" w:fill="auto"/>
          </w:tcPr>
          <w:p w:rsidR="00B756D3" w:rsidRPr="00E80D11" w:rsidRDefault="00B756D3" w:rsidP="00A277BA">
            <w:pPr>
              <w:spacing w:line="480" w:lineRule="auto"/>
              <w:jc w:val="both"/>
              <w:rPr>
                <w:sz w:val="22"/>
                <w:szCs w:val="22"/>
              </w:rPr>
            </w:pPr>
          </w:p>
        </w:tc>
      </w:tr>
      <w:tr w:rsidR="00B756D3" w:rsidRPr="00E80D11" w:rsidTr="00A277BA">
        <w:trPr>
          <w:trHeight w:val="20"/>
        </w:trPr>
        <w:tc>
          <w:tcPr>
            <w:tcW w:w="5317" w:type="dxa"/>
            <w:shd w:val="clear" w:color="auto" w:fill="auto"/>
          </w:tcPr>
          <w:p w:rsidR="00B756D3" w:rsidRPr="00E80D11" w:rsidRDefault="00B756D3" w:rsidP="00A277BA">
            <w:pPr>
              <w:spacing w:line="480" w:lineRule="auto"/>
              <w:jc w:val="both"/>
              <w:rPr>
                <w:sz w:val="22"/>
                <w:szCs w:val="22"/>
              </w:rPr>
            </w:pPr>
            <w:r w:rsidRPr="00E80D11">
              <w:rPr>
                <w:sz w:val="22"/>
                <w:szCs w:val="22"/>
              </w:rPr>
              <w:t>(yeni bir alet aldığımda) aletin nasıl çalıştığını öğrenmek için başkalarına sorarım.</w:t>
            </w:r>
          </w:p>
        </w:tc>
        <w:tc>
          <w:tcPr>
            <w:tcW w:w="1028" w:type="dxa"/>
            <w:shd w:val="clear" w:color="auto" w:fill="auto"/>
          </w:tcPr>
          <w:p w:rsidR="00B756D3" w:rsidRPr="00E80D11" w:rsidRDefault="00B756D3" w:rsidP="00A277BA">
            <w:pPr>
              <w:spacing w:line="480" w:lineRule="auto"/>
              <w:jc w:val="both"/>
              <w:rPr>
                <w:sz w:val="22"/>
                <w:szCs w:val="22"/>
              </w:rPr>
            </w:pPr>
          </w:p>
        </w:tc>
        <w:tc>
          <w:tcPr>
            <w:tcW w:w="956" w:type="dxa"/>
            <w:shd w:val="clear" w:color="auto" w:fill="auto"/>
          </w:tcPr>
          <w:p w:rsidR="00B756D3" w:rsidRPr="00E80D11" w:rsidRDefault="00B756D3" w:rsidP="00A277BA">
            <w:pPr>
              <w:spacing w:line="480" w:lineRule="auto"/>
              <w:jc w:val="both"/>
              <w:rPr>
                <w:sz w:val="22"/>
                <w:szCs w:val="22"/>
              </w:rPr>
            </w:pPr>
          </w:p>
        </w:tc>
        <w:tc>
          <w:tcPr>
            <w:tcW w:w="848" w:type="dxa"/>
            <w:shd w:val="clear" w:color="auto" w:fill="auto"/>
          </w:tcPr>
          <w:p w:rsidR="00B756D3" w:rsidRPr="00E80D11" w:rsidRDefault="00B756D3" w:rsidP="00A277BA">
            <w:pPr>
              <w:spacing w:line="480" w:lineRule="auto"/>
              <w:jc w:val="both"/>
              <w:rPr>
                <w:sz w:val="22"/>
                <w:szCs w:val="22"/>
              </w:rPr>
            </w:pPr>
          </w:p>
        </w:tc>
        <w:tc>
          <w:tcPr>
            <w:tcW w:w="656" w:type="dxa"/>
            <w:shd w:val="clear" w:color="auto" w:fill="auto"/>
          </w:tcPr>
          <w:p w:rsidR="00B756D3" w:rsidRPr="00E80D11" w:rsidRDefault="00B756D3" w:rsidP="00A277BA">
            <w:pPr>
              <w:spacing w:line="480" w:lineRule="auto"/>
              <w:jc w:val="both"/>
              <w:rPr>
                <w:sz w:val="22"/>
                <w:szCs w:val="22"/>
              </w:rPr>
            </w:pPr>
          </w:p>
        </w:tc>
      </w:tr>
      <w:tr w:rsidR="00B756D3" w:rsidRPr="00E80D11" w:rsidTr="00A277BA">
        <w:trPr>
          <w:trHeight w:val="20"/>
        </w:trPr>
        <w:tc>
          <w:tcPr>
            <w:tcW w:w="5317" w:type="dxa"/>
            <w:shd w:val="clear" w:color="auto" w:fill="auto"/>
          </w:tcPr>
          <w:p w:rsidR="00B756D3" w:rsidRPr="00E80D11" w:rsidRDefault="00B756D3" w:rsidP="00A277BA">
            <w:pPr>
              <w:spacing w:line="480" w:lineRule="auto"/>
              <w:jc w:val="both"/>
              <w:rPr>
                <w:sz w:val="22"/>
                <w:szCs w:val="22"/>
              </w:rPr>
            </w:pPr>
            <w:r w:rsidRPr="00E80D11">
              <w:rPr>
                <w:sz w:val="22"/>
                <w:szCs w:val="22"/>
              </w:rPr>
              <w:t>Bir aletin veya ürünün üretim aşamalarını internetten kontrol ederim.</w:t>
            </w:r>
          </w:p>
        </w:tc>
        <w:tc>
          <w:tcPr>
            <w:tcW w:w="1028" w:type="dxa"/>
            <w:shd w:val="clear" w:color="auto" w:fill="auto"/>
          </w:tcPr>
          <w:p w:rsidR="00B756D3" w:rsidRPr="00E80D11" w:rsidRDefault="00B756D3" w:rsidP="00A277BA">
            <w:pPr>
              <w:spacing w:line="480" w:lineRule="auto"/>
              <w:jc w:val="both"/>
              <w:rPr>
                <w:sz w:val="22"/>
                <w:szCs w:val="22"/>
              </w:rPr>
            </w:pPr>
          </w:p>
        </w:tc>
        <w:tc>
          <w:tcPr>
            <w:tcW w:w="956" w:type="dxa"/>
            <w:shd w:val="clear" w:color="auto" w:fill="auto"/>
          </w:tcPr>
          <w:p w:rsidR="00B756D3" w:rsidRPr="00E80D11" w:rsidRDefault="00B756D3" w:rsidP="00A277BA">
            <w:pPr>
              <w:spacing w:line="480" w:lineRule="auto"/>
              <w:jc w:val="both"/>
              <w:rPr>
                <w:sz w:val="22"/>
                <w:szCs w:val="22"/>
              </w:rPr>
            </w:pPr>
          </w:p>
        </w:tc>
        <w:tc>
          <w:tcPr>
            <w:tcW w:w="848" w:type="dxa"/>
            <w:shd w:val="clear" w:color="auto" w:fill="auto"/>
          </w:tcPr>
          <w:p w:rsidR="00B756D3" w:rsidRPr="00E80D11" w:rsidRDefault="00B756D3" w:rsidP="00A277BA">
            <w:pPr>
              <w:spacing w:line="480" w:lineRule="auto"/>
              <w:jc w:val="both"/>
              <w:rPr>
                <w:sz w:val="22"/>
                <w:szCs w:val="22"/>
              </w:rPr>
            </w:pPr>
          </w:p>
        </w:tc>
        <w:tc>
          <w:tcPr>
            <w:tcW w:w="656" w:type="dxa"/>
            <w:shd w:val="clear" w:color="auto" w:fill="auto"/>
          </w:tcPr>
          <w:p w:rsidR="00B756D3" w:rsidRPr="00E80D11" w:rsidRDefault="00B756D3" w:rsidP="00A277BA">
            <w:pPr>
              <w:spacing w:line="480" w:lineRule="auto"/>
              <w:jc w:val="both"/>
              <w:rPr>
                <w:sz w:val="22"/>
                <w:szCs w:val="22"/>
              </w:rPr>
            </w:pPr>
          </w:p>
        </w:tc>
      </w:tr>
      <w:tr w:rsidR="00B756D3" w:rsidRPr="00E80D11" w:rsidTr="00A277BA">
        <w:trPr>
          <w:trHeight w:val="20"/>
        </w:trPr>
        <w:tc>
          <w:tcPr>
            <w:tcW w:w="5317" w:type="dxa"/>
            <w:shd w:val="clear" w:color="auto" w:fill="auto"/>
          </w:tcPr>
          <w:p w:rsidR="00B756D3" w:rsidRPr="00E80D11" w:rsidRDefault="00B756D3" w:rsidP="00A277BA">
            <w:pPr>
              <w:spacing w:line="480" w:lineRule="auto"/>
              <w:jc w:val="both"/>
              <w:rPr>
                <w:sz w:val="22"/>
                <w:szCs w:val="22"/>
              </w:rPr>
            </w:pPr>
            <w:r w:rsidRPr="00E80D11">
              <w:rPr>
                <w:sz w:val="22"/>
                <w:szCs w:val="22"/>
              </w:rPr>
              <w:t>Bir şeyler ters gittiğinde (bir alet bozulduğunda), kendim çözmeye çalışmak yerine hemen yardım isterim.</w:t>
            </w:r>
          </w:p>
        </w:tc>
        <w:tc>
          <w:tcPr>
            <w:tcW w:w="1028" w:type="dxa"/>
            <w:shd w:val="clear" w:color="auto" w:fill="auto"/>
          </w:tcPr>
          <w:p w:rsidR="00B756D3" w:rsidRPr="00E80D11" w:rsidRDefault="00B756D3" w:rsidP="00A277BA">
            <w:pPr>
              <w:spacing w:line="480" w:lineRule="auto"/>
              <w:jc w:val="both"/>
              <w:rPr>
                <w:sz w:val="22"/>
                <w:szCs w:val="22"/>
              </w:rPr>
            </w:pPr>
          </w:p>
        </w:tc>
        <w:tc>
          <w:tcPr>
            <w:tcW w:w="956" w:type="dxa"/>
            <w:shd w:val="clear" w:color="auto" w:fill="auto"/>
          </w:tcPr>
          <w:p w:rsidR="00B756D3" w:rsidRPr="00E80D11" w:rsidRDefault="00B756D3" w:rsidP="00A277BA">
            <w:pPr>
              <w:spacing w:line="480" w:lineRule="auto"/>
              <w:jc w:val="both"/>
              <w:rPr>
                <w:sz w:val="22"/>
                <w:szCs w:val="22"/>
              </w:rPr>
            </w:pPr>
          </w:p>
        </w:tc>
        <w:tc>
          <w:tcPr>
            <w:tcW w:w="848" w:type="dxa"/>
            <w:shd w:val="clear" w:color="auto" w:fill="auto"/>
          </w:tcPr>
          <w:p w:rsidR="00B756D3" w:rsidRPr="00E80D11" w:rsidRDefault="00B756D3" w:rsidP="00A277BA">
            <w:pPr>
              <w:spacing w:line="480" w:lineRule="auto"/>
              <w:jc w:val="both"/>
              <w:rPr>
                <w:sz w:val="22"/>
                <w:szCs w:val="22"/>
              </w:rPr>
            </w:pPr>
          </w:p>
        </w:tc>
        <w:tc>
          <w:tcPr>
            <w:tcW w:w="656" w:type="dxa"/>
            <w:shd w:val="clear" w:color="auto" w:fill="auto"/>
          </w:tcPr>
          <w:p w:rsidR="00B756D3" w:rsidRPr="00E80D11" w:rsidRDefault="00B756D3" w:rsidP="00A277BA">
            <w:pPr>
              <w:spacing w:line="480" w:lineRule="auto"/>
              <w:jc w:val="both"/>
              <w:rPr>
                <w:sz w:val="22"/>
                <w:szCs w:val="22"/>
              </w:rPr>
            </w:pPr>
          </w:p>
        </w:tc>
      </w:tr>
      <w:tr w:rsidR="00B756D3" w:rsidRPr="00E80D11" w:rsidTr="00A277BA">
        <w:trPr>
          <w:trHeight w:val="20"/>
        </w:trPr>
        <w:tc>
          <w:tcPr>
            <w:tcW w:w="5317" w:type="dxa"/>
            <w:shd w:val="clear" w:color="auto" w:fill="auto"/>
          </w:tcPr>
          <w:p w:rsidR="00B756D3" w:rsidRPr="00E80D11" w:rsidRDefault="00B756D3" w:rsidP="00A277BA">
            <w:pPr>
              <w:spacing w:line="480" w:lineRule="auto"/>
              <w:jc w:val="both"/>
              <w:rPr>
                <w:sz w:val="22"/>
                <w:szCs w:val="22"/>
              </w:rPr>
            </w:pPr>
            <w:r w:rsidRPr="00E80D11">
              <w:rPr>
                <w:sz w:val="22"/>
                <w:szCs w:val="22"/>
              </w:rPr>
              <w:t>Boş zamanlarımda modelleri, makineleri veya cihazları sökmeye çalışırım.</w:t>
            </w:r>
          </w:p>
        </w:tc>
        <w:tc>
          <w:tcPr>
            <w:tcW w:w="1028" w:type="dxa"/>
            <w:shd w:val="clear" w:color="auto" w:fill="auto"/>
          </w:tcPr>
          <w:p w:rsidR="00B756D3" w:rsidRPr="00E80D11" w:rsidRDefault="00B756D3" w:rsidP="00A277BA">
            <w:pPr>
              <w:spacing w:line="480" w:lineRule="auto"/>
              <w:jc w:val="both"/>
              <w:rPr>
                <w:sz w:val="22"/>
                <w:szCs w:val="22"/>
              </w:rPr>
            </w:pPr>
          </w:p>
        </w:tc>
        <w:tc>
          <w:tcPr>
            <w:tcW w:w="956" w:type="dxa"/>
            <w:shd w:val="clear" w:color="auto" w:fill="auto"/>
          </w:tcPr>
          <w:p w:rsidR="00B756D3" w:rsidRPr="00E80D11" w:rsidRDefault="00B756D3" w:rsidP="00A277BA">
            <w:pPr>
              <w:spacing w:line="480" w:lineRule="auto"/>
              <w:jc w:val="both"/>
              <w:rPr>
                <w:sz w:val="22"/>
                <w:szCs w:val="22"/>
              </w:rPr>
            </w:pPr>
          </w:p>
        </w:tc>
        <w:tc>
          <w:tcPr>
            <w:tcW w:w="848" w:type="dxa"/>
            <w:shd w:val="clear" w:color="auto" w:fill="auto"/>
          </w:tcPr>
          <w:p w:rsidR="00B756D3" w:rsidRPr="00E80D11" w:rsidRDefault="00B756D3" w:rsidP="00A277BA">
            <w:pPr>
              <w:spacing w:line="480" w:lineRule="auto"/>
              <w:jc w:val="both"/>
              <w:rPr>
                <w:sz w:val="22"/>
                <w:szCs w:val="22"/>
              </w:rPr>
            </w:pPr>
          </w:p>
        </w:tc>
        <w:tc>
          <w:tcPr>
            <w:tcW w:w="656" w:type="dxa"/>
            <w:shd w:val="clear" w:color="auto" w:fill="auto"/>
          </w:tcPr>
          <w:p w:rsidR="00B756D3" w:rsidRPr="00E80D11" w:rsidRDefault="00B756D3" w:rsidP="00A277BA">
            <w:pPr>
              <w:spacing w:line="480" w:lineRule="auto"/>
              <w:jc w:val="both"/>
              <w:rPr>
                <w:sz w:val="22"/>
                <w:szCs w:val="22"/>
              </w:rPr>
            </w:pPr>
          </w:p>
        </w:tc>
      </w:tr>
      <w:tr w:rsidR="00B756D3" w:rsidRPr="00E80D11" w:rsidTr="00A277BA">
        <w:trPr>
          <w:trHeight w:val="20"/>
        </w:trPr>
        <w:tc>
          <w:tcPr>
            <w:tcW w:w="5317" w:type="dxa"/>
            <w:shd w:val="clear" w:color="auto" w:fill="auto"/>
          </w:tcPr>
          <w:p w:rsidR="00B756D3" w:rsidRPr="00E80D11" w:rsidRDefault="00B756D3" w:rsidP="00A277BA">
            <w:pPr>
              <w:spacing w:line="480" w:lineRule="auto"/>
              <w:jc w:val="both"/>
              <w:rPr>
                <w:sz w:val="22"/>
                <w:szCs w:val="22"/>
              </w:rPr>
            </w:pPr>
            <w:r w:rsidRPr="00E80D11">
              <w:rPr>
                <w:sz w:val="22"/>
                <w:szCs w:val="22"/>
              </w:rPr>
              <w:t>(çizerek veya uygulayarak) bir alet ya da materyal tasarımını geliştirmeye çalışırım.</w:t>
            </w:r>
          </w:p>
        </w:tc>
        <w:tc>
          <w:tcPr>
            <w:tcW w:w="1028" w:type="dxa"/>
            <w:shd w:val="clear" w:color="auto" w:fill="auto"/>
          </w:tcPr>
          <w:p w:rsidR="00B756D3" w:rsidRPr="00E80D11" w:rsidRDefault="00B756D3" w:rsidP="00A277BA">
            <w:pPr>
              <w:spacing w:line="480" w:lineRule="auto"/>
              <w:jc w:val="both"/>
              <w:rPr>
                <w:sz w:val="22"/>
                <w:szCs w:val="22"/>
              </w:rPr>
            </w:pPr>
          </w:p>
        </w:tc>
        <w:tc>
          <w:tcPr>
            <w:tcW w:w="956" w:type="dxa"/>
            <w:shd w:val="clear" w:color="auto" w:fill="auto"/>
          </w:tcPr>
          <w:p w:rsidR="00B756D3" w:rsidRPr="00E80D11" w:rsidRDefault="00B756D3" w:rsidP="00A277BA">
            <w:pPr>
              <w:spacing w:line="480" w:lineRule="auto"/>
              <w:jc w:val="both"/>
              <w:rPr>
                <w:sz w:val="22"/>
                <w:szCs w:val="22"/>
              </w:rPr>
            </w:pPr>
          </w:p>
        </w:tc>
        <w:tc>
          <w:tcPr>
            <w:tcW w:w="848" w:type="dxa"/>
            <w:shd w:val="clear" w:color="auto" w:fill="auto"/>
          </w:tcPr>
          <w:p w:rsidR="00B756D3" w:rsidRPr="00E80D11" w:rsidRDefault="00B756D3" w:rsidP="00A277BA">
            <w:pPr>
              <w:spacing w:line="480" w:lineRule="auto"/>
              <w:jc w:val="both"/>
              <w:rPr>
                <w:sz w:val="22"/>
                <w:szCs w:val="22"/>
              </w:rPr>
            </w:pPr>
          </w:p>
        </w:tc>
        <w:tc>
          <w:tcPr>
            <w:tcW w:w="656" w:type="dxa"/>
            <w:shd w:val="clear" w:color="auto" w:fill="auto"/>
          </w:tcPr>
          <w:p w:rsidR="00B756D3" w:rsidRPr="00E80D11" w:rsidRDefault="00B756D3" w:rsidP="00A277BA">
            <w:pPr>
              <w:spacing w:line="480" w:lineRule="auto"/>
              <w:jc w:val="both"/>
              <w:rPr>
                <w:sz w:val="22"/>
                <w:szCs w:val="22"/>
              </w:rPr>
            </w:pPr>
          </w:p>
        </w:tc>
      </w:tr>
      <w:tr w:rsidR="00B756D3" w:rsidRPr="00E80D11" w:rsidTr="00A277BA">
        <w:trPr>
          <w:trHeight w:val="20"/>
        </w:trPr>
        <w:tc>
          <w:tcPr>
            <w:tcW w:w="5317" w:type="dxa"/>
            <w:shd w:val="clear" w:color="auto" w:fill="auto"/>
          </w:tcPr>
          <w:p w:rsidR="00B756D3" w:rsidRPr="00E80D11" w:rsidRDefault="00B756D3" w:rsidP="00A277BA">
            <w:pPr>
              <w:spacing w:line="480" w:lineRule="auto"/>
              <w:jc w:val="both"/>
              <w:rPr>
                <w:sz w:val="22"/>
                <w:szCs w:val="22"/>
              </w:rPr>
            </w:pPr>
            <w:r w:rsidRPr="00E80D11">
              <w:rPr>
                <w:sz w:val="22"/>
                <w:szCs w:val="22"/>
              </w:rPr>
              <w:t>Boş zamanlarımda elimdeki malzeme ve materyalleri bir araya getirmeye veya yeni bir model oluşturmaya çalışırım.</w:t>
            </w:r>
          </w:p>
        </w:tc>
        <w:tc>
          <w:tcPr>
            <w:tcW w:w="1028" w:type="dxa"/>
            <w:shd w:val="clear" w:color="auto" w:fill="auto"/>
          </w:tcPr>
          <w:p w:rsidR="00B756D3" w:rsidRPr="00E80D11" w:rsidRDefault="00B756D3" w:rsidP="00A277BA">
            <w:pPr>
              <w:spacing w:line="480" w:lineRule="auto"/>
              <w:jc w:val="both"/>
              <w:rPr>
                <w:sz w:val="22"/>
                <w:szCs w:val="22"/>
              </w:rPr>
            </w:pPr>
          </w:p>
        </w:tc>
        <w:tc>
          <w:tcPr>
            <w:tcW w:w="956" w:type="dxa"/>
            <w:shd w:val="clear" w:color="auto" w:fill="auto"/>
          </w:tcPr>
          <w:p w:rsidR="00B756D3" w:rsidRPr="00E80D11" w:rsidRDefault="00B756D3" w:rsidP="00A277BA">
            <w:pPr>
              <w:spacing w:line="480" w:lineRule="auto"/>
              <w:jc w:val="both"/>
              <w:rPr>
                <w:sz w:val="22"/>
                <w:szCs w:val="22"/>
              </w:rPr>
            </w:pPr>
          </w:p>
        </w:tc>
        <w:tc>
          <w:tcPr>
            <w:tcW w:w="848" w:type="dxa"/>
            <w:shd w:val="clear" w:color="auto" w:fill="auto"/>
          </w:tcPr>
          <w:p w:rsidR="00B756D3" w:rsidRPr="00E80D11" w:rsidRDefault="00B756D3" w:rsidP="00A277BA">
            <w:pPr>
              <w:spacing w:line="480" w:lineRule="auto"/>
              <w:jc w:val="both"/>
              <w:rPr>
                <w:sz w:val="22"/>
                <w:szCs w:val="22"/>
              </w:rPr>
            </w:pPr>
          </w:p>
        </w:tc>
        <w:tc>
          <w:tcPr>
            <w:tcW w:w="656" w:type="dxa"/>
            <w:shd w:val="clear" w:color="auto" w:fill="auto"/>
          </w:tcPr>
          <w:p w:rsidR="00B756D3" w:rsidRPr="00E80D11" w:rsidRDefault="00B756D3" w:rsidP="00A277BA">
            <w:pPr>
              <w:spacing w:line="480" w:lineRule="auto"/>
              <w:jc w:val="both"/>
              <w:rPr>
                <w:sz w:val="22"/>
                <w:szCs w:val="22"/>
              </w:rPr>
            </w:pPr>
          </w:p>
        </w:tc>
      </w:tr>
      <w:tr w:rsidR="00B756D3" w:rsidRPr="00E80D11" w:rsidTr="00A277BA">
        <w:trPr>
          <w:trHeight w:val="20"/>
        </w:trPr>
        <w:tc>
          <w:tcPr>
            <w:tcW w:w="5317" w:type="dxa"/>
            <w:shd w:val="clear" w:color="auto" w:fill="auto"/>
          </w:tcPr>
          <w:p w:rsidR="00B756D3" w:rsidRPr="00E80D11" w:rsidRDefault="00B756D3" w:rsidP="00B756D3"/>
        </w:tc>
        <w:tc>
          <w:tcPr>
            <w:tcW w:w="1028" w:type="dxa"/>
            <w:shd w:val="clear" w:color="auto" w:fill="auto"/>
          </w:tcPr>
          <w:p w:rsidR="00B756D3" w:rsidRPr="00E80D11" w:rsidRDefault="00B756D3" w:rsidP="00B756D3">
            <w:r w:rsidRPr="00E80D11">
              <w:t>Sıklıkla</w:t>
            </w:r>
          </w:p>
        </w:tc>
        <w:tc>
          <w:tcPr>
            <w:tcW w:w="956" w:type="dxa"/>
            <w:shd w:val="clear" w:color="auto" w:fill="auto"/>
          </w:tcPr>
          <w:p w:rsidR="00B756D3" w:rsidRPr="00E80D11" w:rsidRDefault="00B756D3" w:rsidP="00B756D3">
            <w:r w:rsidRPr="00E80D11">
              <w:t>Bazen</w:t>
            </w:r>
          </w:p>
        </w:tc>
        <w:tc>
          <w:tcPr>
            <w:tcW w:w="848" w:type="dxa"/>
            <w:shd w:val="clear" w:color="auto" w:fill="auto"/>
          </w:tcPr>
          <w:p w:rsidR="00B756D3" w:rsidRPr="00E80D11" w:rsidRDefault="00B756D3" w:rsidP="00B756D3">
            <w:r w:rsidRPr="00E80D11">
              <w:t>Çok az</w:t>
            </w:r>
          </w:p>
        </w:tc>
        <w:tc>
          <w:tcPr>
            <w:tcW w:w="656" w:type="dxa"/>
            <w:shd w:val="clear" w:color="auto" w:fill="auto"/>
          </w:tcPr>
          <w:p w:rsidR="00B756D3" w:rsidRPr="00E80D11" w:rsidRDefault="00B756D3" w:rsidP="00B756D3">
            <w:r w:rsidRPr="00E80D11">
              <w:t>Asla</w:t>
            </w:r>
          </w:p>
        </w:tc>
      </w:tr>
      <w:tr w:rsidR="00B756D3" w:rsidRPr="00E80D11" w:rsidTr="00A277BA">
        <w:trPr>
          <w:trHeight w:val="20"/>
        </w:trPr>
        <w:tc>
          <w:tcPr>
            <w:tcW w:w="5317" w:type="dxa"/>
            <w:shd w:val="clear" w:color="auto" w:fill="auto"/>
          </w:tcPr>
          <w:p w:rsidR="00B756D3" w:rsidRPr="00E80D11" w:rsidRDefault="00B756D3" w:rsidP="00A277BA">
            <w:pPr>
              <w:spacing w:line="480" w:lineRule="auto"/>
              <w:jc w:val="both"/>
              <w:rPr>
                <w:sz w:val="22"/>
                <w:szCs w:val="22"/>
              </w:rPr>
            </w:pPr>
            <w:r w:rsidRPr="00E80D11">
              <w:rPr>
                <w:sz w:val="22"/>
                <w:szCs w:val="22"/>
              </w:rPr>
              <w:t>Boş zamanlarımda makine veya elektrikli aletler</w:t>
            </w:r>
            <w:r w:rsidR="00011A70">
              <w:rPr>
                <w:sz w:val="22"/>
                <w:szCs w:val="22"/>
              </w:rPr>
              <w:t>i</w:t>
            </w:r>
            <w:r w:rsidRPr="00E80D11">
              <w:rPr>
                <w:sz w:val="22"/>
                <w:szCs w:val="22"/>
              </w:rPr>
              <w:t xml:space="preserve"> (çalar saat, Mouse vb.) monte etmeye çalışırım.</w:t>
            </w:r>
          </w:p>
        </w:tc>
        <w:tc>
          <w:tcPr>
            <w:tcW w:w="1028" w:type="dxa"/>
            <w:shd w:val="clear" w:color="auto" w:fill="auto"/>
          </w:tcPr>
          <w:p w:rsidR="00B756D3" w:rsidRPr="00E80D11" w:rsidRDefault="00B756D3" w:rsidP="00A277BA">
            <w:pPr>
              <w:spacing w:line="480" w:lineRule="auto"/>
              <w:jc w:val="both"/>
              <w:rPr>
                <w:sz w:val="22"/>
                <w:szCs w:val="22"/>
              </w:rPr>
            </w:pPr>
          </w:p>
        </w:tc>
        <w:tc>
          <w:tcPr>
            <w:tcW w:w="956" w:type="dxa"/>
            <w:shd w:val="clear" w:color="auto" w:fill="auto"/>
          </w:tcPr>
          <w:p w:rsidR="00B756D3" w:rsidRPr="00E80D11" w:rsidRDefault="00B756D3" w:rsidP="00A277BA">
            <w:pPr>
              <w:spacing w:line="480" w:lineRule="auto"/>
              <w:jc w:val="both"/>
              <w:rPr>
                <w:sz w:val="22"/>
                <w:szCs w:val="22"/>
              </w:rPr>
            </w:pPr>
          </w:p>
        </w:tc>
        <w:tc>
          <w:tcPr>
            <w:tcW w:w="848" w:type="dxa"/>
            <w:shd w:val="clear" w:color="auto" w:fill="auto"/>
          </w:tcPr>
          <w:p w:rsidR="00B756D3" w:rsidRPr="00E80D11" w:rsidRDefault="00B756D3" w:rsidP="00A277BA">
            <w:pPr>
              <w:spacing w:line="480" w:lineRule="auto"/>
              <w:jc w:val="both"/>
              <w:rPr>
                <w:sz w:val="22"/>
                <w:szCs w:val="22"/>
              </w:rPr>
            </w:pPr>
          </w:p>
        </w:tc>
        <w:tc>
          <w:tcPr>
            <w:tcW w:w="656" w:type="dxa"/>
            <w:shd w:val="clear" w:color="auto" w:fill="auto"/>
          </w:tcPr>
          <w:p w:rsidR="00B756D3" w:rsidRPr="00E80D11" w:rsidRDefault="00B756D3" w:rsidP="00A277BA">
            <w:pPr>
              <w:spacing w:line="480" w:lineRule="auto"/>
              <w:jc w:val="both"/>
              <w:rPr>
                <w:sz w:val="22"/>
                <w:szCs w:val="22"/>
              </w:rPr>
            </w:pPr>
          </w:p>
        </w:tc>
      </w:tr>
      <w:tr w:rsidR="00B756D3" w:rsidRPr="00E80D11" w:rsidTr="00A277BA">
        <w:trPr>
          <w:trHeight w:val="20"/>
        </w:trPr>
        <w:tc>
          <w:tcPr>
            <w:tcW w:w="5317" w:type="dxa"/>
            <w:shd w:val="clear" w:color="auto" w:fill="auto"/>
          </w:tcPr>
          <w:p w:rsidR="00B756D3" w:rsidRPr="00E80D11" w:rsidRDefault="00B756D3" w:rsidP="00A277BA">
            <w:pPr>
              <w:spacing w:line="480" w:lineRule="auto"/>
              <w:jc w:val="both"/>
              <w:rPr>
                <w:sz w:val="22"/>
                <w:szCs w:val="22"/>
              </w:rPr>
            </w:pPr>
            <w:r w:rsidRPr="00E80D11">
              <w:rPr>
                <w:sz w:val="22"/>
                <w:szCs w:val="22"/>
              </w:rPr>
              <w:t>Bir öğe tasarlamaya çalışıyorum (çizerek veya uygulayarak)</w:t>
            </w:r>
          </w:p>
        </w:tc>
        <w:tc>
          <w:tcPr>
            <w:tcW w:w="1028" w:type="dxa"/>
            <w:shd w:val="clear" w:color="auto" w:fill="auto"/>
          </w:tcPr>
          <w:p w:rsidR="00B756D3" w:rsidRPr="00E80D11" w:rsidRDefault="00B756D3" w:rsidP="00A277BA">
            <w:pPr>
              <w:spacing w:line="480" w:lineRule="auto"/>
              <w:jc w:val="both"/>
              <w:rPr>
                <w:sz w:val="22"/>
                <w:szCs w:val="22"/>
              </w:rPr>
            </w:pPr>
          </w:p>
        </w:tc>
        <w:tc>
          <w:tcPr>
            <w:tcW w:w="956" w:type="dxa"/>
            <w:shd w:val="clear" w:color="auto" w:fill="auto"/>
          </w:tcPr>
          <w:p w:rsidR="00B756D3" w:rsidRPr="00E80D11" w:rsidRDefault="00B756D3" w:rsidP="00A277BA">
            <w:pPr>
              <w:spacing w:line="480" w:lineRule="auto"/>
              <w:jc w:val="both"/>
              <w:rPr>
                <w:sz w:val="22"/>
                <w:szCs w:val="22"/>
              </w:rPr>
            </w:pPr>
          </w:p>
        </w:tc>
        <w:tc>
          <w:tcPr>
            <w:tcW w:w="848" w:type="dxa"/>
            <w:shd w:val="clear" w:color="auto" w:fill="auto"/>
          </w:tcPr>
          <w:p w:rsidR="00B756D3" w:rsidRPr="00E80D11" w:rsidRDefault="00B756D3" w:rsidP="00A277BA">
            <w:pPr>
              <w:spacing w:line="480" w:lineRule="auto"/>
              <w:jc w:val="both"/>
              <w:rPr>
                <w:sz w:val="22"/>
                <w:szCs w:val="22"/>
              </w:rPr>
            </w:pPr>
          </w:p>
        </w:tc>
        <w:tc>
          <w:tcPr>
            <w:tcW w:w="656" w:type="dxa"/>
            <w:shd w:val="clear" w:color="auto" w:fill="auto"/>
          </w:tcPr>
          <w:p w:rsidR="00B756D3" w:rsidRPr="00E80D11" w:rsidRDefault="00B756D3" w:rsidP="00A277BA">
            <w:pPr>
              <w:spacing w:line="480" w:lineRule="auto"/>
              <w:jc w:val="both"/>
              <w:rPr>
                <w:sz w:val="22"/>
                <w:szCs w:val="22"/>
              </w:rPr>
            </w:pPr>
          </w:p>
        </w:tc>
      </w:tr>
      <w:tr w:rsidR="00B756D3" w:rsidRPr="00E80D11" w:rsidTr="00A277BA">
        <w:trPr>
          <w:trHeight w:val="747"/>
        </w:trPr>
        <w:tc>
          <w:tcPr>
            <w:tcW w:w="5317" w:type="dxa"/>
            <w:shd w:val="clear" w:color="auto" w:fill="auto"/>
          </w:tcPr>
          <w:p w:rsidR="00B756D3" w:rsidRPr="00E80D11" w:rsidRDefault="00B756D3" w:rsidP="00A277BA">
            <w:pPr>
              <w:spacing w:line="480" w:lineRule="auto"/>
              <w:jc w:val="both"/>
              <w:rPr>
                <w:sz w:val="22"/>
                <w:szCs w:val="22"/>
              </w:rPr>
            </w:pPr>
            <w:r w:rsidRPr="00E80D11">
              <w:rPr>
                <w:sz w:val="22"/>
                <w:szCs w:val="22"/>
              </w:rPr>
              <w:lastRenderedPageBreak/>
              <w:t>Satranç veya su</w:t>
            </w:r>
            <w:r w:rsidR="00011A70">
              <w:rPr>
                <w:sz w:val="22"/>
                <w:szCs w:val="22"/>
              </w:rPr>
              <w:t xml:space="preserve"> </w:t>
            </w:r>
            <w:r w:rsidRPr="00E80D11">
              <w:rPr>
                <w:sz w:val="22"/>
                <w:szCs w:val="22"/>
              </w:rPr>
              <w:t>doku gibi hesaplama veya muhakeme gerektiren matematik oyunlarını oynarım.</w:t>
            </w:r>
          </w:p>
        </w:tc>
        <w:tc>
          <w:tcPr>
            <w:tcW w:w="1028" w:type="dxa"/>
            <w:shd w:val="clear" w:color="auto" w:fill="auto"/>
          </w:tcPr>
          <w:p w:rsidR="00B756D3" w:rsidRPr="00E80D11" w:rsidRDefault="00B756D3" w:rsidP="00A277BA">
            <w:pPr>
              <w:spacing w:line="480" w:lineRule="auto"/>
              <w:jc w:val="both"/>
              <w:rPr>
                <w:sz w:val="22"/>
                <w:szCs w:val="22"/>
              </w:rPr>
            </w:pPr>
          </w:p>
        </w:tc>
        <w:tc>
          <w:tcPr>
            <w:tcW w:w="956" w:type="dxa"/>
            <w:shd w:val="clear" w:color="auto" w:fill="auto"/>
          </w:tcPr>
          <w:p w:rsidR="00B756D3" w:rsidRPr="00E80D11" w:rsidRDefault="00B756D3" w:rsidP="00A277BA">
            <w:pPr>
              <w:spacing w:line="480" w:lineRule="auto"/>
              <w:jc w:val="both"/>
              <w:rPr>
                <w:sz w:val="22"/>
                <w:szCs w:val="22"/>
              </w:rPr>
            </w:pPr>
          </w:p>
        </w:tc>
        <w:tc>
          <w:tcPr>
            <w:tcW w:w="848" w:type="dxa"/>
            <w:shd w:val="clear" w:color="auto" w:fill="auto"/>
          </w:tcPr>
          <w:p w:rsidR="00B756D3" w:rsidRPr="00E80D11" w:rsidRDefault="00B756D3" w:rsidP="00A277BA">
            <w:pPr>
              <w:spacing w:line="480" w:lineRule="auto"/>
              <w:jc w:val="both"/>
              <w:rPr>
                <w:sz w:val="22"/>
                <w:szCs w:val="22"/>
              </w:rPr>
            </w:pPr>
          </w:p>
        </w:tc>
        <w:tc>
          <w:tcPr>
            <w:tcW w:w="656" w:type="dxa"/>
            <w:shd w:val="clear" w:color="auto" w:fill="auto"/>
          </w:tcPr>
          <w:p w:rsidR="00B756D3" w:rsidRPr="00E80D11" w:rsidRDefault="00B756D3" w:rsidP="00A277BA">
            <w:pPr>
              <w:spacing w:line="480" w:lineRule="auto"/>
              <w:jc w:val="both"/>
              <w:rPr>
                <w:sz w:val="22"/>
                <w:szCs w:val="22"/>
              </w:rPr>
            </w:pPr>
          </w:p>
        </w:tc>
      </w:tr>
      <w:tr w:rsidR="00B756D3" w:rsidRPr="00E80D11" w:rsidTr="00A277BA">
        <w:trPr>
          <w:trHeight w:val="20"/>
        </w:trPr>
        <w:tc>
          <w:tcPr>
            <w:tcW w:w="5317" w:type="dxa"/>
            <w:shd w:val="clear" w:color="auto" w:fill="auto"/>
          </w:tcPr>
          <w:p w:rsidR="00B756D3" w:rsidRPr="00E80D11" w:rsidRDefault="00B756D3" w:rsidP="00A277BA">
            <w:pPr>
              <w:spacing w:line="480" w:lineRule="auto"/>
              <w:jc w:val="both"/>
              <w:rPr>
                <w:sz w:val="22"/>
                <w:szCs w:val="22"/>
              </w:rPr>
            </w:pPr>
            <w:r w:rsidRPr="00E80D11">
              <w:rPr>
                <w:sz w:val="22"/>
                <w:szCs w:val="22"/>
              </w:rPr>
              <w:t>Günlük yaşamdaki problemleri çözerken, tahmin yeteneğimi kullanırım (mekânın büyüklüğü gibi).</w:t>
            </w:r>
          </w:p>
        </w:tc>
        <w:tc>
          <w:tcPr>
            <w:tcW w:w="1028" w:type="dxa"/>
            <w:shd w:val="clear" w:color="auto" w:fill="auto"/>
          </w:tcPr>
          <w:p w:rsidR="00B756D3" w:rsidRPr="00E80D11" w:rsidRDefault="00B756D3" w:rsidP="00A277BA">
            <w:pPr>
              <w:spacing w:line="480" w:lineRule="auto"/>
              <w:jc w:val="both"/>
              <w:rPr>
                <w:sz w:val="22"/>
                <w:szCs w:val="22"/>
              </w:rPr>
            </w:pPr>
          </w:p>
        </w:tc>
        <w:tc>
          <w:tcPr>
            <w:tcW w:w="956" w:type="dxa"/>
            <w:shd w:val="clear" w:color="auto" w:fill="auto"/>
          </w:tcPr>
          <w:p w:rsidR="00B756D3" w:rsidRPr="00E80D11" w:rsidRDefault="00B756D3" w:rsidP="00A277BA">
            <w:pPr>
              <w:spacing w:line="480" w:lineRule="auto"/>
              <w:jc w:val="both"/>
              <w:rPr>
                <w:sz w:val="22"/>
                <w:szCs w:val="22"/>
              </w:rPr>
            </w:pPr>
          </w:p>
        </w:tc>
        <w:tc>
          <w:tcPr>
            <w:tcW w:w="848" w:type="dxa"/>
            <w:shd w:val="clear" w:color="auto" w:fill="auto"/>
          </w:tcPr>
          <w:p w:rsidR="00B756D3" w:rsidRPr="00E80D11" w:rsidRDefault="00B756D3" w:rsidP="00A277BA">
            <w:pPr>
              <w:spacing w:line="480" w:lineRule="auto"/>
              <w:jc w:val="both"/>
              <w:rPr>
                <w:sz w:val="22"/>
                <w:szCs w:val="22"/>
              </w:rPr>
            </w:pPr>
          </w:p>
        </w:tc>
        <w:tc>
          <w:tcPr>
            <w:tcW w:w="656" w:type="dxa"/>
            <w:shd w:val="clear" w:color="auto" w:fill="auto"/>
          </w:tcPr>
          <w:p w:rsidR="00B756D3" w:rsidRPr="00E80D11" w:rsidRDefault="00B756D3" w:rsidP="00A277BA">
            <w:pPr>
              <w:spacing w:line="480" w:lineRule="auto"/>
              <w:jc w:val="both"/>
              <w:rPr>
                <w:sz w:val="22"/>
                <w:szCs w:val="22"/>
              </w:rPr>
            </w:pPr>
          </w:p>
        </w:tc>
      </w:tr>
      <w:tr w:rsidR="00B756D3" w:rsidRPr="00E80D11" w:rsidTr="00A277BA">
        <w:trPr>
          <w:trHeight w:val="985"/>
        </w:trPr>
        <w:tc>
          <w:tcPr>
            <w:tcW w:w="5317" w:type="dxa"/>
            <w:shd w:val="clear" w:color="auto" w:fill="auto"/>
          </w:tcPr>
          <w:p w:rsidR="00B756D3" w:rsidRPr="0023324F" w:rsidRDefault="00B756D3" w:rsidP="00A277BA">
            <w:pPr>
              <w:spacing w:line="480" w:lineRule="auto"/>
              <w:jc w:val="both"/>
              <w:rPr>
                <w:bCs/>
                <w:sz w:val="22"/>
                <w:szCs w:val="22"/>
              </w:rPr>
            </w:pPr>
            <w:r w:rsidRPr="0023324F">
              <w:rPr>
                <w:bCs/>
                <w:sz w:val="22"/>
                <w:szCs w:val="22"/>
              </w:rPr>
              <w:t xml:space="preserve">Ders dışı matematik problemlerini bulmak için </w:t>
            </w:r>
            <w:proofErr w:type="spellStart"/>
            <w:r w:rsidRPr="0023324F">
              <w:rPr>
                <w:bCs/>
                <w:sz w:val="22"/>
                <w:szCs w:val="22"/>
              </w:rPr>
              <w:t>insiyatif</w:t>
            </w:r>
            <w:proofErr w:type="spellEnd"/>
            <w:r w:rsidRPr="0023324F">
              <w:rPr>
                <w:bCs/>
                <w:sz w:val="22"/>
                <w:szCs w:val="22"/>
              </w:rPr>
              <w:t xml:space="preserve"> (bir kimsenin, alınması gerekli kararı öncelikle ve kendiliğinden alabilmek konusundaki yeterliliği) kullanırım ve çözmeye çalışırım.</w:t>
            </w:r>
          </w:p>
        </w:tc>
        <w:tc>
          <w:tcPr>
            <w:tcW w:w="1028" w:type="dxa"/>
            <w:shd w:val="clear" w:color="auto" w:fill="auto"/>
          </w:tcPr>
          <w:p w:rsidR="00B756D3" w:rsidRPr="00E80D11" w:rsidRDefault="00B756D3" w:rsidP="00A277BA">
            <w:pPr>
              <w:spacing w:line="480" w:lineRule="auto"/>
              <w:jc w:val="both"/>
              <w:rPr>
                <w:sz w:val="22"/>
                <w:szCs w:val="22"/>
              </w:rPr>
            </w:pPr>
          </w:p>
        </w:tc>
        <w:tc>
          <w:tcPr>
            <w:tcW w:w="956" w:type="dxa"/>
            <w:shd w:val="clear" w:color="auto" w:fill="auto"/>
          </w:tcPr>
          <w:p w:rsidR="00B756D3" w:rsidRPr="00E80D11" w:rsidRDefault="00B756D3" w:rsidP="00A277BA">
            <w:pPr>
              <w:spacing w:line="480" w:lineRule="auto"/>
              <w:jc w:val="both"/>
              <w:rPr>
                <w:sz w:val="22"/>
                <w:szCs w:val="22"/>
              </w:rPr>
            </w:pPr>
          </w:p>
        </w:tc>
        <w:tc>
          <w:tcPr>
            <w:tcW w:w="848" w:type="dxa"/>
            <w:shd w:val="clear" w:color="auto" w:fill="auto"/>
          </w:tcPr>
          <w:p w:rsidR="00B756D3" w:rsidRPr="00E80D11" w:rsidRDefault="00B756D3" w:rsidP="00A277BA">
            <w:pPr>
              <w:spacing w:line="480" w:lineRule="auto"/>
              <w:jc w:val="both"/>
              <w:rPr>
                <w:sz w:val="22"/>
                <w:szCs w:val="22"/>
              </w:rPr>
            </w:pPr>
          </w:p>
        </w:tc>
        <w:tc>
          <w:tcPr>
            <w:tcW w:w="656" w:type="dxa"/>
            <w:shd w:val="clear" w:color="auto" w:fill="auto"/>
          </w:tcPr>
          <w:p w:rsidR="00B756D3" w:rsidRPr="00E80D11" w:rsidRDefault="00B756D3" w:rsidP="00A277BA">
            <w:pPr>
              <w:spacing w:line="480" w:lineRule="auto"/>
              <w:jc w:val="both"/>
              <w:rPr>
                <w:sz w:val="22"/>
                <w:szCs w:val="22"/>
              </w:rPr>
            </w:pPr>
          </w:p>
        </w:tc>
      </w:tr>
      <w:tr w:rsidR="00B756D3" w:rsidRPr="00E80D11" w:rsidTr="00A277BA">
        <w:trPr>
          <w:trHeight w:val="20"/>
        </w:trPr>
        <w:tc>
          <w:tcPr>
            <w:tcW w:w="5317" w:type="dxa"/>
            <w:shd w:val="clear" w:color="auto" w:fill="auto"/>
          </w:tcPr>
          <w:p w:rsidR="00B756D3" w:rsidRPr="00E80D11" w:rsidRDefault="00B756D3" w:rsidP="00A277BA">
            <w:pPr>
              <w:spacing w:line="480" w:lineRule="auto"/>
              <w:jc w:val="both"/>
              <w:rPr>
                <w:sz w:val="22"/>
                <w:szCs w:val="22"/>
              </w:rPr>
            </w:pPr>
            <w:r w:rsidRPr="00E80D11">
              <w:rPr>
                <w:sz w:val="22"/>
                <w:szCs w:val="22"/>
              </w:rPr>
              <w:t>Bilgisayarımdan matematik veya matematik alanlarında çalışan kişileri ararım.</w:t>
            </w:r>
          </w:p>
        </w:tc>
        <w:tc>
          <w:tcPr>
            <w:tcW w:w="1028" w:type="dxa"/>
            <w:shd w:val="clear" w:color="auto" w:fill="auto"/>
          </w:tcPr>
          <w:p w:rsidR="00B756D3" w:rsidRPr="00E80D11" w:rsidRDefault="00B756D3" w:rsidP="00A277BA">
            <w:pPr>
              <w:spacing w:line="480" w:lineRule="auto"/>
              <w:jc w:val="both"/>
              <w:rPr>
                <w:sz w:val="22"/>
                <w:szCs w:val="22"/>
              </w:rPr>
            </w:pPr>
          </w:p>
        </w:tc>
        <w:tc>
          <w:tcPr>
            <w:tcW w:w="956" w:type="dxa"/>
            <w:shd w:val="clear" w:color="auto" w:fill="auto"/>
          </w:tcPr>
          <w:p w:rsidR="00B756D3" w:rsidRPr="00E80D11" w:rsidRDefault="00B756D3" w:rsidP="00A277BA">
            <w:pPr>
              <w:spacing w:line="480" w:lineRule="auto"/>
              <w:jc w:val="both"/>
              <w:rPr>
                <w:sz w:val="22"/>
                <w:szCs w:val="22"/>
              </w:rPr>
            </w:pPr>
          </w:p>
        </w:tc>
        <w:tc>
          <w:tcPr>
            <w:tcW w:w="848" w:type="dxa"/>
            <w:shd w:val="clear" w:color="auto" w:fill="auto"/>
          </w:tcPr>
          <w:p w:rsidR="00B756D3" w:rsidRPr="00E80D11" w:rsidRDefault="00B756D3" w:rsidP="00A277BA">
            <w:pPr>
              <w:spacing w:line="480" w:lineRule="auto"/>
              <w:jc w:val="both"/>
              <w:rPr>
                <w:sz w:val="22"/>
                <w:szCs w:val="22"/>
              </w:rPr>
            </w:pPr>
          </w:p>
        </w:tc>
        <w:tc>
          <w:tcPr>
            <w:tcW w:w="656" w:type="dxa"/>
            <w:shd w:val="clear" w:color="auto" w:fill="auto"/>
          </w:tcPr>
          <w:p w:rsidR="00B756D3" w:rsidRPr="00E80D11" w:rsidRDefault="00B756D3" w:rsidP="00A277BA">
            <w:pPr>
              <w:spacing w:line="480" w:lineRule="auto"/>
              <w:jc w:val="both"/>
              <w:rPr>
                <w:sz w:val="22"/>
                <w:szCs w:val="22"/>
              </w:rPr>
            </w:pPr>
          </w:p>
        </w:tc>
      </w:tr>
      <w:tr w:rsidR="00B756D3" w:rsidRPr="00E80D11" w:rsidTr="00A277BA">
        <w:trPr>
          <w:trHeight w:val="20"/>
        </w:trPr>
        <w:tc>
          <w:tcPr>
            <w:tcW w:w="5317" w:type="dxa"/>
            <w:shd w:val="clear" w:color="auto" w:fill="auto"/>
          </w:tcPr>
          <w:p w:rsidR="00B756D3" w:rsidRPr="00E80D11" w:rsidRDefault="00B756D3" w:rsidP="00A277BA">
            <w:pPr>
              <w:spacing w:line="480" w:lineRule="auto"/>
              <w:jc w:val="both"/>
              <w:rPr>
                <w:sz w:val="22"/>
                <w:szCs w:val="22"/>
              </w:rPr>
            </w:pPr>
            <w:r w:rsidRPr="00E80D11">
              <w:rPr>
                <w:sz w:val="22"/>
                <w:szCs w:val="22"/>
              </w:rPr>
              <w:t>Cep telefonumdan matematik veya matematikler ile ilgili içerikleri ararım.</w:t>
            </w:r>
          </w:p>
        </w:tc>
        <w:tc>
          <w:tcPr>
            <w:tcW w:w="1028" w:type="dxa"/>
            <w:shd w:val="clear" w:color="auto" w:fill="auto"/>
          </w:tcPr>
          <w:p w:rsidR="00B756D3" w:rsidRPr="00E80D11" w:rsidRDefault="00B756D3" w:rsidP="00A277BA">
            <w:pPr>
              <w:spacing w:line="480" w:lineRule="auto"/>
              <w:jc w:val="both"/>
              <w:rPr>
                <w:sz w:val="22"/>
                <w:szCs w:val="22"/>
              </w:rPr>
            </w:pPr>
          </w:p>
        </w:tc>
        <w:tc>
          <w:tcPr>
            <w:tcW w:w="956" w:type="dxa"/>
            <w:shd w:val="clear" w:color="auto" w:fill="auto"/>
          </w:tcPr>
          <w:p w:rsidR="00B756D3" w:rsidRPr="00E80D11" w:rsidRDefault="00B756D3" w:rsidP="00A277BA">
            <w:pPr>
              <w:spacing w:line="480" w:lineRule="auto"/>
              <w:jc w:val="both"/>
              <w:rPr>
                <w:sz w:val="22"/>
                <w:szCs w:val="22"/>
              </w:rPr>
            </w:pPr>
          </w:p>
        </w:tc>
        <w:tc>
          <w:tcPr>
            <w:tcW w:w="848" w:type="dxa"/>
            <w:shd w:val="clear" w:color="auto" w:fill="auto"/>
          </w:tcPr>
          <w:p w:rsidR="00B756D3" w:rsidRPr="00E80D11" w:rsidRDefault="00B756D3" w:rsidP="00A277BA">
            <w:pPr>
              <w:spacing w:line="480" w:lineRule="auto"/>
              <w:jc w:val="both"/>
              <w:rPr>
                <w:sz w:val="22"/>
                <w:szCs w:val="22"/>
              </w:rPr>
            </w:pPr>
          </w:p>
        </w:tc>
        <w:tc>
          <w:tcPr>
            <w:tcW w:w="656" w:type="dxa"/>
            <w:shd w:val="clear" w:color="auto" w:fill="auto"/>
          </w:tcPr>
          <w:p w:rsidR="00B756D3" w:rsidRPr="00E80D11" w:rsidRDefault="00B756D3" w:rsidP="00A277BA">
            <w:pPr>
              <w:spacing w:line="480" w:lineRule="auto"/>
              <w:jc w:val="both"/>
              <w:rPr>
                <w:sz w:val="22"/>
                <w:szCs w:val="22"/>
              </w:rPr>
            </w:pPr>
          </w:p>
        </w:tc>
      </w:tr>
      <w:tr w:rsidR="00B756D3" w:rsidRPr="00E80D11" w:rsidTr="00A277BA">
        <w:trPr>
          <w:trHeight w:val="20"/>
        </w:trPr>
        <w:tc>
          <w:tcPr>
            <w:tcW w:w="5317" w:type="dxa"/>
            <w:shd w:val="clear" w:color="auto" w:fill="auto"/>
          </w:tcPr>
          <w:p w:rsidR="00B756D3" w:rsidRPr="00E80D11" w:rsidRDefault="00B756D3" w:rsidP="00A277BA">
            <w:pPr>
              <w:spacing w:line="480" w:lineRule="auto"/>
              <w:jc w:val="both"/>
              <w:rPr>
                <w:sz w:val="22"/>
                <w:szCs w:val="22"/>
              </w:rPr>
            </w:pPr>
            <w:r w:rsidRPr="00E80D11">
              <w:rPr>
                <w:sz w:val="22"/>
                <w:szCs w:val="22"/>
              </w:rPr>
              <w:t>Matematik veya matematikçiler hakkında bir bilimsel dergi ya da kitap oku</w:t>
            </w:r>
            <w:r w:rsidR="00011A70">
              <w:rPr>
                <w:sz w:val="22"/>
                <w:szCs w:val="22"/>
              </w:rPr>
              <w:t>r</w:t>
            </w:r>
            <w:r w:rsidRPr="00E80D11">
              <w:rPr>
                <w:sz w:val="22"/>
                <w:szCs w:val="22"/>
              </w:rPr>
              <w:t>um.</w:t>
            </w:r>
          </w:p>
        </w:tc>
        <w:tc>
          <w:tcPr>
            <w:tcW w:w="1028" w:type="dxa"/>
            <w:shd w:val="clear" w:color="auto" w:fill="auto"/>
          </w:tcPr>
          <w:p w:rsidR="00B756D3" w:rsidRPr="00E80D11" w:rsidRDefault="00B756D3" w:rsidP="00A277BA">
            <w:pPr>
              <w:spacing w:line="480" w:lineRule="auto"/>
              <w:jc w:val="both"/>
              <w:rPr>
                <w:sz w:val="22"/>
                <w:szCs w:val="22"/>
              </w:rPr>
            </w:pPr>
          </w:p>
        </w:tc>
        <w:tc>
          <w:tcPr>
            <w:tcW w:w="956" w:type="dxa"/>
            <w:shd w:val="clear" w:color="auto" w:fill="auto"/>
          </w:tcPr>
          <w:p w:rsidR="00B756D3" w:rsidRPr="00E80D11" w:rsidRDefault="00B756D3" w:rsidP="00A277BA">
            <w:pPr>
              <w:spacing w:line="480" w:lineRule="auto"/>
              <w:jc w:val="both"/>
              <w:rPr>
                <w:sz w:val="22"/>
                <w:szCs w:val="22"/>
              </w:rPr>
            </w:pPr>
          </w:p>
        </w:tc>
        <w:tc>
          <w:tcPr>
            <w:tcW w:w="848" w:type="dxa"/>
            <w:shd w:val="clear" w:color="auto" w:fill="auto"/>
          </w:tcPr>
          <w:p w:rsidR="00B756D3" w:rsidRPr="00E80D11" w:rsidRDefault="00B756D3" w:rsidP="00A277BA">
            <w:pPr>
              <w:spacing w:line="480" w:lineRule="auto"/>
              <w:jc w:val="both"/>
              <w:rPr>
                <w:sz w:val="22"/>
                <w:szCs w:val="22"/>
              </w:rPr>
            </w:pPr>
          </w:p>
        </w:tc>
        <w:tc>
          <w:tcPr>
            <w:tcW w:w="656" w:type="dxa"/>
            <w:shd w:val="clear" w:color="auto" w:fill="auto"/>
          </w:tcPr>
          <w:p w:rsidR="00B756D3" w:rsidRPr="00E80D11" w:rsidRDefault="00B756D3" w:rsidP="00A277BA">
            <w:pPr>
              <w:spacing w:line="480" w:lineRule="auto"/>
              <w:jc w:val="both"/>
              <w:rPr>
                <w:sz w:val="22"/>
                <w:szCs w:val="22"/>
              </w:rPr>
            </w:pPr>
          </w:p>
        </w:tc>
      </w:tr>
    </w:tbl>
    <w:p w:rsidR="00B756D3" w:rsidRPr="00E80D11" w:rsidRDefault="00B756D3" w:rsidP="00B756D3">
      <w:pPr>
        <w:spacing w:line="480" w:lineRule="auto"/>
        <w:jc w:val="both"/>
        <w:rPr>
          <w:b/>
          <w:bCs/>
        </w:rPr>
      </w:pPr>
    </w:p>
    <w:p w:rsidR="00B756D3" w:rsidRPr="00E80D11" w:rsidRDefault="00B756D3" w:rsidP="00B756D3">
      <w:pPr>
        <w:spacing w:line="480" w:lineRule="auto"/>
        <w:jc w:val="both"/>
        <w:rPr>
          <w:b/>
          <w:bCs/>
        </w:rPr>
      </w:pPr>
    </w:p>
    <w:p w:rsidR="00B756D3" w:rsidRPr="00E80D11" w:rsidRDefault="00B756D3" w:rsidP="00B756D3">
      <w:pPr>
        <w:spacing w:line="480" w:lineRule="auto"/>
        <w:jc w:val="both"/>
      </w:pPr>
    </w:p>
    <w:p w:rsidR="006355EC" w:rsidRPr="00E80D11" w:rsidRDefault="006355EC" w:rsidP="00591C54">
      <w:pPr>
        <w:spacing w:line="360" w:lineRule="auto"/>
        <w:jc w:val="center"/>
        <w:rPr>
          <w:b/>
          <w:noProof/>
          <w:color w:val="FF0000"/>
        </w:rPr>
      </w:pPr>
    </w:p>
    <w:p w:rsidR="006355EC" w:rsidRPr="00E80D11" w:rsidRDefault="006355EC" w:rsidP="00591C54">
      <w:pPr>
        <w:spacing w:line="360" w:lineRule="auto"/>
        <w:jc w:val="center"/>
        <w:rPr>
          <w:b/>
          <w:noProof/>
          <w:color w:val="FF0000"/>
        </w:rPr>
      </w:pPr>
    </w:p>
    <w:sectPr w:rsidR="006355EC" w:rsidRPr="00E80D11" w:rsidSect="00804C6D">
      <w:headerReference w:type="even" r:id="rId14"/>
      <w:headerReference w:type="default" r:id="rId15"/>
      <w:footerReference w:type="even" r:id="rId16"/>
      <w:footerReference w:type="default" r:id="rId17"/>
      <w:headerReference w:type="first" r:id="rId18"/>
      <w:footerReference w:type="first" r:id="rId19"/>
      <w:footnotePr>
        <w:numFmt w:val="chicago"/>
      </w:footnotePr>
      <w:pgSz w:w="11907" w:h="16840" w:code="9"/>
      <w:pgMar w:top="1701" w:right="1701" w:bottom="1701" w:left="1701" w:header="567" w:footer="709" w:gutter="0"/>
      <w:pgNumType w:start="48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4CF4" w:rsidRDefault="00A44CF4" w:rsidP="00647DAB">
      <w:r>
        <w:separator/>
      </w:r>
    </w:p>
  </w:endnote>
  <w:endnote w:type="continuationSeparator" w:id="0">
    <w:p w:rsidR="00A44CF4" w:rsidRDefault="00A44CF4" w:rsidP="00647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A4B" w:rsidRDefault="00DB6A4B">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324F" w:rsidRDefault="0023324F">
    <w:pPr>
      <w:pStyle w:val="AltBilgi"/>
      <w:jc w:val="center"/>
    </w:pPr>
    <w:r>
      <w:fldChar w:fldCharType="begin"/>
    </w:r>
    <w:r>
      <w:instrText>PAGE   \* MERGEFORMAT</w:instrText>
    </w:r>
    <w:r>
      <w:fldChar w:fldCharType="separate"/>
    </w:r>
    <w:r w:rsidR="00DB6A4B" w:rsidRPr="00DB6A4B">
      <w:rPr>
        <w:noProof/>
        <w:lang w:val="tr-TR"/>
      </w:rPr>
      <w:t>499</w:t>
    </w:r>
    <w:r>
      <w:fldChar w:fldCharType="end"/>
    </w:r>
  </w:p>
  <w:p w:rsidR="0023324F" w:rsidRDefault="0023324F">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A4B" w:rsidRDefault="00DB6A4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4CF4" w:rsidRDefault="00A44CF4" w:rsidP="00647DAB">
      <w:r>
        <w:separator/>
      </w:r>
    </w:p>
  </w:footnote>
  <w:footnote w:type="continuationSeparator" w:id="0">
    <w:p w:rsidR="00A44CF4" w:rsidRDefault="00A44CF4" w:rsidP="00647DAB">
      <w:r>
        <w:continuationSeparator/>
      </w:r>
    </w:p>
  </w:footnote>
  <w:footnote w:id="1">
    <w:p w:rsidR="0023324F" w:rsidRDefault="0023324F" w:rsidP="004C5CEB">
      <w:pPr>
        <w:pStyle w:val="DipnotMetni"/>
        <w:rPr>
          <w:sz w:val="18"/>
          <w:szCs w:val="18"/>
        </w:rPr>
      </w:pPr>
      <w:r>
        <w:rPr>
          <w:rStyle w:val="DipnotBavurusu"/>
        </w:rPr>
        <w:footnoteRef/>
      </w:r>
      <w:r>
        <w:rPr>
          <w:sz w:val="18"/>
          <w:szCs w:val="18"/>
        </w:rPr>
        <w:t xml:space="preserve">Dr. </w:t>
      </w:r>
      <w:proofErr w:type="spellStart"/>
      <w:r>
        <w:rPr>
          <w:sz w:val="18"/>
          <w:szCs w:val="18"/>
        </w:rPr>
        <w:t>Öğr</w:t>
      </w:r>
      <w:proofErr w:type="spellEnd"/>
      <w:r>
        <w:rPr>
          <w:sz w:val="18"/>
          <w:szCs w:val="18"/>
        </w:rPr>
        <w:t xml:space="preserve">. Üyesi, Muş Alparslan Üniversitesi, Çocuk Gelişimi Bölümü </w:t>
      </w:r>
      <w:proofErr w:type="spellStart"/>
      <w:r>
        <w:rPr>
          <w:sz w:val="18"/>
          <w:szCs w:val="18"/>
        </w:rPr>
        <w:t>Email</w:t>
      </w:r>
      <w:proofErr w:type="spellEnd"/>
      <w:r>
        <w:rPr>
          <w:sz w:val="18"/>
          <w:szCs w:val="18"/>
        </w:rPr>
        <w:t>:</w:t>
      </w:r>
      <w:r>
        <w:rPr>
          <w:rStyle w:val="Kpr"/>
          <w:sz w:val="18"/>
          <w:szCs w:val="18"/>
        </w:rPr>
        <w:t xml:space="preserve"> i.donmez@alparslan.edu.tr</w:t>
      </w:r>
      <w:r>
        <w:rPr>
          <w:sz w:val="18"/>
          <w:szCs w:val="18"/>
        </w:rPr>
        <w:t xml:space="preserve">  </w:t>
      </w:r>
      <w:proofErr w:type="spellStart"/>
      <w:r>
        <w:rPr>
          <w:sz w:val="18"/>
          <w:szCs w:val="18"/>
        </w:rPr>
        <w:t>Orcid</w:t>
      </w:r>
      <w:proofErr w:type="spellEnd"/>
      <w:r>
        <w:rPr>
          <w:sz w:val="18"/>
          <w:szCs w:val="18"/>
        </w:rPr>
        <w:t xml:space="preserve"> No:</w:t>
      </w:r>
      <w:r>
        <w:rPr>
          <w:color w:val="494A4C"/>
          <w:sz w:val="18"/>
          <w:szCs w:val="18"/>
          <w:shd w:val="clear" w:color="auto" w:fill="FFFFFF"/>
        </w:rPr>
        <w:t xml:space="preserve"> 0000-0002-7792-0169</w:t>
      </w:r>
    </w:p>
    <w:p w:rsidR="0023324F" w:rsidRDefault="0023324F" w:rsidP="004775BB">
      <w:pPr>
        <w:tabs>
          <w:tab w:val="left" w:pos="284"/>
          <w:tab w:val="left" w:pos="709"/>
        </w:tabs>
        <w:spacing w:before="120" w:after="120"/>
        <w:jc w:val="both"/>
        <w:rPr>
          <w:sz w:val="18"/>
          <w:szCs w:val="18"/>
        </w:rPr>
      </w:pPr>
      <w:r>
        <w:rPr>
          <w:sz w:val="18"/>
          <w:szCs w:val="18"/>
        </w:rPr>
        <w:t>_____________________________________________________________________________________________</w:t>
      </w:r>
    </w:p>
    <w:p w:rsidR="0023324F" w:rsidRPr="007B32AA" w:rsidRDefault="0023324F" w:rsidP="004775BB">
      <w:pPr>
        <w:pStyle w:val="DipnotMetni"/>
        <w:tabs>
          <w:tab w:val="left" w:pos="483"/>
        </w:tabs>
        <w:ind w:left="45"/>
        <w:jc w:val="both"/>
        <w:rPr>
          <w:i/>
        </w:rPr>
      </w:pPr>
      <w:r w:rsidRPr="00EF0639">
        <w:rPr>
          <w:b/>
          <w:i/>
        </w:rPr>
        <w:t>Gönderim:</w:t>
      </w:r>
      <w:r>
        <w:rPr>
          <w:i/>
        </w:rPr>
        <w:t>16.</w:t>
      </w:r>
      <w:r>
        <w:rPr>
          <w:i/>
          <w:lang w:val="tr-TR"/>
        </w:rPr>
        <w:t>12</w:t>
      </w:r>
      <w:r>
        <w:rPr>
          <w:i/>
        </w:rPr>
        <w:t xml:space="preserve">.2019 </w:t>
      </w:r>
      <w:r w:rsidRPr="000A3413">
        <w:rPr>
          <w:b/>
          <w:i/>
        </w:rPr>
        <w:t>Kabul:</w:t>
      </w:r>
      <w:r>
        <w:rPr>
          <w:i/>
          <w:lang w:val="tr-TR"/>
        </w:rPr>
        <w:t>29</w:t>
      </w:r>
      <w:r>
        <w:rPr>
          <w:i/>
        </w:rPr>
        <w:t>.01</w:t>
      </w:r>
      <w:r w:rsidRPr="00EF0639">
        <w:rPr>
          <w:i/>
        </w:rPr>
        <w:t>.20</w:t>
      </w:r>
      <w:r>
        <w:rPr>
          <w:i/>
        </w:rPr>
        <w:t xml:space="preserve">20 </w:t>
      </w:r>
      <w:r w:rsidRPr="000A3413">
        <w:rPr>
          <w:b/>
          <w:i/>
        </w:rPr>
        <w:t>Yayın:</w:t>
      </w:r>
      <w:r w:rsidRPr="00EF0639">
        <w:rPr>
          <w:i/>
        </w:rPr>
        <w:t>29.02.2020</w:t>
      </w:r>
      <w:r>
        <w:rPr>
          <w:i/>
        </w:rPr>
        <w:br/>
      </w:r>
      <w:r>
        <w:rPr>
          <w:i/>
        </w:rPr>
        <w:softHyphen/>
      </w:r>
      <w:r>
        <w:rPr>
          <w:i/>
        </w:rPr>
        <w:softHyphen/>
      </w:r>
      <w:r>
        <w:rPr>
          <w:i/>
        </w:rPr>
        <w:softHyphen/>
      </w:r>
      <w:r>
        <w:rPr>
          <w:i/>
        </w:rPr>
        <w:softHyphen/>
      </w:r>
      <w:r>
        <w:rPr>
          <w:i/>
        </w:rPr>
        <w:softHyphen/>
      </w:r>
      <w:r>
        <w:rPr>
          <w:i/>
        </w:rPr>
        <w:softHyphen/>
      </w:r>
      <w:r>
        <w:rPr>
          <w:i/>
        </w:rPr>
        <w:softHyphen/>
      </w:r>
      <w:r>
        <w:rPr>
          <w:i/>
        </w:rPr>
        <w:softHyphen/>
      </w:r>
      <w:r>
        <w:rPr>
          <w:i/>
        </w:rPr>
        <w:softHyphen/>
      </w:r>
      <w:r>
        <w:rPr>
          <w:i/>
        </w:rPr>
        <w:softHyphen/>
      </w:r>
      <w:r>
        <w:rPr>
          <w:i/>
        </w:rPr>
        <w:softHyphen/>
      </w:r>
      <w:r>
        <w:rPr>
          <w:i/>
        </w:rPr>
        <w:softHyphen/>
      </w:r>
      <w:r>
        <w:rPr>
          <w:i/>
        </w:rPr>
        <w:softHyphen/>
      </w:r>
      <w:r>
        <w:rPr>
          <w:i/>
        </w:rPr>
        <w:softHyphen/>
      </w:r>
      <w:r>
        <w:rPr>
          <w:i/>
        </w:rPr>
        <w:softHyphen/>
      </w:r>
      <w:r>
        <w:rPr>
          <w:i/>
        </w:rPr>
        <w:softHyphen/>
      </w:r>
      <w:r>
        <w:rPr>
          <w:i/>
        </w:rPr>
        <w:softHyphen/>
      </w:r>
      <w:r>
        <w:rPr>
          <w:i/>
        </w:rPr>
        <w:softHyphen/>
      </w:r>
      <w:r>
        <w:rPr>
          <w:i/>
        </w:rPr>
        <w:softHyphen/>
      </w:r>
      <w:r>
        <w:rPr>
          <w:i/>
        </w:rPr>
        <w:softHyphen/>
      </w:r>
      <w:r>
        <w:rPr>
          <w:i/>
        </w:rPr>
        <w:softHyphen/>
      </w:r>
      <w:r>
        <w:rPr>
          <w:i/>
        </w:rPr>
        <w:softHyphen/>
      </w:r>
      <w:r>
        <w:rPr>
          <w:i/>
        </w:rPr>
        <w:softHyphen/>
      </w:r>
      <w:r>
        <w:rPr>
          <w:i/>
        </w:rPr>
        <w:softHyphen/>
      </w:r>
      <w:r>
        <w:rPr>
          <w:i/>
        </w:rPr>
        <w:softHyphen/>
      </w:r>
      <w:r>
        <w:rPr>
          <w:i/>
        </w:rPr>
        <w:softHyphen/>
        <w:t>____________________________________________________________________________________</w:t>
      </w:r>
    </w:p>
    <w:p w:rsidR="0023324F" w:rsidRPr="00B708C4" w:rsidRDefault="0023324F" w:rsidP="004775BB">
      <w:pPr>
        <w:pBdr>
          <w:top w:val="nil"/>
          <w:left w:val="nil"/>
          <w:bottom w:val="nil"/>
          <w:right w:val="nil"/>
          <w:between w:val="nil"/>
        </w:pBdr>
        <w:rPr>
          <w:rFonts w:eastAsia="Times New Roman"/>
          <w:color w:val="000000"/>
          <w:sz w:val="18"/>
          <w:szCs w:val="18"/>
        </w:rPr>
      </w:pPr>
    </w:p>
    <w:p w:rsidR="0023324F" w:rsidRDefault="0023324F" w:rsidP="004C5CEB">
      <w:pPr>
        <w:pStyle w:val="DipnotMetni"/>
        <w:rPr>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A4B" w:rsidRDefault="00DB6A4B">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324F" w:rsidRDefault="0023324F" w:rsidP="00E8476B">
    <w:pPr>
      <w:jc w:val="both"/>
      <w:rPr>
        <w:i/>
        <w:sz w:val="18"/>
        <w:szCs w:val="18"/>
      </w:rPr>
    </w:pPr>
    <w:r>
      <w:rPr>
        <w:noProof/>
        <w:lang w:eastAsia="tr-TR"/>
      </w:rPr>
      <w:drawing>
        <wp:anchor distT="0" distB="0" distL="114300" distR="114300" simplePos="0" relativeHeight="251658240" behindDoc="0" locked="0" layoutInCell="1" allowOverlap="1">
          <wp:simplePos x="0" y="0"/>
          <wp:positionH relativeFrom="page">
            <wp:align>left</wp:align>
          </wp:positionH>
          <wp:positionV relativeFrom="page">
            <wp:posOffset>66675</wp:posOffset>
          </wp:positionV>
          <wp:extent cx="904875" cy="980440"/>
          <wp:effectExtent l="0" t="0" r="0" b="0"/>
          <wp:wrapNone/>
          <wp:docPr id="3" name="Resim 5" descr="Açıklama: Açıklama: Açıklama: Açıklama: Açıklama: Açıklama: Açıklama: Açıklama: Açıklama: E:\web\zefdergi\logo.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sim 5" descr="Açıklama: Açıklama: Açıklama: Açıklama: Açıklama: Açıklama: Açıklama: Açıklama: Açıklama: E:\web\zefdergi\logo.pn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80440"/>
                  </a:xfrm>
                  <a:prstGeom prst="rect">
                    <a:avLst/>
                  </a:prstGeom>
                  <a:noFill/>
                  <a:ln>
                    <a:noFill/>
                  </a:ln>
                </pic:spPr>
              </pic:pic>
            </a:graphicData>
          </a:graphic>
          <wp14:sizeRelH relativeFrom="page">
            <wp14:pctWidth>0</wp14:pctWidth>
          </wp14:sizeRelH>
          <wp14:sizeRelV relativeFrom="page">
            <wp14:pctHeight>0</wp14:pctHeight>
          </wp14:sizeRelV>
        </wp:anchor>
      </w:drawing>
    </w:r>
    <w:r>
      <w:rPr>
        <w:i/>
        <w:sz w:val="18"/>
        <w:szCs w:val="18"/>
      </w:rPr>
      <w:t xml:space="preserve"> YYÜ Eğitim Fakültesi Dergisi (YYU Journal of Education Faculty), 2020; 17(1):486-510, </w:t>
    </w:r>
    <w:hyperlink r:id="rId2" w:history="1">
      <w:r>
        <w:rPr>
          <w:rStyle w:val="Kpr"/>
          <w:i/>
          <w:sz w:val="18"/>
          <w:szCs w:val="18"/>
        </w:rPr>
        <w:t>http://efdergi.yyu.edu.tr</w:t>
      </w:r>
    </w:hyperlink>
    <w:r>
      <w:rPr>
        <w:i/>
        <w:sz w:val="18"/>
        <w:szCs w:val="18"/>
      </w:rPr>
      <w:t xml:space="preserve"> ,</w:t>
    </w:r>
    <w:r>
      <w:t xml:space="preserve"> </w:t>
    </w:r>
  </w:p>
  <w:p w:rsidR="0023324F" w:rsidRDefault="0023324F" w:rsidP="00E8476B">
    <w:pPr>
      <w:jc w:val="both"/>
      <w:rPr>
        <w:sz w:val="18"/>
        <w:szCs w:val="18"/>
      </w:rPr>
    </w:pPr>
    <w:r>
      <w:rPr>
        <w:i/>
        <w:sz w:val="18"/>
        <w:szCs w:val="18"/>
      </w:rPr>
      <w:t xml:space="preserve">      </w:t>
    </w:r>
    <w:r>
      <w:rPr>
        <w:color w:val="352CE6"/>
        <w:sz w:val="16"/>
        <w:szCs w:val="16"/>
        <w:u w:val="single"/>
      </w:rPr>
      <w:br/>
    </w:r>
    <w:r>
      <w:rPr>
        <w:color w:val="FF0000"/>
        <w:sz w:val="16"/>
        <w:szCs w:val="16"/>
      </w:rPr>
      <w:t xml:space="preserve">  </w:t>
    </w:r>
    <w:bookmarkStart w:id="18" w:name="_GoBack"/>
    <w:r w:rsidR="00DB6A4B" w:rsidRPr="00DB6A4B">
      <w:rPr>
        <w:b/>
        <w:sz w:val="18"/>
        <w:szCs w:val="18"/>
      </w:rPr>
      <w:t>doi:10.33711/yyuefd.693825</w:t>
    </w:r>
    <w:r w:rsidRPr="00DB6A4B">
      <w:rPr>
        <w:b/>
        <w:sz w:val="18"/>
        <w:szCs w:val="18"/>
      </w:rPr>
      <w:t> </w:t>
    </w:r>
    <w:bookmarkEnd w:id="18"/>
    <w:r>
      <w:rPr>
        <w:color w:val="4472C4"/>
        <w:sz w:val="18"/>
        <w:szCs w:val="18"/>
      </w:rPr>
      <w:t xml:space="preserve">                  </w:t>
    </w:r>
    <w:r>
      <w:rPr>
        <w:b/>
        <w:sz w:val="18"/>
        <w:szCs w:val="18"/>
      </w:rPr>
      <w:t>Araştırma Makalesi                                          ISSN: 1305-2020</w:t>
    </w:r>
  </w:p>
  <w:p w:rsidR="0023324F" w:rsidRDefault="0023324F">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324F" w:rsidRDefault="0023324F" w:rsidP="00E8476B">
    <w:pPr>
      <w:jc w:val="both"/>
      <w:rPr>
        <w:i/>
        <w:sz w:val="18"/>
        <w:szCs w:val="18"/>
      </w:rPr>
    </w:pPr>
    <w:r>
      <w:rPr>
        <w:noProof/>
        <w:lang w:eastAsia="tr-TR"/>
      </w:rPr>
      <w:drawing>
        <wp:anchor distT="0" distB="0" distL="114300" distR="114300" simplePos="0" relativeHeight="251657216" behindDoc="0" locked="0" layoutInCell="1" allowOverlap="1">
          <wp:simplePos x="0" y="0"/>
          <wp:positionH relativeFrom="page">
            <wp:align>left</wp:align>
          </wp:positionH>
          <wp:positionV relativeFrom="page">
            <wp:posOffset>66675</wp:posOffset>
          </wp:positionV>
          <wp:extent cx="904875" cy="980440"/>
          <wp:effectExtent l="0" t="0" r="0" b="0"/>
          <wp:wrapNone/>
          <wp:docPr id="2" name="Resim 5" descr="Açıklama: Açıklama: Açıklama: Açıklama: Açıklama: Açıklama: Açıklama: Açıklama: Açıklama: E:\web\zefdergi\logo.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sim 5" descr="Açıklama: Açıklama: Açıklama: Açıklama: Açıklama: Açıklama: Açıklama: Açıklama: Açıklama: E:\web\zefdergi\logo.pn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80440"/>
                  </a:xfrm>
                  <a:prstGeom prst="rect">
                    <a:avLst/>
                  </a:prstGeom>
                  <a:noFill/>
                  <a:ln>
                    <a:noFill/>
                  </a:ln>
                </pic:spPr>
              </pic:pic>
            </a:graphicData>
          </a:graphic>
          <wp14:sizeRelH relativeFrom="page">
            <wp14:pctWidth>0</wp14:pctWidth>
          </wp14:sizeRelH>
          <wp14:sizeRelV relativeFrom="page">
            <wp14:pctHeight>0</wp14:pctHeight>
          </wp14:sizeRelV>
        </wp:anchor>
      </w:drawing>
    </w:r>
    <w:r>
      <w:rPr>
        <w:i/>
        <w:sz w:val="18"/>
        <w:szCs w:val="18"/>
      </w:rPr>
      <w:t xml:space="preserve"> YYÜ Eğitim Fakültesi Dergisi (YYU Journal of Education Faculty), 2020; 17(1):455-485, </w:t>
    </w:r>
    <w:hyperlink r:id="rId2" w:history="1">
      <w:r>
        <w:rPr>
          <w:rStyle w:val="Kpr"/>
          <w:i/>
          <w:sz w:val="18"/>
          <w:szCs w:val="18"/>
        </w:rPr>
        <w:t>http://efdergi.yyu.edu.tr</w:t>
      </w:r>
    </w:hyperlink>
    <w:r>
      <w:rPr>
        <w:i/>
        <w:sz w:val="18"/>
        <w:szCs w:val="18"/>
      </w:rPr>
      <w:t xml:space="preserve"> ,</w:t>
    </w:r>
    <w:r>
      <w:t xml:space="preserve"> </w:t>
    </w:r>
  </w:p>
  <w:p w:rsidR="0023324F" w:rsidRDefault="0023324F" w:rsidP="00E8476B">
    <w:pPr>
      <w:jc w:val="both"/>
      <w:rPr>
        <w:sz w:val="18"/>
        <w:szCs w:val="18"/>
      </w:rPr>
    </w:pPr>
    <w:r>
      <w:rPr>
        <w:i/>
        <w:sz w:val="18"/>
        <w:szCs w:val="18"/>
      </w:rPr>
      <w:t xml:space="preserve">      </w:t>
    </w:r>
    <w:r>
      <w:rPr>
        <w:color w:val="352CE6"/>
        <w:sz w:val="16"/>
        <w:szCs w:val="16"/>
        <w:u w:val="single"/>
      </w:rPr>
      <w:br/>
    </w:r>
    <w:r>
      <w:rPr>
        <w:color w:val="FF0000"/>
        <w:sz w:val="16"/>
        <w:szCs w:val="16"/>
      </w:rPr>
      <w:t xml:space="preserve">  </w:t>
    </w:r>
    <w:r>
      <w:rPr>
        <w:color w:val="FF0000"/>
        <w:sz w:val="18"/>
        <w:szCs w:val="18"/>
      </w:rPr>
      <w:t>doi:10.33711/yyuefd.671863</w:t>
    </w:r>
    <w:r>
      <w:rPr>
        <w:color w:val="4472C4"/>
        <w:sz w:val="18"/>
        <w:szCs w:val="18"/>
      </w:rPr>
      <w:t xml:space="preserve">                    </w:t>
    </w:r>
    <w:r>
      <w:rPr>
        <w:b/>
        <w:sz w:val="18"/>
        <w:szCs w:val="18"/>
      </w:rPr>
      <w:t>Araştırma Makalesi                                          ISSN: 1305-2020</w:t>
    </w:r>
  </w:p>
  <w:p w:rsidR="0023324F" w:rsidRDefault="0023324F">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622A9"/>
    <w:multiLevelType w:val="hybridMultilevel"/>
    <w:tmpl w:val="812E55C2"/>
    <w:lvl w:ilvl="0" w:tplc="041F000F">
      <w:start w:val="1"/>
      <w:numFmt w:val="decimal"/>
      <w:lvlText w:val="%1."/>
      <w:lvlJc w:val="left"/>
      <w:pPr>
        <w:ind w:left="502" w:hanging="360"/>
      </w:pPr>
    </w:lvl>
    <w:lvl w:ilvl="1" w:tplc="041F0003">
      <w:start w:val="1"/>
      <w:numFmt w:val="bullet"/>
      <w:lvlText w:val="o"/>
      <w:lvlJc w:val="left"/>
      <w:pPr>
        <w:ind w:left="1222" w:hanging="360"/>
      </w:pPr>
      <w:rPr>
        <w:rFonts w:ascii="Courier New" w:hAnsi="Courier New" w:cs="Courier New" w:hint="default"/>
      </w:rPr>
    </w:lvl>
    <w:lvl w:ilvl="2" w:tplc="041F0005">
      <w:start w:val="1"/>
      <w:numFmt w:val="bullet"/>
      <w:lvlText w:val=""/>
      <w:lvlJc w:val="left"/>
      <w:pPr>
        <w:ind w:left="1942" w:hanging="360"/>
      </w:pPr>
      <w:rPr>
        <w:rFonts w:ascii="Wingdings" w:hAnsi="Wingdings" w:hint="default"/>
      </w:rPr>
    </w:lvl>
    <w:lvl w:ilvl="3" w:tplc="041F0001">
      <w:start w:val="1"/>
      <w:numFmt w:val="bullet"/>
      <w:lvlText w:val=""/>
      <w:lvlJc w:val="left"/>
      <w:pPr>
        <w:ind w:left="2662" w:hanging="360"/>
      </w:pPr>
      <w:rPr>
        <w:rFonts w:ascii="Symbol" w:hAnsi="Symbol" w:hint="default"/>
      </w:rPr>
    </w:lvl>
    <w:lvl w:ilvl="4" w:tplc="041F0003">
      <w:start w:val="1"/>
      <w:numFmt w:val="bullet"/>
      <w:lvlText w:val="o"/>
      <w:lvlJc w:val="left"/>
      <w:pPr>
        <w:ind w:left="3382" w:hanging="360"/>
      </w:pPr>
      <w:rPr>
        <w:rFonts w:ascii="Courier New" w:hAnsi="Courier New" w:cs="Courier New" w:hint="default"/>
      </w:rPr>
    </w:lvl>
    <w:lvl w:ilvl="5" w:tplc="041F0005">
      <w:start w:val="1"/>
      <w:numFmt w:val="bullet"/>
      <w:lvlText w:val=""/>
      <w:lvlJc w:val="left"/>
      <w:pPr>
        <w:ind w:left="4102" w:hanging="360"/>
      </w:pPr>
      <w:rPr>
        <w:rFonts w:ascii="Wingdings" w:hAnsi="Wingdings" w:hint="default"/>
      </w:rPr>
    </w:lvl>
    <w:lvl w:ilvl="6" w:tplc="041F0001">
      <w:start w:val="1"/>
      <w:numFmt w:val="bullet"/>
      <w:lvlText w:val=""/>
      <w:lvlJc w:val="left"/>
      <w:pPr>
        <w:ind w:left="4822" w:hanging="360"/>
      </w:pPr>
      <w:rPr>
        <w:rFonts w:ascii="Symbol" w:hAnsi="Symbol" w:hint="default"/>
      </w:rPr>
    </w:lvl>
    <w:lvl w:ilvl="7" w:tplc="041F0003">
      <w:start w:val="1"/>
      <w:numFmt w:val="bullet"/>
      <w:lvlText w:val="o"/>
      <w:lvlJc w:val="left"/>
      <w:pPr>
        <w:ind w:left="5542" w:hanging="360"/>
      </w:pPr>
      <w:rPr>
        <w:rFonts w:ascii="Courier New" w:hAnsi="Courier New" w:cs="Courier New" w:hint="default"/>
      </w:rPr>
    </w:lvl>
    <w:lvl w:ilvl="8" w:tplc="041F0005">
      <w:start w:val="1"/>
      <w:numFmt w:val="bullet"/>
      <w:lvlText w:val=""/>
      <w:lvlJc w:val="left"/>
      <w:pPr>
        <w:ind w:left="6262" w:hanging="360"/>
      </w:pPr>
      <w:rPr>
        <w:rFonts w:ascii="Wingdings" w:hAnsi="Wingdings" w:hint="default"/>
      </w:rPr>
    </w:lvl>
  </w:abstractNum>
  <w:abstractNum w:abstractNumId="1" w15:restartNumberingAfterBreak="0">
    <w:nsid w:val="097F0C74"/>
    <w:multiLevelType w:val="hybridMultilevel"/>
    <w:tmpl w:val="04544A82"/>
    <w:lvl w:ilvl="0" w:tplc="BD8E6446">
      <w:start w:val="1"/>
      <w:numFmt w:val="bullet"/>
      <w:lvlText w:val=""/>
      <w:lvlJc w:val="left"/>
      <w:pPr>
        <w:tabs>
          <w:tab w:val="num" w:pos="720"/>
        </w:tabs>
        <w:ind w:left="720" w:hanging="360"/>
      </w:pPr>
      <w:rPr>
        <w:rFonts w:ascii="Wingdings" w:hAnsi="Wingdings" w:hint="default"/>
      </w:rPr>
    </w:lvl>
    <w:lvl w:ilvl="1" w:tplc="62A27082">
      <w:start w:val="1"/>
      <w:numFmt w:val="bullet"/>
      <w:lvlText w:val=""/>
      <w:lvlJc w:val="left"/>
      <w:pPr>
        <w:tabs>
          <w:tab w:val="num" w:pos="1440"/>
        </w:tabs>
        <w:ind w:left="1440" w:hanging="360"/>
      </w:pPr>
      <w:rPr>
        <w:rFonts w:ascii="Wingdings" w:hAnsi="Wingdings" w:hint="default"/>
      </w:rPr>
    </w:lvl>
    <w:lvl w:ilvl="2" w:tplc="88FA6286" w:tentative="1">
      <w:start w:val="1"/>
      <w:numFmt w:val="bullet"/>
      <w:lvlText w:val=""/>
      <w:lvlJc w:val="left"/>
      <w:pPr>
        <w:tabs>
          <w:tab w:val="num" w:pos="2160"/>
        </w:tabs>
        <w:ind w:left="2160" w:hanging="360"/>
      </w:pPr>
      <w:rPr>
        <w:rFonts w:ascii="Wingdings" w:hAnsi="Wingdings" w:hint="default"/>
      </w:rPr>
    </w:lvl>
    <w:lvl w:ilvl="3" w:tplc="2CF64D0A" w:tentative="1">
      <w:start w:val="1"/>
      <w:numFmt w:val="bullet"/>
      <w:lvlText w:val=""/>
      <w:lvlJc w:val="left"/>
      <w:pPr>
        <w:tabs>
          <w:tab w:val="num" w:pos="2880"/>
        </w:tabs>
        <w:ind w:left="2880" w:hanging="360"/>
      </w:pPr>
      <w:rPr>
        <w:rFonts w:ascii="Wingdings" w:hAnsi="Wingdings" w:hint="default"/>
      </w:rPr>
    </w:lvl>
    <w:lvl w:ilvl="4" w:tplc="FBFC833E" w:tentative="1">
      <w:start w:val="1"/>
      <w:numFmt w:val="bullet"/>
      <w:lvlText w:val=""/>
      <w:lvlJc w:val="left"/>
      <w:pPr>
        <w:tabs>
          <w:tab w:val="num" w:pos="3600"/>
        </w:tabs>
        <w:ind w:left="3600" w:hanging="360"/>
      </w:pPr>
      <w:rPr>
        <w:rFonts w:ascii="Wingdings" w:hAnsi="Wingdings" w:hint="default"/>
      </w:rPr>
    </w:lvl>
    <w:lvl w:ilvl="5" w:tplc="5F361C64" w:tentative="1">
      <w:start w:val="1"/>
      <w:numFmt w:val="bullet"/>
      <w:lvlText w:val=""/>
      <w:lvlJc w:val="left"/>
      <w:pPr>
        <w:tabs>
          <w:tab w:val="num" w:pos="4320"/>
        </w:tabs>
        <w:ind w:left="4320" w:hanging="360"/>
      </w:pPr>
      <w:rPr>
        <w:rFonts w:ascii="Wingdings" w:hAnsi="Wingdings" w:hint="default"/>
      </w:rPr>
    </w:lvl>
    <w:lvl w:ilvl="6" w:tplc="674AE202" w:tentative="1">
      <w:start w:val="1"/>
      <w:numFmt w:val="bullet"/>
      <w:lvlText w:val=""/>
      <w:lvlJc w:val="left"/>
      <w:pPr>
        <w:tabs>
          <w:tab w:val="num" w:pos="5040"/>
        </w:tabs>
        <w:ind w:left="5040" w:hanging="360"/>
      </w:pPr>
      <w:rPr>
        <w:rFonts w:ascii="Wingdings" w:hAnsi="Wingdings" w:hint="default"/>
      </w:rPr>
    </w:lvl>
    <w:lvl w:ilvl="7" w:tplc="1A8CCBB0" w:tentative="1">
      <w:start w:val="1"/>
      <w:numFmt w:val="bullet"/>
      <w:lvlText w:val=""/>
      <w:lvlJc w:val="left"/>
      <w:pPr>
        <w:tabs>
          <w:tab w:val="num" w:pos="5760"/>
        </w:tabs>
        <w:ind w:left="5760" w:hanging="360"/>
      </w:pPr>
      <w:rPr>
        <w:rFonts w:ascii="Wingdings" w:hAnsi="Wingdings" w:hint="default"/>
      </w:rPr>
    </w:lvl>
    <w:lvl w:ilvl="8" w:tplc="A03EDE9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3665D0"/>
    <w:multiLevelType w:val="hybridMultilevel"/>
    <w:tmpl w:val="3BE898E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B765612"/>
    <w:multiLevelType w:val="hybridMultilevel"/>
    <w:tmpl w:val="4BE88F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C4D1242"/>
    <w:multiLevelType w:val="hybridMultilevel"/>
    <w:tmpl w:val="5262129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E230806"/>
    <w:multiLevelType w:val="hybridMultilevel"/>
    <w:tmpl w:val="163EB1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0F3E78B8"/>
    <w:multiLevelType w:val="hybridMultilevel"/>
    <w:tmpl w:val="EA7A0826"/>
    <w:lvl w:ilvl="0" w:tplc="041F000F">
      <w:start w:val="1"/>
      <w:numFmt w:val="decimal"/>
      <w:lvlText w:val="%1."/>
      <w:lvlJc w:val="left"/>
      <w:pPr>
        <w:ind w:left="502" w:hanging="360"/>
      </w:pPr>
    </w:lvl>
    <w:lvl w:ilvl="1" w:tplc="041F0003">
      <w:start w:val="1"/>
      <w:numFmt w:val="bullet"/>
      <w:lvlText w:val="o"/>
      <w:lvlJc w:val="left"/>
      <w:pPr>
        <w:ind w:left="1222" w:hanging="360"/>
      </w:pPr>
      <w:rPr>
        <w:rFonts w:ascii="Courier New" w:hAnsi="Courier New" w:cs="Courier New" w:hint="default"/>
      </w:rPr>
    </w:lvl>
    <w:lvl w:ilvl="2" w:tplc="041F0005">
      <w:start w:val="1"/>
      <w:numFmt w:val="bullet"/>
      <w:lvlText w:val=""/>
      <w:lvlJc w:val="left"/>
      <w:pPr>
        <w:ind w:left="1942" w:hanging="360"/>
      </w:pPr>
      <w:rPr>
        <w:rFonts w:ascii="Wingdings" w:hAnsi="Wingdings" w:hint="default"/>
      </w:rPr>
    </w:lvl>
    <w:lvl w:ilvl="3" w:tplc="041F0001">
      <w:start w:val="1"/>
      <w:numFmt w:val="bullet"/>
      <w:lvlText w:val=""/>
      <w:lvlJc w:val="left"/>
      <w:pPr>
        <w:ind w:left="2662" w:hanging="360"/>
      </w:pPr>
      <w:rPr>
        <w:rFonts w:ascii="Symbol" w:hAnsi="Symbol" w:hint="default"/>
      </w:rPr>
    </w:lvl>
    <w:lvl w:ilvl="4" w:tplc="041F0003">
      <w:start w:val="1"/>
      <w:numFmt w:val="bullet"/>
      <w:lvlText w:val="o"/>
      <w:lvlJc w:val="left"/>
      <w:pPr>
        <w:ind w:left="3382" w:hanging="360"/>
      </w:pPr>
      <w:rPr>
        <w:rFonts w:ascii="Courier New" w:hAnsi="Courier New" w:cs="Courier New" w:hint="default"/>
      </w:rPr>
    </w:lvl>
    <w:lvl w:ilvl="5" w:tplc="041F0005">
      <w:start w:val="1"/>
      <w:numFmt w:val="bullet"/>
      <w:lvlText w:val=""/>
      <w:lvlJc w:val="left"/>
      <w:pPr>
        <w:ind w:left="4102" w:hanging="360"/>
      </w:pPr>
      <w:rPr>
        <w:rFonts w:ascii="Wingdings" w:hAnsi="Wingdings" w:hint="default"/>
      </w:rPr>
    </w:lvl>
    <w:lvl w:ilvl="6" w:tplc="041F0001">
      <w:start w:val="1"/>
      <w:numFmt w:val="bullet"/>
      <w:lvlText w:val=""/>
      <w:lvlJc w:val="left"/>
      <w:pPr>
        <w:ind w:left="4822" w:hanging="360"/>
      </w:pPr>
      <w:rPr>
        <w:rFonts w:ascii="Symbol" w:hAnsi="Symbol" w:hint="default"/>
      </w:rPr>
    </w:lvl>
    <w:lvl w:ilvl="7" w:tplc="041F0003">
      <w:start w:val="1"/>
      <w:numFmt w:val="bullet"/>
      <w:lvlText w:val="o"/>
      <w:lvlJc w:val="left"/>
      <w:pPr>
        <w:ind w:left="5542" w:hanging="360"/>
      </w:pPr>
      <w:rPr>
        <w:rFonts w:ascii="Courier New" w:hAnsi="Courier New" w:cs="Courier New" w:hint="default"/>
      </w:rPr>
    </w:lvl>
    <w:lvl w:ilvl="8" w:tplc="041F0005">
      <w:start w:val="1"/>
      <w:numFmt w:val="bullet"/>
      <w:lvlText w:val=""/>
      <w:lvlJc w:val="left"/>
      <w:pPr>
        <w:ind w:left="6262" w:hanging="360"/>
      </w:pPr>
      <w:rPr>
        <w:rFonts w:ascii="Wingdings" w:hAnsi="Wingdings" w:hint="default"/>
      </w:rPr>
    </w:lvl>
  </w:abstractNum>
  <w:abstractNum w:abstractNumId="7" w15:restartNumberingAfterBreak="0">
    <w:nsid w:val="106C3C8F"/>
    <w:multiLevelType w:val="multilevel"/>
    <w:tmpl w:val="FF202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5493CA9"/>
    <w:multiLevelType w:val="hybridMultilevel"/>
    <w:tmpl w:val="D7989FEE"/>
    <w:lvl w:ilvl="0" w:tplc="DA36D0CE">
      <w:start w:val="1"/>
      <w:numFmt w:val="bullet"/>
      <w:lvlText w:val=""/>
      <w:lvlJc w:val="left"/>
      <w:pPr>
        <w:tabs>
          <w:tab w:val="num" w:pos="720"/>
        </w:tabs>
        <w:ind w:left="720" w:hanging="360"/>
      </w:pPr>
      <w:rPr>
        <w:rFonts w:ascii="Wingdings" w:hAnsi="Wingdings" w:hint="default"/>
      </w:rPr>
    </w:lvl>
    <w:lvl w:ilvl="1" w:tplc="144AC12A" w:tentative="1">
      <w:start w:val="1"/>
      <w:numFmt w:val="bullet"/>
      <w:lvlText w:val=""/>
      <w:lvlJc w:val="left"/>
      <w:pPr>
        <w:tabs>
          <w:tab w:val="num" w:pos="1440"/>
        </w:tabs>
        <w:ind w:left="1440" w:hanging="360"/>
      </w:pPr>
      <w:rPr>
        <w:rFonts w:ascii="Wingdings" w:hAnsi="Wingdings" w:hint="default"/>
      </w:rPr>
    </w:lvl>
    <w:lvl w:ilvl="2" w:tplc="0B2006B6" w:tentative="1">
      <w:start w:val="1"/>
      <w:numFmt w:val="bullet"/>
      <w:lvlText w:val=""/>
      <w:lvlJc w:val="left"/>
      <w:pPr>
        <w:tabs>
          <w:tab w:val="num" w:pos="2160"/>
        </w:tabs>
        <w:ind w:left="2160" w:hanging="360"/>
      </w:pPr>
      <w:rPr>
        <w:rFonts w:ascii="Wingdings" w:hAnsi="Wingdings" w:hint="default"/>
      </w:rPr>
    </w:lvl>
    <w:lvl w:ilvl="3" w:tplc="CA8AC4AE" w:tentative="1">
      <w:start w:val="1"/>
      <w:numFmt w:val="bullet"/>
      <w:lvlText w:val=""/>
      <w:lvlJc w:val="left"/>
      <w:pPr>
        <w:tabs>
          <w:tab w:val="num" w:pos="2880"/>
        </w:tabs>
        <w:ind w:left="2880" w:hanging="360"/>
      </w:pPr>
      <w:rPr>
        <w:rFonts w:ascii="Wingdings" w:hAnsi="Wingdings" w:hint="default"/>
      </w:rPr>
    </w:lvl>
    <w:lvl w:ilvl="4" w:tplc="E3027D76" w:tentative="1">
      <w:start w:val="1"/>
      <w:numFmt w:val="bullet"/>
      <w:lvlText w:val=""/>
      <w:lvlJc w:val="left"/>
      <w:pPr>
        <w:tabs>
          <w:tab w:val="num" w:pos="3600"/>
        </w:tabs>
        <w:ind w:left="3600" w:hanging="360"/>
      </w:pPr>
      <w:rPr>
        <w:rFonts w:ascii="Wingdings" w:hAnsi="Wingdings" w:hint="default"/>
      </w:rPr>
    </w:lvl>
    <w:lvl w:ilvl="5" w:tplc="A3F09E80" w:tentative="1">
      <w:start w:val="1"/>
      <w:numFmt w:val="bullet"/>
      <w:lvlText w:val=""/>
      <w:lvlJc w:val="left"/>
      <w:pPr>
        <w:tabs>
          <w:tab w:val="num" w:pos="4320"/>
        </w:tabs>
        <w:ind w:left="4320" w:hanging="360"/>
      </w:pPr>
      <w:rPr>
        <w:rFonts w:ascii="Wingdings" w:hAnsi="Wingdings" w:hint="default"/>
      </w:rPr>
    </w:lvl>
    <w:lvl w:ilvl="6" w:tplc="138C4E1A" w:tentative="1">
      <w:start w:val="1"/>
      <w:numFmt w:val="bullet"/>
      <w:lvlText w:val=""/>
      <w:lvlJc w:val="left"/>
      <w:pPr>
        <w:tabs>
          <w:tab w:val="num" w:pos="5040"/>
        </w:tabs>
        <w:ind w:left="5040" w:hanging="360"/>
      </w:pPr>
      <w:rPr>
        <w:rFonts w:ascii="Wingdings" w:hAnsi="Wingdings" w:hint="default"/>
      </w:rPr>
    </w:lvl>
    <w:lvl w:ilvl="7" w:tplc="C04CD20E" w:tentative="1">
      <w:start w:val="1"/>
      <w:numFmt w:val="bullet"/>
      <w:lvlText w:val=""/>
      <w:lvlJc w:val="left"/>
      <w:pPr>
        <w:tabs>
          <w:tab w:val="num" w:pos="5760"/>
        </w:tabs>
        <w:ind w:left="5760" w:hanging="360"/>
      </w:pPr>
      <w:rPr>
        <w:rFonts w:ascii="Wingdings" w:hAnsi="Wingdings" w:hint="default"/>
      </w:rPr>
    </w:lvl>
    <w:lvl w:ilvl="8" w:tplc="DC24FA3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263206"/>
    <w:multiLevelType w:val="hybridMultilevel"/>
    <w:tmpl w:val="FB685150"/>
    <w:lvl w:ilvl="0" w:tplc="041F000F">
      <w:start w:val="1"/>
      <w:numFmt w:val="decimal"/>
      <w:lvlText w:val="%1."/>
      <w:lvlJc w:val="left"/>
      <w:pPr>
        <w:ind w:left="502" w:hanging="360"/>
      </w:pPr>
    </w:lvl>
    <w:lvl w:ilvl="1" w:tplc="041F0003">
      <w:start w:val="1"/>
      <w:numFmt w:val="bullet"/>
      <w:lvlText w:val="o"/>
      <w:lvlJc w:val="left"/>
      <w:pPr>
        <w:ind w:left="1222" w:hanging="360"/>
      </w:pPr>
      <w:rPr>
        <w:rFonts w:ascii="Courier New" w:hAnsi="Courier New" w:cs="Courier New" w:hint="default"/>
      </w:rPr>
    </w:lvl>
    <w:lvl w:ilvl="2" w:tplc="041F0005">
      <w:start w:val="1"/>
      <w:numFmt w:val="bullet"/>
      <w:lvlText w:val=""/>
      <w:lvlJc w:val="left"/>
      <w:pPr>
        <w:ind w:left="1942" w:hanging="360"/>
      </w:pPr>
      <w:rPr>
        <w:rFonts w:ascii="Wingdings" w:hAnsi="Wingdings" w:hint="default"/>
      </w:rPr>
    </w:lvl>
    <w:lvl w:ilvl="3" w:tplc="041F0001">
      <w:start w:val="1"/>
      <w:numFmt w:val="bullet"/>
      <w:lvlText w:val=""/>
      <w:lvlJc w:val="left"/>
      <w:pPr>
        <w:ind w:left="2662" w:hanging="360"/>
      </w:pPr>
      <w:rPr>
        <w:rFonts w:ascii="Symbol" w:hAnsi="Symbol" w:hint="default"/>
      </w:rPr>
    </w:lvl>
    <w:lvl w:ilvl="4" w:tplc="041F0003">
      <w:start w:val="1"/>
      <w:numFmt w:val="bullet"/>
      <w:lvlText w:val="o"/>
      <w:lvlJc w:val="left"/>
      <w:pPr>
        <w:ind w:left="3382" w:hanging="360"/>
      </w:pPr>
      <w:rPr>
        <w:rFonts w:ascii="Courier New" w:hAnsi="Courier New" w:cs="Courier New" w:hint="default"/>
      </w:rPr>
    </w:lvl>
    <w:lvl w:ilvl="5" w:tplc="041F0005">
      <w:start w:val="1"/>
      <w:numFmt w:val="bullet"/>
      <w:lvlText w:val=""/>
      <w:lvlJc w:val="left"/>
      <w:pPr>
        <w:ind w:left="4102" w:hanging="360"/>
      </w:pPr>
      <w:rPr>
        <w:rFonts w:ascii="Wingdings" w:hAnsi="Wingdings" w:hint="default"/>
      </w:rPr>
    </w:lvl>
    <w:lvl w:ilvl="6" w:tplc="041F0001">
      <w:start w:val="1"/>
      <w:numFmt w:val="bullet"/>
      <w:lvlText w:val=""/>
      <w:lvlJc w:val="left"/>
      <w:pPr>
        <w:ind w:left="4822" w:hanging="360"/>
      </w:pPr>
      <w:rPr>
        <w:rFonts w:ascii="Symbol" w:hAnsi="Symbol" w:hint="default"/>
      </w:rPr>
    </w:lvl>
    <w:lvl w:ilvl="7" w:tplc="041F0003">
      <w:start w:val="1"/>
      <w:numFmt w:val="bullet"/>
      <w:lvlText w:val="o"/>
      <w:lvlJc w:val="left"/>
      <w:pPr>
        <w:ind w:left="5542" w:hanging="360"/>
      </w:pPr>
      <w:rPr>
        <w:rFonts w:ascii="Courier New" w:hAnsi="Courier New" w:cs="Courier New" w:hint="default"/>
      </w:rPr>
    </w:lvl>
    <w:lvl w:ilvl="8" w:tplc="041F0005">
      <w:start w:val="1"/>
      <w:numFmt w:val="bullet"/>
      <w:lvlText w:val=""/>
      <w:lvlJc w:val="left"/>
      <w:pPr>
        <w:ind w:left="6262" w:hanging="360"/>
      </w:pPr>
      <w:rPr>
        <w:rFonts w:ascii="Wingdings" w:hAnsi="Wingdings" w:hint="default"/>
      </w:rPr>
    </w:lvl>
  </w:abstractNum>
  <w:abstractNum w:abstractNumId="10" w15:restartNumberingAfterBreak="0">
    <w:nsid w:val="194A5EC1"/>
    <w:multiLevelType w:val="hybridMultilevel"/>
    <w:tmpl w:val="71680DEA"/>
    <w:lvl w:ilvl="0" w:tplc="041F000F">
      <w:start w:val="1"/>
      <w:numFmt w:val="decimal"/>
      <w:lvlText w:val="%1."/>
      <w:lvlJc w:val="left"/>
      <w:pPr>
        <w:ind w:left="502" w:hanging="360"/>
      </w:pPr>
    </w:lvl>
    <w:lvl w:ilvl="1" w:tplc="041F0003">
      <w:start w:val="1"/>
      <w:numFmt w:val="bullet"/>
      <w:lvlText w:val="o"/>
      <w:lvlJc w:val="left"/>
      <w:pPr>
        <w:ind w:left="1222" w:hanging="360"/>
      </w:pPr>
      <w:rPr>
        <w:rFonts w:ascii="Courier New" w:hAnsi="Courier New" w:cs="Courier New" w:hint="default"/>
      </w:rPr>
    </w:lvl>
    <w:lvl w:ilvl="2" w:tplc="041F0005">
      <w:start w:val="1"/>
      <w:numFmt w:val="bullet"/>
      <w:lvlText w:val=""/>
      <w:lvlJc w:val="left"/>
      <w:pPr>
        <w:ind w:left="1942" w:hanging="360"/>
      </w:pPr>
      <w:rPr>
        <w:rFonts w:ascii="Wingdings" w:hAnsi="Wingdings" w:hint="default"/>
      </w:rPr>
    </w:lvl>
    <w:lvl w:ilvl="3" w:tplc="041F0001">
      <w:start w:val="1"/>
      <w:numFmt w:val="bullet"/>
      <w:lvlText w:val=""/>
      <w:lvlJc w:val="left"/>
      <w:pPr>
        <w:ind w:left="2662" w:hanging="360"/>
      </w:pPr>
      <w:rPr>
        <w:rFonts w:ascii="Symbol" w:hAnsi="Symbol" w:hint="default"/>
      </w:rPr>
    </w:lvl>
    <w:lvl w:ilvl="4" w:tplc="041F0003">
      <w:start w:val="1"/>
      <w:numFmt w:val="bullet"/>
      <w:lvlText w:val="o"/>
      <w:lvlJc w:val="left"/>
      <w:pPr>
        <w:ind w:left="3382" w:hanging="360"/>
      </w:pPr>
      <w:rPr>
        <w:rFonts w:ascii="Courier New" w:hAnsi="Courier New" w:cs="Courier New" w:hint="default"/>
      </w:rPr>
    </w:lvl>
    <w:lvl w:ilvl="5" w:tplc="041F0005">
      <w:start w:val="1"/>
      <w:numFmt w:val="bullet"/>
      <w:lvlText w:val=""/>
      <w:lvlJc w:val="left"/>
      <w:pPr>
        <w:ind w:left="4102" w:hanging="360"/>
      </w:pPr>
      <w:rPr>
        <w:rFonts w:ascii="Wingdings" w:hAnsi="Wingdings" w:hint="default"/>
      </w:rPr>
    </w:lvl>
    <w:lvl w:ilvl="6" w:tplc="041F0001">
      <w:start w:val="1"/>
      <w:numFmt w:val="bullet"/>
      <w:lvlText w:val=""/>
      <w:lvlJc w:val="left"/>
      <w:pPr>
        <w:ind w:left="4822" w:hanging="360"/>
      </w:pPr>
      <w:rPr>
        <w:rFonts w:ascii="Symbol" w:hAnsi="Symbol" w:hint="default"/>
      </w:rPr>
    </w:lvl>
    <w:lvl w:ilvl="7" w:tplc="041F0003">
      <w:start w:val="1"/>
      <w:numFmt w:val="bullet"/>
      <w:lvlText w:val="o"/>
      <w:lvlJc w:val="left"/>
      <w:pPr>
        <w:ind w:left="5542" w:hanging="360"/>
      </w:pPr>
      <w:rPr>
        <w:rFonts w:ascii="Courier New" w:hAnsi="Courier New" w:cs="Courier New" w:hint="default"/>
      </w:rPr>
    </w:lvl>
    <w:lvl w:ilvl="8" w:tplc="041F0005">
      <w:start w:val="1"/>
      <w:numFmt w:val="bullet"/>
      <w:lvlText w:val=""/>
      <w:lvlJc w:val="left"/>
      <w:pPr>
        <w:ind w:left="6262" w:hanging="360"/>
      </w:pPr>
      <w:rPr>
        <w:rFonts w:ascii="Wingdings" w:hAnsi="Wingdings" w:hint="default"/>
      </w:rPr>
    </w:lvl>
  </w:abstractNum>
  <w:abstractNum w:abstractNumId="11" w15:restartNumberingAfterBreak="0">
    <w:nsid w:val="19C2509F"/>
    <w:multiLevelType w:val="hybridMultilevel"/>
    <w:tmpl w:val="33EAEAE8"/>
    <w:lvl w:ilvl="0" w:tplc="041F0005">
      <w:start w:val="1"/>
      <w:numFmt w:val="bullet"/>
      <w:lvlText w:val=""/>
      <w:lvlJc w:val="left"/>
      <w:pPr>
        <w:ind w:left="1500" w:hanging="360"/>
      </w:pPr>
      <w:rPr>
        <w:rFonts w:ascii="Wingdings" w:hAnsi="Wingdings" w:hint="default"/>
      </w:rPr>
    </w:lvl>
    <w:lvl w:ilvl="1" w:tplc="041F0003" w:tentative="1">
      <w:start w:val="1"/>
      <w:numFmt w:val="bullet"/>
      <w:lvlText w:val="o"/>
      <w:lvlJc w:val="left"/>
      <w:pPr>
        <w:ind w:left="2220" w:hanging="360"/>
      </w:pPr>
      <w:rPr>
        <w:rFonts w:ascii="Courier New" w:hAnsi="Courier New" w:cs="Courier New" w:hint="default"/>
      </w:rPr>
    </w:lvl>
    <w:lvl w:ilvl="2" w:tplc="041F0005" w:tentative="1">
      <w:start w:val="1"/>
      <w:numFmt w:val="bullet"/>
      <w:lvlText w:val=""/>
      <w:lvlJc w:val="left"/>
      <w:pPr>
        <w:ind w:left="2940" w:hanging="360"/>
      </w:pPr>
      <w:rPr>
        <w:rFonts w:ascii="Wingdings" w:hAnsi="Wingdings" w:hint="default"/>
      </w:rPr>
    </w:lvl>
    <w:lvl w:ilvl="3" w:tplc="041F0001" w:tentative="1">
      <w:start w:val="1"/>
      <w:numFmt w:val="bullet"/>
      <w:lvlText w:val=""/>
      <w:lvlJc w:val="left"/>
      <w:pPr>
        <w:ind w:left="3660" w:hanging="360"/>
      </w:pPr>
      <w:rPr>
        <w:rFonts w:ascii="Symbol" w:hAnsi="Symbol" w:hint="default"/>
      </w:rPr>
    </w:lvl>
    <w:lvl w:ilvl="4" w:tplc="041F0003" w:tentative="1">
      <w:start w:val="1"/>
      <w:numFmt w:val="bullet"/>
      <w:lvlText w:val="o"/>
      <w:lvlJc w:val="left"/>
      <w:pPr>
        <w:ind w:left="4380" w:hanging="360"/>
      </w:pPr>
      <w:rPr>
        <w:rFonts w:ascii="Courier New" w:hAnsi="Courier New" w:cs="Courier New" w:hint="default"/>
      </w:rPr>
    </w:lvl>
    <w:lvl w:ilvl="5" w:tplc="041F0005" w:tentative="1">
      <w:start w:val="1"/>
      <w:numFmt w:val="bullet"/>
      <w:lvlText w:val=""/>
      <w:lvlJc w:val="left"/>
      <w:pPr>
        <w:ind w:left="5100" w:hanging="360"/>
      </w:pPr>
      <w:rPr>
        <w:rFonts w:ascii="Wingdings" w:hAnsi="Wingdings" w:hint="default"/>
      </w:rPr>
    </w:lvl>
    <w:lvl w:ilvl="6" w:tplc="041F0001" w:tentative="1">
      <w:start w:val="1"/>
      <w:numFmt w:val="bullet"/>
      <w:lvlText w:val=""/>
      <w:lvlJc w:val="left"/>
      <w:pPr>
        <w:ind w:left="5820" w:hanging="360"/>
      </w:pPr>
      <w:rPr>
        <w:rFonts w:ascii="Symbol" w:hAnsi="Symbol" w:hint="default"/>
      </w:rPr>
    </w:lvl>
    <w:lvl w:ilvl="7" w:tplc="041F0003" w:tentative="1">
      <w:start w:val="1"/>
      <w:numFmt w:val="bullet"/>
      <w:lvlText w:val="o"/>
      <w:lvlJc w:val="left"/>
      <w:pPr>
        <w:ind w:left="6540" w:hanging="360"/>
      </w:pPr>
      <w:rPr>
        <w:rFonts w:ascii="Courier New" w:hAnsi="Courier New" w:cs="Courier New" w:hint="default"/>
      </w:rPr>
    </w:lvl>
    <w:lvl w:ilvl="8" w:tplc="041F0005" w:tentative="1">
      <w:start w:val="1"/>
      <w:numFmt w:val="bullet"/>
      <w:lvlText w:val=""/>
      <w:lvlJc w:val="left"/>
      <w:pPr>
        <w:ind w:left="7260" w:hanging="360"/>
      </w:pPr>
      <w:rPr>
        <w:rFonts w:ascii="Wingdings" w:hAnsi="Wingdings" w:hint="default"/>
      </w:rPr>
    </w:lvl>
  </w:abstractNum>
  <w:abstractNum w:abstractNumId="12" w15:restartNumberingAfterBreak="0">
    <w:nsid w:val="1B6C22D6"/>
    <w:multiLevelType w:val="hybridMultilevel"/>
    <w:tmpl w:val="E2EC28F4"/>
    <w:lvl w:ilvl="0" w:tplc="76285666">
      <w:start w:val="1"/>
      <w:numFmt w:val="decimal"/>
      <w:lvlText w:val="%1."/>
      <w:lvlJc w:val="left"/>
      <w:pPr>
        <w:ind w:left="644" w:hanging="360"/>
      </w:pPr>
      <w:rPr>
        <w:rFonts w:ascii="Times New Roman" w:hAnsi="Times New Roman" w:cs="Times New Roman"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1FF82CE0"/>
    <w:multiLevelType w:val="hybridMultilevel"/>
    <w:tmpl w:val="9EACA220"/>
    <w:lvl w:ilvl="0" w:tplc="041F0005">
      <w:start w:val="1"/>
      <w:numFmt w:val="bullet"/>
      <w:lvlText w:val=""/>
      <w:lvlJc w:val="left"/>
      <w:pPr>
        <w:ind w:left="2851" w:hanging="360"/>
      </w:pPr>
      <w:rPr>
        <w:rFonts w:ascii="Wingdings" w:hAnsi="Wingdings" w:hint="default"/>
      </w:rPr>
    </w:lvl>
    <w:lvl w:ilvl="1" w:tplc="041F0003" w:tentative="1">
      <w:start w:val="1"/>
      <w:numFmt w:val="bullet"/>
      <w:lvlText w:val="o"/>
      <w:lvlJc w:val="left"/>
      <w:pPr>
        <w:ind w:left="3571" w:hanging="360"/>
      </w:pPr>
      <w:rPr>
        <w:rFonts w:ascii="Courier New" w:hAnsi="Courier New" w:cs="Courier New" w:hint="default"/>
      </w:rPr>
    </w:lvl>
    <w:lvl w:ilvl="2" w:tplc="041F0005" w:tentative="1">
      <w:start w:val="1"/>
      <w:numFmt w:val="bullet"/>
      <w:lvlText w:val=""/>
      <w:lvlJc w:val="left"/>
      <w:pPr>
        <w:ind w:left="4291" w:hanging="360"/>
      </w:pPr>
      <w:rPr>
        <w:rFonts w:ascii="Wingdings" w:hAnsi="Wingdings" w:hint="default"/>
      </w:rPr>
    </w:lvl>
    <w:lvl w:ilvl="3" w:tplc="041F0001" w:tentative="1">
      <w:start w:val="1"/>
      <w:numFmt w:val="bullet"/>
      <w:lvlText w:val=""/>
      <w:lvlJc w:val="left"/>
      <w:pPr>
        <w:ind w:left="5011" w:hanging="360"/>
      </w:pPr>
      <w:rPr>
        <w:rFonts w:ascii="Symbol" w:hAnsi="Symbol" w:hint="default"/>
      </w:rPr>
    </w:lvl>
    <w:lvl w:ilvl="4" w:tplc="041F0003" w:tentative="1">
      <w:start w:val="1"/>
      <w:numFmt w:val="bullet"/>
      <w:lvlText w:val="o"/>
      <w:lvlJc w:val="left"/>
      <w:pPr>
        <w:ind w:left="5731" w:hanging="360"/>
      </w:pPr>
      <w:rPr>
        <w:rFonts w:ascii="Courier New" w:hAnsi="Courier New" w:cs="Courier New" w:hint="default"/>
      </w:rPr>
    </w:lvl>
    <w:lvl w:ilvl="5" w:tplc="041F0005" w:tentative="1">
      <w:start w:val="1"/>
      <w:numFmt w:val="bullet"/>
      <w:lvlText w:val=""/>
      <w:lvlJc w:val="left"/>
      <w:pPr>
        <w:ind w:left="6451" w:hanging="360"/>
      </w:pPr>
      <w:rPr>
        <w:rFonts w:ascii="Wingdings" w:hAnsi="Wingdings" w:hint="default"/>
      </w:rPr>
    </w:lvl>
    <w:lvl w:ilvl="6" w:tplc="041F0001" w:tentative="1">
      <w:start w:val="1"/>
      <w:numFmt w:val="bullet"/>
      <w:lvlText w:val=""/>
      <w:lvlJc w:val="left"/>
      <w:pPr>
        <w:ind w:left="7171" w:hanging="360"/>
      </w:pPr>
      <w:rPr>
        <w:rFonts w:ascii="Symbol" w:hAnsi="Symbol" w:hint="default"/>
      </w:rPr>
    </w:lvl>
    <w:lvl w:ilvl="7" w:tplc="041F0003" w:tentative="1">
      <w:start w:val="1"/>
      <w:numFmt w:val="bullet"/>
      <w:lvlText w:val="o"/>
      <w:lvlJc w:val="left"/>
      <w:pPr>
        <w:ind w:left="7891" w:hanging="360"/>
      </w:pPr>
      <w:rPr>
        <w:rFonts w:ascii="Courier New" w:hAnsi="Courier New" w:cs="Courier New" w:hint="default"/>
      </w:rPr>
    </w:lvl>
    <w:lvl w:ilvl="8" w:tplc="041F0005" w:tentative="1">
      <w:start w:val="1"/>
      <w:numFmt w:val="bullet"/>
      <w:lvlText w:val=""/>
      <w:lvlJc w:val="left"/>
      <w:pPr>
        <w:ind w:left="8611" w:hanging="360"/>
      </w:pPr>
      <w:rPr>
        <w:rFonts w:ascii="Wingdings" w:hAnsi="Wingdings" w:hint="default"/>
      </w:rPr>
    </w:lvl>
  </w:abstractNum>
  <w:abstractNum w:abstractNumId="14" w15:restartNumberingAfterBreak="0">
    <w:nsid w:val="2646774B"/>
    <w:multiLevelType w:val="hybridMultilevel"/>
    <w:tmpl w:val="E92E2B78"/>
    <w:lvl w:ilvl="0" w:tplc="041F000F">
      <w:start w:val="1"/>
      <w:numFmt w:val="decimal"/>
      <w:lvlText w:val="%1."/>
      <w:lvlJc w:val="left"/>
      <w:pPr>
        <w:ind w:left="502" w:hanging="360"/>
      </w:pPr>
    </w:lvl>
    <w:lvl w:ilvl="1" w:tplc="041F0003">
      <w:start w:val="1"/>
      <w:numFmt w:val="bullet"/>
      <w:lvlText w:val="o"/>
      <w:lvlJc w:val="left"/>
      <w:pPr>
        <w:ind w:left="1222" w:hanging="360"/>
      </w:pPr>
      <w:rPr>
        <w:rFonts w:ascii="Courier New" w:hAnsi="Courier New" w:cs="Courier New" w:hint="default"/>
      </w:rPr>
    </w:lvl>
    <w:lvl w:ilvl="2" w:tplc="041F0005">
      <w:start w:val="1"/>
      <w:numFmt w:val="bullet"/>
      <w:lvlText w:val=""/>
      <w:lvlJc w:val="left"/>
      <w:pPr>
        <w:ind w:left="1942" w:hanging="360"/>
      </w:pPr>
      <w:rPr>
        <w:rFonts w:ascii="Wingdings" w:hAnsi="Wingdings" w:hint="default"/>
      </w:rPr>
    </w:lvl>
    <w:lvl w:ilvl="3" w:tplc="041F0001">
      <w:start w:val="1"/>
      <w:numFmt w:val="bullet"/>
      <w:lvlText w:val=""/>
      <w:lvlJc w:val="left"/>
      <w:pPr>
        <w:ind w:left="2662" w:hanging="360"/>
      </w:pPr>
      <w:rPr>
        <w:rFonts w:ascii="Symbol" w:hAnsi="Symbol" w:hint="default"/>
      </w:rPr>
    </w:lvl>
    <w:lvl w:ilvl="4" w:tplc="041F0003">
      <w:start w:val="1"/>
      <w:numFmt w:val="bullet"/>
      <w:lvlText w:val="o"/>
      <w:lvlJc w:val="left"/>
      <w:pPr>
        <w:ind w:left="3382" w:hanging="360"/>
      </w:pPr>
      <w:rPr>
        <w:rFonts w:ascii="Courier New" w:hAnsi="Courier New" w:cs="Courier New" w:hint="default"/>
      </w:rPr>
    </w:lvl>
    <w:lvl w:ilvl="5" w:tplc="041F0005">
      <w:start w:val="1"/>
      <w:numFmt w:val="bullet"/>
      <w:lvlText w:val=""/>
      <w:lvlJc w:val="left"/>
      <w:pPr>
        <w:ind w:left="4102" w:hanging="360"/>
      </w:pPr>
      <w:rPr>
        <w:rFonts w:ascii="Wingdings" w:hAnsi="Wingdings" w:hint="default"/>
      </w:rPr>
    </w:lvl>
    <w:lvl w:ilvl="6" w:tplc="041F0001">
      <w:start w:val="1"/>
      <w:numFmt w:val="bullet"/>
      <w:lvlText w:val=""/>
      <w:lvlJc w:val="left"/>
      <w:pPr>
        <w:ind w:left="4822" w:hanging="360"/>
      </w:pPr>
      <w:rPr>
        <w:rFonts w:ascii="Symbol" w:hAnsi="Symbol" w:hint="default"/>
      </w:rPr>
    </w:lvl>
    <w:lvl w:ilvl="7" w:tplc="041F0003">
      <w:start w:val="1"/>
      <w:numFmt w:val="bullet"/>
      <w:lvlText w:val="o"/>
      <w:lvlJc w:val="left"/>
      <w:pPr>
        <w:ind w:left="5542" w:hanging="360"/>
      </w:pPr>
      <w:rPr>
        <w:rFonts w:ascii="Courier New" w:hAnsi="Courier New" w:cs="Courier New" w:hint="default"/>
      </w:rPr>
    </w:lvl>
    <w:lvl w:ilvl="8" w:tplc="041F0005">
      <w:start w:val="1"/>
      <w:numFmt w:val="bullet"/>
      <w:lvlText w:val=""/>
      <w:lvlJc w:val="left"/>
      <w:pPr>
        <w:ind w:left="6262" w:hanging="360"/>
      </w:pPr>
      <w:rPr>
        <w:rFonts w:ascii="Wingdings" w:hAnsi="Wingdings" w:hint="default"/>
      </w:rPr>
    </w:lvl>
  </w:abstractNum>
  <w:abstractNum w:abstractNumId="15" w15:restartNumberingAfterBreak="0">
    <w:nsid w:val="2C94594F"/>
    <w:multiLevelType w:val="multilevel"/>
    <w:tmpl w:val="0EA09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FEE0A75"/>
    <w:multiLevelType w:val="hybridMultilevel"/>
    <w:tmpl w:val="4DA404C4"/>
    <w:lvl w:ilvl="0" w:tplc="041F0005">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7" w15:restartNumberingAfterBreak="0">
    <w:nsid w:val="3218764B"/>
    <w:multiLevelType w:val="hybridMultilevel"/>
    <w:tmpl w:val="E2349AFE"/>
    <w:lvl w:ilvl="0" w:tplc="70084B2A">
      <w:start w:val="1"/>
      <w:numFmt w:val="bullet"/>
      <w:lvlText w:val=""/>
      <w:lvlJc w:val="left"/>
      <w:pPr>
        <w:tabs>
          <w:tab w:val="num" w:pos="720"/>
        </w:tabs>
        <w:ind w:left="720" w:hanging="360"/>
      </w:pPr>
      <w:rPr>
        <w:rFonts w:ascii="Wingdings" w:hAnsi="Wingdings" w:hint="default"/>
      </w:rPr>
    </w:lvl>
    <w:lvl w:ilvl="1" w:tplc="0C9CFCF0" w:tentative="1">
      <w:start w:val="1"/>
      <w:numFmt w:val="bullet"/>
      <w:lvlText w:val=""/>
      <w:lvlJc w:val="left"/>
      <w:pPr>
        <w:tabs>
          <w:tab w:val="num" w:pos="1440"/>
        </w:tabs>
        <w:ind w:left="1440" w:hanging="360"/>
      </w:pPr>
      <w:rPr>
        <w:rFonts w:ascii="Wingdings" w:hAnsi="Wingdings" w:hint="default"/>
      </w:rPr>
    </w:lvl>
    <w:lvl w:ilvl="2" w:tplc="4C92E55E" w:tentative="1">
      <w:start w:val="1"/>
      <w:numFmt w:val="bullet"/>
      <w:lvlText w:val=""/>
      <w:lvlJc w:val="left"/>
      <w:pPr>
        <w:tabs>
          <w:tab w:val="num" w:pos="2160"/>
        </w:tabs>
        <w:ind w:left="2160" w:hanging="360"/>
      </w:pPr>
      <w:rPr>
        <w:rFonts w:ascii="Wingdings" w:hAnsi="Wingdings" w:hint="default"/>
      </w:rPr>
    </w:lvl>
    <w:lvl w:ilvl="3" w:tplc="CB76EB46" w:tentative="1">
      <w:start w:val="1"/>
      <w:numFmt w:val="bullet"/>
      <w:lvlText w:val=""/>
      <w:lvlJc w:val="left"/>
      <w:pPr>
        <w:tabs>
          <w:tab w:val="num" w:pos="2880"/>
        </w:tabs>
        <w:ind w:left="2880" w:hanging="360"/>
      </w:pPr>
      <w:rPr>
        <w:rFonts w:ascii="Wingdings" w:hAnsi="Wingdings" w:hint="default"/>
      </w:rPr>
    </w:lvl>
    <w:lvl w:ilvl="4" w:tplc="6E38FB26" w:tentative="1">
      <w:start w:val="1"/>
      <w:numFmt w:val="bullet"/>
      <w:lvlText w:val=""/>
      <w:lvlJc w:val="left"/>
      <w:pPr>
        <w:tabs>
          <w:tab w:val="num" w:pos="3600"/>
        </w:tabs>
        <w:ind w:left="3600" w:hanging="360"/>
      </w:pPr>
      <w:rPr>
        <w:rFonts w:ascii="Wingdings" w:hAnsi="Wingdings" w:hint="default"/>
      </w:rPr>
    </w:lvl>
    <w:lvl w:ilvl="5" w:tplc="8E5A84C6" w:tentative="1">
      <w:start w:val="1"/>
      <w:numFmt w:val="bullet"/>
      <w:lvlText w:val=""/>
      <w:lvlJc w:val="left"/>
      <w:pPr>
        <w:tabs>
          <w:tab w:val="num" w:pos="4320"/>
        </w:tabs>
        <w:ind w:left="4320" w:hanging="360"/>
      </w:pPr>
      <w:rPr>
        <w:rFonts w:ascii="Wingdings" w:hAnsi="Wingdings" w:hint="default"/>
      </w:rPr>
    </w:lvl>
    <w:lvl w:ilvl="6" w:tplc="07A8F076" w:tentative="1">
      <w:start w:val="1"/>
      <w:numFmt w:val="bullet"/>
      <w:lvlText w:val=""/>
      <w:lvlJc w:val="left"/>
      <w:pPr>
        <w:tabs>
          <w:tab w:val="num" w:pos="5040"/>
        </w:tabs>
        <w:ind w:left="5040" w:hanging="360"/>
      </w:pPr>
      <w:rPr>
        <w:rFonts w:ascii="Wingdings" w:hAnsi="Wingdings" w:hint="default"/>
      </w:rPr>
    </w:lvl>
    <w:lvl w:ilvl="7" w:tplc="948E999C" w:tentative="1">
      <w:start w:val="1"/>
      <w:numFmt w:val="bullet"/>
      <w:lvlText w:val=""/>
      <w:lvlJc w:val="left"/>
      <w:pPr>
        <w:tabs>
          <w:tab w:val="num" w:pos="5760"/>
        </w:tabs>
        <w:ind w:left="5760" w:hanging="360"/>
      </w:pPr>
      <w:rPr>
        <w:rFonts w:ascii="Wingdings" w:hAnsi="Wingdings" w:hint="default"/>
      </w:rPr>
    </w:lvl>
    <w:lvl w:ilvl="8" w:tplc="67A6A136"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0345221"/>
    <w:multiLevelType w:val="hybridMultilevel"/>
    <w:tmpl w:val="895AEB56"/>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19" w15:restartNumberingAfterBreak="0">
    <w:nsid w:val="413D7CD1"/>
    <w:multiLevelType w:val="hybridMultilevel"/>
    <w:tmpl w:val="725E0060"/>
    <w:lvl w:ilvl="0" w:tplc="041F0005">
      <w:start w:val="1"/>
      <w:numFmt w:val="bullet"/>
      <w:lvlText w:val=""/>
      <w:lvlJc w:val="left"/>
      <w:pPr>
        <w:ind w:left="780" w:hanging="360"/>
      </w:pPr>
      <w:rPr>
        <w:rFonts w:ascii="Wingdings" w:hAnsi="Wingdings"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20" w15:restartNumberingAfterBreak="0">
    <w:nsid w:val="45D83A94"/>
    <w:multiLevelType w:val="hybridMultilevel"/>
    <w:tmpl w:val="1C5C5BF8"/>
    <w:lvl w:ilvl="0" w:tplc="041F0005">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1" w15:restartNumberingAfterBreak="0">
    <w:nsid w:val="465A3E42"/>
    <w:multiLevelType w:val="hybridMultilevel"/>
    <w:tmpl w:val="6A2CA492"/>
    <w:lvl w:ilvl="0" w:tplc="041F0001">
      <w:start w:val="1"/>
      <w:numFmt w:val="bullet"/>
      <w:lvlText w:val=""/>
      <w:lvlJc w:val="left"/>
      <w:pPr>
        <w:ind w:left="1484" w:hanging="360"/>
      </w:pPr>
      <w:rPr>
        <w:rFonts w:ascii="Symbol" w:hAnsi="Symbol" w:hint="default"/>
      </w:rPr>
    </w:lvl>
    <w:lvl w:ilvl="1" w:tplc="041F0003" w:tentative="1">
      <w:start w:val="1"/>
      <w:numFmt w:val="bullet"/>
      <w:lvlText w:val="o"/>
      <w:lvlJc w:val="left"/>
      <w:pPr>
        <w:ind w:left="2204" w:hanging="360"/>
      </w:pPr>
      <w:rPr>
        <w:rFonts w:ascii="Courier New" w:hAnsi="Courier New" w:cs="Courier New" w:hint="default"/>
      </w:rPr>
    </w:lvl>
    <w:lvl w:ilvl="2" w:tplc="041F0005" w:tentative="1">
      <w:start w:val="1"/>
      <w:numFmt w:val="bullet"/>
      <w:lvlText w:val=""/>
      <w:lvlJc w:val="left"/>
      <w:pPr>
        <w:ind w:left="2924" w:hanging="360"/>
      </w:pPr>
      <w:rPr>
        <w:rFonts w:ascii="Wingdings" w:hAnsi="Wingdings" w:hint="default"/>
      </w:rPr>
    </w:lvl>
    <w:lvl w:ilvl="3" w:tplc="041F0001" w:tentative="1">
      <w:start w:val="1"/>
      <w:numFmt w:val="bullet"/>
      <w:lvlText w:val=""/>
      <w:lvlJc w:val="left"/>
      <w:pPr>
        <w:ind w:left="3644" w:hanging="360"/>
      </w:pPr>
      <w:rPr>
        <w:rFonts w:ascii="Symbol" w:hAnsi="Symbol" w:hint="default"/>
      </w:rPr>
    </w:lvl>
    <w:lvl w:ilvl="4" w:tplc="041F0003" w:tentative="1">
      <w:start w:val="1"/>
      <w:numFmt w:val="bullet"/>
      <w:lvlText w:val="o"/>
      <w:lvlJc w:val="left"/>
      <w:pPr>
        <w:ind w:left="4364" w:hanging="360"/>
      </w:pPr>
      <w:rPr>
        <w:rFonts w:ascii="Courier New" w:hAnsi="Courier New" w:cs="Courier New" w:hint="default"/>
      </w:rPr>
    </w:lvl>
    <w:lvl w:ilvl="5" w:tplc="041F0005" w:tentative="1">
      <w:start w:val="1"/>
      <w:numFmt w:val="bullet"/>
      <w:lvlText w:val=""/>
      <w:lvlJc w:val="left"/>
      <w:pPr>
        <w:ind w:left="5084" w:hanging="360"/>
      </w:pPr>
      <w:rPr>
        <w:rFonts w:ascii="Wingdings" w:hAnsi="Wingdings" w:hint="default"/>
      </w:rPr>
    </w:lvl>
    <w:lvl w:ilvl="6" w:tplc="041F0001" w:tentative="1">
      <w:start w:val="1"/>
      <w:numFmt w:val="bullet"/>
      <w:lvlText w:val=""/>
      <w:lvlJc w:val="left"/>
      <w:pPr>
        <w:ind w:left="5804" w:hanging="360"/>
      </w:pPr>
      <w:rPr>
        <w:rFonts w:ascii="Symbol" w:hAnsi="Symbol" w:hint="default"/>
      </w:rPr>
    </w:lvl>
    <w:lvl w:ilvl="7" w:tplc="041F0003" w:tentative="1">
      <w:start w:val="1"/>
      <w:numFmt w:val="bullet"/>
      <w:lvlText w:val="o"/>
      <w:lvlJc w:val="left"/>
      <w:pPr>
        <w:ind w:left="6524" w:hanging="360"/>
      </w:pPr>
      <w:rPr>
        <w:rFonts w:ascii="Courier New" w:hAnsi="Courier New" w:cs="Courier New" w:hint="default"/>
      </w:rPr>
    </w:lvl>
    <w:lvl w:ilvl="8" w:tplc="041F0005" w:tentative="1">
      <w:start w:val="1"/>
      <w:numFmt w:val="bullet"/>
      <w:lvlText w:val=""/>
      <w:lvlJc w:val="left"/>
      <w:pPr>
        <w:ind w:left="7244" w:hanging="360"/>
      </w:pPr>
      <w:rPr>
        <w:rFonts w:ascii="Wingdings" w:hAnsi="Wingdings" w:hint="default"/>
      </w:rPr>
    </w:lvl>
  </w:abstractNum>
  <w:abstractNum w:abstractNumId="22" w15:restartNumberingAfterBreak="0">
    <w:nsid w:val="49575293"/>
    <w:multiLevelType w:val="hybridMultilevel"/>
    <w:tmpl w:val="45A8C2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4CE37346"/>
    <w:multiLevelType w:val="hybridMultilevel"/>
    <w:tmpl w:val="4462E50C"/>
    <w:lvl w:ilvl="0" w:tplc="87949CA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F33570"/>
    <w:multiLevelType w:val="hybridMultilevel"/>
    <w:tmpl w:val="75EAF018"/>
    <w:lvl w:ilvl="0" w:tplc="5546E314">
      <w:start w:val="1"/>
      <w:numFmt w:val="bullet"/>
      <w:lvlText w:val=""/>
      <w:lvlJc w:val="left"/>
      <w:pPr>
        <w:tabs>
          <w:tab w:val="num" w:pos="720"/>
        </w:tabs>
        <w:ind w:left="720" w:hanging="360"/>
      </w:pPr>
      <w:rPr>
        <w:rFonts w:ascii="Wingdings" w:hAnsi="Wingdings" w:hint="default"/>
      </w:rPr>
    </w:lvl>
    <w:lvl w:ilvl="1" w:tplc="27AC358E">
      <w:start w:val="1"/>
      <w:numFmt w:val="bullet"/>
      <w:lvlText w:val=""/>
      <w:lvlJc w:val="left"/>
      <w:pPr>
        <w:tabs>
          <w:tab w:val="num" w:pos="1440"/>
        </w:tabs>
        <w:ind w:left="1440" w:hanging="360"/>
      </w:pPr>
      <w:rPr>
        <w:rFonts w:ascii="Wingdings" w:hAnsi="Wingdings" w:hint="default"/>
      </w:rPr>
    </w:lvl>
    <w:lvl w:ilvl="2" w:tplc="0E7ACD0E" w:tentative="1">
      <w:start w:val="1"/>
      <w:numFmt w:val="bullet"/>
      <w:lvlText w:val=""/>
      <w:lvlJc w:val="left"/>
      <w:pPr>
        <w:tabs>
          <w:tab w:val="num" w:pos="2160"/>
        </w:tabs>
        <w:ind w:left="2160" w:hanging="360"/>
      </w:pPr>
      <w:rPr>
        <w:rFonts w:ascii="Wingdings" w:hAnsi="Wingdings" w:hint="default"/>
      </w:rPr>
    </w:lvl>
    <w:lvl w:ilvl="3" w:tplc="3192F77A" w:tentative="1">
      <w:start w:val="1"/>
      <w:numFmt w:val="bullet"/>
      <w:lvlText w:val=""/>
      <w:lvlJc w:val="left"/>
      <w:pPr>
        <w:tabs>
          <w:tab w:val="num" w:pos="2880"/>
        </w:tabs>
        <w:ind w:left="2880" w:hanging="360"/>
      </w:pPr>
      <w:rPr>
        <w:rFonts w:ascii="Wingdings" w:hAnsi="Wingdings" w:hint="default"/>
      </w:rPr>
    </w:lvl>
    <w:lvl w:ilvl="4" w:tplc="B4500B00" w:tentative="1">
      <w:start w:val="1"/>
      <w:numFmt w:val="bullet"/>
      <w:lvlText w:val=""/>
      <w:lvlJc w:val="left"/>
      <w:pPr>
        <w:tabs>
          <w:tab w:val="num" w:pos="3600"/>
        </w:tabs>
        <w:ind w:left="3600" w:hanging="360"/>
      </w:pPr>
      <w:rPr>
        <w:rFonts w:ascii="Wingdings" w:hAnsi="Wingdings" w:hint="default"/>
      </w:rPr>
    </w:lvl>
    <w:lvl w:ilvl="5" w:tplc="46769738" w:tentative="1">
      <w:start w:val="1"/>
      <w:numFmt w:val="bullet"/>
      <w:lvlText w:val=""/>
      <w:lvlJc w:val="left"/>
      <w:pPr>
        <w:tabs>
          <w:tab w:val="num" w:pos="4320"/>
        </w:tabs>
        <w:ind w:left="4320" w:hanging="360"/>
      </w:pPr>
      <w:rPr>
        <w:rFonts w:ascii="Wingdings" w:hAnsi="Wingdings" w:hint="default"/>
      </w:rPr>
    </w:lvl>
    <w:lvl w:ilvl="6" w:tplc="EBA6E178" w:tentative="1">
      <w:start w:val="1"/>
      <w:numFmt w:val="bullet"/>
      <w:lvlText w:val=""/>
      <w:lvlJc w:val="left"/>
      <w:pPr>
        <w:tabs>
          <w:tab w:val="num" w:pos="5040"/>
        </w:tabs>
        <w:ind w:left="5040" w:hanging="360"/>
      </w:pPr>
      <w:rPr>
        <w:rFonts w:ascii="Wingdings" w:hAnsi="Wingdings" w:hint="default"/>
      </w:rPr>
    </w:lvl>
    <w:lvl w:ilvl="7" w:tplc="4E6ABAC2" w:tentative="1">
      <w:start w:val="1"/>
      <w:numFmt w:val="bullet"/>
      <w:lvlText w:val=""/>
      <w:lvlJc w:val="left"/>
      <w:pPr>
        <w:tabs>
          <w:tab w:val="num" w:pos="5760"/>
        </w:tabs>
        <w:ind w:left="5760" w:hanging="360"/>
      </w:pPr>
      <w:rPr>
        <w:rFonts w:ascii="Wingdings" w:hAnsi="Wingdings" w:hint="default"/>
      </w:rPr>
    </w:lvl>
    <w:lvl w:ilvl="8" w:tplc="27B6FBB4"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E142B03"/>
    <w:multiLevelType w:val="hybridMultilevel"/>
    <w:tmpl w:val="8D6E1D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4F6E7089"/>
    <w:multiLevelType w:val="hybridMultilevel"/>
    <w:tmpl w:val="1F7C3448"/>
    <w:lvl w:ilvl="0" w:tplc="041F000F">
      <w:start w:val="1"/>
      <w:numFmt w:val="decimal"/>
      <w:lvlText w:val="%1."/>
      <w:lvlJc w:val="left"/>
      <w:pPr>
        <w:ind w:left="502" w:hanging="360"/>
      </w:pPr>
    </w:lvl>
    <w:lvl w:ilvl="1" w:tplc="041F0003">
      <w:start w:val="1"/>
      <w:numFmt w:val="bullet"/>
      <w:lvlText w:val="o"/>
      <w:lvlJc w:val="left"/>
      <w:pPr>
        <w:ind w:left="1222" w:hanging="360"/>
      </w:pPr>
      <w:rPr>
        <w:rFonts w:ascii="Courier New" w:hAnsi="Courier New" w:cs="Courier New" w:hint="default"/>
      </w:rPr>
    </w:lvl>
    <w:lvl w:ilvl="2" w:tplc="041F0005">
      <w:start w:val="1"/>
      <w:numFmt w:val="bullet"/>
      <w:lvlText w:val=""/>
      <w:lvlJc w:val="left"/>
      <w:pPr>
        <w:ind w:left="1942" w:hanging="360"/>
      </w:pPr>
      <w:rPr>
        <w:rFonts w:ascii="Wingdings" w:hAnsi="Wingdings" w:hint="default"/>
      </w:rPr>
    </w:lvl>
    <w:lvl w:ilvl="3" w:tplc="041F0001">
      <w:start w:val="1"/>
      <w:numFmt w:val="bullet"/>
      <w:lvlText w:val=""/>
      <w:lvlJc w:val="left"/>
      <w:pPr>
        <w:ind w:left="2662" w:hanging="360"/>
      </w:pPr>
      <w:rPr>
        <w:rFonts w:ascii="Symbol" w:hAnsi="Symbol" w:hint="default"/>
      </w:rPr>
    </w:lvl>
    <w:lvl w:ilvl="4" w:tplc="041F0003">
      <w:start w:val="1"/>
      <w:numFmt w:val="bullet"/>
      <w:lvlText w:val="o"/>
      <w:lvlJc w:val="left"/>
      <w:pPr>
        <w:ind w:left="3382" w:hanging="360"/>
      </w:pPr>
      <w:rPr>
        <w:rFonts w:ascii="Courier New" w:hAnsi="Courier New" w:cs="Courier New" w:hint="default"/>
      </w:rPr>
    </w:lvl>
    <w:lvl w:ilvl="5" w:tplc="041F0005">
      <w:start w:val="1"/>
      <w:numFmt w:val="bullet"/>
      <w:lvlText w:val=""/>
      <w:lvlJc w:val="left"/>
      <w:pPr>
        <w:ind w:left="4102" w:hanging="360"/>
      </w:pPr>
      <w:rPr>
        <w:rFonts w:ascii="Wingdings" w:hAnsi="Wingdings" w:hint="default"/>
      </w:rPr>
    </w:lvl>
    <w:lvl w:ilvl="6" w:tplc="041F0001">
      <w:start w:val="1"/>
      <w:numFmt w:val="bullet"/>
      <w:lvlText w:val=""/>
      <w:lvlJc w:val="left"/>
      <w:pPr>
        <w:ind w:left="4822" w:hanging="360"/>
      </w:pPr>
      <w:rPr>
        <w:rFonts w:ascii="Symbol" w:hAnsi="Symbol" w:hint="default"/>
      </w:rPr>
    </w:lvl>
    <w:lvl w:ilvl="7" w:tplc="041F0003">
      <w:start w:val="1"/>
      <w:numFmt w:val="bullet"/>
      <w:lvlText w:val="o"/>
      <w:lvlJc w:val="left"/>
      <w:pPr>
        <w:ind w:left="5542" w:hanging="360"/>
      </w:pPr>
      <w:rPr>
        <w:rFonts w:ascii="Courier New" w:hAnsi="Courier New" w:cs="Courier New" w:hint="default"/>
      </w:rPr>
    </w:lvl>
    <w:lvl w:ilvl="8" w:tplc="041F0005">
      <w:start w:val="1"/>
      <w:numFmt w:val="bullet"/>
      <w:lvlText w:val=""/>
      <w:lvlJc w:val="left"/>
      <w:pPr>
        <w:ind w:left="6262" w:hanging="360"/>
      </w:pPr>
      <w:rPr>
        <w:rFonts w:ascii="Wingdings" w:hAnsi="Wingdings" w:hint="default"/>
      </w:rPr>
    </w:lvl>
  </w:abstractNum>
  <w:abstractNum w:abstractNumId="27" w15:restartNumberingAfterBreak="0">
    <w:nsid w:val="597D61FF"/>
    <w:multiLevelType w:val="hybridMultilevel"/>
    <w:tmpl w:val="6F86C5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5C3946B9"/>
    <w:multiLevelType w:val="hybridMultilevel"/>
    <w:tmpl w:val="F26CB86C"/>
    <w:lvl w:ilvl="0" w:tplc="B5E81E2E">
      <w:start w:val="1"/>
      <w:numFmt w:val="bullet"/>
      <w:lvlText w:val=""/>
      <w:lvlJc w:val="left"/>
      <w:pPr>
        <w:tabs>
          <w:tab w:val="num" w:pos="720"/>
        </w:tabs>
        <w:ind w:left="720" w:hanging="360"/>
      </w:pPr>
      <w:rPr>
        <w:rFonts w:ascii="Wingdings" w:hAnsi="Wingdings" w:hint="default"/>
      </w:rPr>
    </w:lvl>
    <w:lvl w:ilvl="1" w:tplc="1C044398">
      <w:start w:val="1"/>
      <w:numFmt w:val="bullet"/>
      <w:lvlText w:val=""/>
      <w:lvlJc w:val="left"/>
      <w:pPr>
        <w:tabs>
          <w:tab w:val="num" w:pos="1440"/>
        </w:tabs>
        <w:ind w:left="1440" w:hanging="360"/>
      </w:pPr>
      <w:rPr>
        <w:rFonts w:ascii="Wingdings" w:hAnsi="Wingdings" w:hint="default"/>
      </w:rPr>
    </w:lvl>
    <w:lvl w:ilvl="2" w:tplc="A6E89358" w:tentative="1">
      <w:start w:val="1"/>
      <w:numFmt w:val="bullet"/>
      <w:lvlText w:val=""/>
      <w:lvlJc w:val="left"/>
      <w:pPr>
        <w:tabs>
          <w:tab w:val="num" w:pos="2160"/>
        </w:tabs>
        <w:ind w:left="2160" w:hanging="360"/>
      </w:pPr>
      <w:rPr>
        <w:rFonts w:ascii="Wingdings" w:hAnsi="Wingdings" w:hint="default"/>
      </w:rPr>
    </w:lvl>
    <w:lvl w:ilvl="3" w:tplc="2798770E" w:tentative="1">
      <w:start w:val="1"/>
      <w:numFmt w:val="bullet"/>
      <w:lvlText w:val=""/>
      <w:lvlJc w:val="left"/>
      <w:pPr>
        <w:tabs>
          <w:tab w:val="num" w:pos="2880"/>
        </w:tabs>
        <w:ind w:left="2880" w:hanging="360"/>
      </w:pPr>
      <w:rPr>
        <w:rFonts w:ascii="Wingdings" w:hAnsi="Wingdings" w:hint="default"/>
      </w:rPr>
    </w:lvl>
    <w:lvl w:ilvl="4" w:tplc="E8D82B68" w:tentative="1">
      <w:start w:val="1"/>
      <w:numFmt w:val="bullet"/>
      <w:lvlText w:val=""/>
      <w:lvlJc w:val="left"/>
      <w:pPr>
        <w:tabs>
          <w:tab w:val="num" w:pos="3600"/>
        </w:tabs>
        <w:ind w:left="3600" w:hanging="360"/>
      </w:pPr>
      <w:rPr>
        <w:rFonts w:ascii="Wingdings" w:hAnsi="Wingdings" w:hint="default"/>
      </w:rPr>
    </w:lvl>
    <w:lvl w:ilvl="5" w:tplc="B23C202E" w:tentative="1">
      <w:start w:val="1"/>
      <w:numFmt w:val="bullet"/>
      <w:lvlText w:val=""/>
      <w:lvlJc w:val="left"/>
      <w:pPr>
        <w:tabs>
          <w:tab w:val="num" w:pos="4320"/>
        </w:tabs>
        <w:ind w:left="4320" w:hanging="360"/>
      </w:pPr>
      <w:rPr>
        <w:rFonts w:ascii="Wingdings" w:hAnsi="Wingdings" w:hint="default"/>
      </w:rPr>
    </w:lvl>
    <w:lvl w:ilvl="6" w:tplc="E9564C08" w:tentative="1">
      <w:start w:val="1"/>
      <w:numFmt w:val="bullet"/>
      <w:lvlText w:val=""/>
      <w:lvlJc w:val="left"/>
      <w:pPr>
        <w:tabs>
          <w:tab w:val="num" w:pos="5040"/>
        </w:tabs>
        <w:ind w:left="5040" w:hanging="360"/>
      </w:pPr>
      <w:rPr>
        <w:rFonts w:ascii="Wingdings" w:hAnsi="Wingdings" w:hint="default"/>
      </w:rPr>
    </w:lvl>
    <w:lvl w:ilvl="7" w:tplc="4802EA76" w:tentative="1">
      <w:start w:val="1"/>
      <w:numFmt w:val="bullet"/>
      <w:lvlText w:val=""/>
      <w:lvlJc w:val="left"/>
      <w:pPr>
        <w:tabs>
          <w:tab w:val="num" w:pos="5760"/>
        </w:tabs>
        <w:ind w:left="5760" w:hanging="360"/>
      </w:pPr>
      <w:rPr>
        <w:rFonts w:ascii="Wingdings" w:hAnsi="Wingdings" w:hint="default"/>
      </w:rPr>
    </w:lvl>
    <w:lvl w:ilvl="8" w:tplc="5D88A0DC"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D44379C"/>
    <w:multiLevelType w:val="hybridMultilevel"/>
    <w:tmpl w:val="E2EC28F4"/>
    <w:lvl w:ilvl="0" w:tplc="76285666">
      <w:start w:val="1"/>
      <w:numFmt w:val="decimal"/>
      <w:lvlText w:val="%1."/>
      <w:lvlJc w:val="left"/>
      <w:pPr>
        <w:ind w:left="720" w:hanging="360"/>
      </w:pPr>
      <w:rPr>
        <w:rFonts w:ascii="Times New Roman" w:hAnsi="Times New Roman" w:cs="Times New Roman"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5ED151FF"/>
    <w:multiLevelType w:val="hybridMultilevel"/>
    <w:tmpl w:val="C902D8AE"/>
    <w:lvl w:ilvl="0" w:tplc="041F0005">
      <w:start w:val="1"/>
      <w:numFmt w:val="bullet"/>
      <w:lvlText w:val=""/>
      <w:lvlJc w:val="left"/>
      <w:pPr>
        <w:ind w:left="1500" w:hanging="360"/>
      </w:pPr>
      <w:rPr>
        <w:rFonts w:ascii="Wingdings" w:hAnsi="Wingdings" w:hint="default"/>
      </w:rPr>
    </w:lvl>
    <w:lvl w:ilvl="1" w:tplc="041F0003" w:tentative="1">
      <w:start w:val="1"/>
      <w:numFmt w:val="bullet"/>
      <w:lvlText w:val="o"/>
      <w:lvlJc w:val="left"/>
      <w:pPr>
        <w:ind w:left="2220" w:hanging="360"/>
      </w:pPr>
      <w:rPr>
        <w:rFonts w:ascii="Courier New" w:hAnsi="Courier New" w:cs="Courier New" w:hint="default"/>
      </w:rPr>
    </w:lvl>
    <w:lvl w:ilvl="2" w:tplc="041F0005" w:tentative="1">
      <w:start w:val="1"/>
      <w:numFmt w:val="bullet"/>
      <w:lvlText w:val=""/>
      <w:lvlJc w:val="left"/>
      <w:pPr>
        <w:ind w:left="2940" w:hanging="360"/>
      </w:pPr>
      <w:rPr>
        <w:rFonts w:ascii="Wingdings" w:hAnsi="Wingdings" w:hint="default"/>
      </w:rPr>
    </w:lvl>
    <w:lvl w:ilvl="3" w:tplc="041F0001" w:tentative="1">
      <w:start w:val="1"/>
      <w:numFmt w:val="bullet"/>
      <w:lvlText w:val=""/>
      <w:lvlJc w:val="left"/>
      <w:pPr>
        <w:ind w:left="3660" w:hanging="360"/>
      </w:pPr>
      <w:rPr>
        <w:rFonts w:ascii="Symbol" w:hAnsi="Symbol" w:hint="default"/>
      </w:rPr>
    </w:lvl>
    <w:lvl w:ilvl="4" w:tplc="041F0003" w:tentative="1">
      <w:start w:val="1"/>
      <w:numFmt w:val="bullet"/>
      <w:lvlText w:val="o"/>
      <w:lvlJc w:val="left"/>
      <w:pPr>
        <w:ind w:left="4380" w:hanging="360"/>
      </w:pPr>
      <w:rPr>
        <w:rFonts w:ascii="Courier New" w:hAnsi="Courier New" w:cs="Courier New" w:hint="default"/>
      </w:rPr>
    </w:lvl>
    <w:lvl w:ilvl="5" w:tplc="041F0005" w:tentative="1">
      <w:start w:val="1"/>
      <w:numFmt w:val="bullet"/>
      <w:lvlText w:val=""/>
      <w:lvlJc w:val="left"/>
      <w:pPr>
        <w:ind w:left="5100" w:hanging="360"/>
      </w:pPr>
      <w:rPr>
        <w:rFonts w:ascii="Wingdings" w:hAnsi="Wingdings" w:hint="default"/>
      </w:rPr>
    </w:lvl>
    <w:lvl w:ilvl="6" w:tplc="041F0001" w:tentative="1">
      <w:start w:val="1"/>
      <w:numFmt w:val="bullet"/>
      <w:lvlText w:val=""/>
      <w:lvlJc w:val="left"/>
      <w:pPr>
        <w:ind w:left="5820" w:hanging="360"/>
      </w:pPr>
      <w:rPr>
        <w:rFonts w:ascii="Symbol" w:hAnsi="Symbol" w:hint="default"/>
      </w:rPr>
    </w:lvl>
    <w:lvl w:ilvl="7" w:tplc="041F0003" w:tentative="1">
      <w:start w:val="1"/>
      <w:numFmt w:val="bullet"/>
      <w:lvlText w:val="o"/>
      <w:lvlJc w:val="left"/>
      <w:pPr>
        <w:ind w:left="6540" w:hanging="360"/>
      </w:pPr>
      <w:rPr>
        <w:rFonts w:ascii="Courier New" w:hAnsi="Courier New" w:cs="Courier New" w:hint="default"/>
      </w:rPr>
    </w:lvl>
    <w:lvl w:ilvl="8" w:tplc="041F0005" w:tentative="1">
      <w:start w:val="1"/>
      <w:numFmt w:val="bullet"/>
      <w:lvlText w:val=""/>
      <w:lvlJc w:val="left"/>
      <w:pPr>
        <w:ind w:left="7260" w:hanging="360"/>
      </w:pPr>
      <w:rPr>
        <w:rFonts w:ascii="Wingdings" w:hAnsi="Wingdings" w:hint="default"/>
      </w:rPr>
    </w:lvl>
  </w:abstractNum>
  <w:abstractNum w:abstractNumId="31" w15:restartNumberingAfterBreak="0">
    <w:nsid w:val="60573149"/>
    <w:multiLevelType w:val="hybridMultilevel"/>
    <w:tmpl w:val="16DC58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667B3B73"/>
    <w:multiLevelType w:val="multilevel"/>
    <w:tmpl w:val="5BA8D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A1618E9"/>
    <w:multiLevelType w:val="hybridMultilevel"/>
    <w:tmpl w:val="F4121EE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6F7C45B9"/>
    <w:multiLevelType w:val="hybridMultilevel"/>
    <w:tmpl w:val="04966642"/>
    <w:lvl w:ilvl="0" w:tplc="041F0005">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5" w15:restartNumberingAfterBreak="0">
    <w:nsid w:val="750F0000"/>
    <w:multiLevelType w:val="hybridMultilevel"/>
    <w:tmpl w:val="46CEB5C0"/>
    <w:lvl w:ilvl="0" w:tplc="1FF4183A">
      <w:start w:val="1"/>
      <w:numFmt w:val="bullet"/>
      <w:lvlText w:val=""/>
      <w:lvlJc w:val="left"/>
      <w:pPr>
        <w:tabs>
          <w:tab w:val="num" w:pos="720"/>
        </w:tabs>
        <w:ind w:left="720" w:hanging="360"/>
      </w:pPr>
      <w:rPr>
        <w:rFonts w:ascii="Wingdings" w:hAnsi="Wingdings" w:hint="default"/>
      </w:rPr>
    </w:lvl>
    <w:lvl w:ilvl="1" w:tplc="DB7E2458" w:tentative="1">
      <w:start w:val="1"/>
      <w:numFmt w:val="bullet"/>
      <w:lvlText w:val=""/>
      <w:lvlJc w:val="left"/>
      <w:pPr>
        <w:tabs>
          <w:tab w:val="num" w:pos="1440"/>
        </w:tabs>
        <w:ind w:left="1440" w:hanging="360"/>
      </w:pPr>
      <w:rPr>
        <w:rFonts w:ascii="Wingdings" w:hAnsi="Wingdings" w:hint="default"/>
      </w:rPr>
    </w:lvl>
    <w:lvl w:ilvl="2" w:tplc="BD9CC4D0" w:tentative="1">
      <w:start w:val="1"/>
      <w:numFmt w:val="bullet"/>
      <w:lvlText w:val=""/>
      <w:lvlJc w:val="left"/>
      <w:pPr>
        <w:tabs>
          <w:tab w:val="num" w:pos="2160"/>
        </w:tabs>
        <w:ind w:left="2160" w:hanging="360"/>
      </w:pPr>
      <w:rPr>
        <w:rFonts w:ascii="Wingdings" w:hAnsi="Wingdings" w:hint="default"/>
      </w:rPr>
    </w:lvl>
    <w:lvl w:ilvl="3" w:tplc="00565B9E" w:tentative="1">
      <w:start w:val="1"/>
      <w:numFmt w:val="bullet"/>
      <w:lvlText w:val=""/>
      <w:lvlJc w:val="left"/>
      <w:pPr>
        <w:tabs>
          <w:tab w:val="num" w:pos="2880"/>
        </w:tabs>
        <w:ind w:left="2880" w:hanging="360"/>
      </w:pPr>
      <w:rPr>
        <w:rFonts w:ascii="Wingdings" w:hAnsi="Wingdings" w:hint="default"/>
      </w:rPr>
    </w:lvl>
    <w:lvl w:ilvl="4" w:tplc="4956BE44" w:tentative="1">
      <w:start w:val="1"/>
      <w:numFmt w:val="bullet"/>
      <w:lvlText w:val=""/>
      <w:lvlJc w:val="left"/>
      <w:pPr>
        <w:tabs>
          <w:tab w:val="num" w:pos="3600"/>
        </w:tabs>
        <w:ind w:left="3600" w:hanging="360"/>
      </w:pPr>
      <w:rPr>
        <w:rFonts w:ascii="Wingdings" w:hAnsi="Wingdings" w:hint="default"/>
      </w:rPr>
    </w:lvl>
    <w:lvl w:ilvl="5" w:tplc="BA82BBFE" w:tentative="1">
      <w:start w:val="1"/>
      <w:numFmt w:val="bullet"/>
      <w:lvlText w:val=""/>
      <w:lvlJc w:val="left"/>
      <w:pPr>
        <w:tabs>
          <w:tab w:val="num" w:pos="4320"/>
        </w:tabs>
        <w:ind w:left="4320" w:hanging="360"/>
      </w:pPr>
      <w:rPr>
        <w:rFonts w:ascii="Wingdings" w:hAnsi="Wingdings" w:hint="default"/>
      </w:rPr>
    </w:lvl>
    <w:lvl w:ilvl="6" w:tplc="A0B2554E" w:tentative="1">
      <w:start w:val="1"/>
      <w:numFmt w:val="bullet"/>
      <w:lvlText w:val=""/>
      <w:lvlJc w:val="left"/>
      <w:pPr>
        <w:tabs>
          <w:tab w:val="num" w:pos="5040"/>
        </w:tabs>
        <w:ind w:left="5040" w:hanging="360"/>
      </w:pPr>
      <w:rPr>
        <w:rFonts w:ascii="Wingdings" w:hAnsi="Wingdings" w:hint="default"/>
      </w:rPr>
    </w:lvl>
    <w:lvl w:ilvl="7" w:tplc="019E7CFE" w:tentative="1">
      <w:start w:val="1"/>
      <w:numFmt w:val="bullet"/>
      <w:lvlText w:val=""/>
      <w:lvlJc w:val="left"/>
      <w:pPr>
        <w:tabs>
          <w:tab w:val="num" w:pos="5760"/>
        </w:tabs>
        <w:ind w:left="5760" w:hanging="360"/>
      </w:pPr>
      <w:rPr>
        <w:rFonts w:ascii="Wingdings" w:hAnsi="Wingdings" w:hint="default"/>
      </w:rPr>
    </w:lvl>
    <w:lvl w:ilvl="8" w:tplc="79E0F384"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E6C46CD"/>
    <w:multiLevelType w:val="hybridMultilevel"/>
    <w:tmpl w:val="C6EE2C3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32"/>
  </w:num>
  <w:num w:numId="3">
    <w:abstractNumId w:val="7"/>
  </w:num>
  <w:num w:numId="4">
    <w:abstractNumId w:val="15"/>
  </w:num>
  <w:num w:numId="5">
    <w:abstractNumId w:val="25"/>
  </w:num>
  <w:num w:numId="6">
    <w:abstractNumId w:val="31"/>
  </w:num>
  <w:num w:numId="7">
    <w:abstractNumId w:val="13"/>
  </w:num>
  <w:num w:numId="8">
    <w:abstractNumId w:val="21"/>
  </w:num>
  <w:num w:numId="9">
    <w:abstractNumId w:val="18"/>
  </w:num>
  <w:num w:numId="10">
    <w:abstractNumId w:val="3"/>
  </w:num>
  <w:num w:numId="11">
    <w:abstractNumId w:val="5"/>
  </w:num>
  <w:num w:numId="12">
    <w:abstractNumId w:val="16"/>
  </w:num>
  <w:num w:numId="13">
    <w:abstractNumId w:val="4"/>
  </w:num>
  <w:num w:numId="14">
    <w:abstractNumId w:val="22"/>
  </w:num>
  <w:num w:numId="15">
    <w:abstractNumId w:val="11"/>
  </w:num>
  <w:num w:numId="16">
    <w:abstractNumId w:val="34"/>
  </w:num>
  <w:num w:numId="17">
    <w:abstractNumId w:val="30"/>
  </w:num>
  <w:num w:numId="18">
    <w:abstractNumId w:val="20"/>
  </w:num>
  <w:num w:numId="19">
    <w:abstractNumId w:val="19"/>
  </w:num>
  <w:num w:numId="20">
    <w:abstractNumId w:val="36"/>
  </w:num>
  <w:num w:numId="21">
    <w:abstractNumId w:val="27"/>
  </w:num>
  <w:num w:numId="22">
    <w:abstractNumId w:val="23"/>
  </w:num>
  <w:num w:numId="23">
    <w:abstractNumId w:val="17"/>
  </w:num>
  <w:num w:numId="24">
    <w:abstractNumId w:val="35"/>
  </w:num>
  <w:num w:numId="25">
    <w:abstractNumId w:val="28"/>
  </w:num>
  <w:num w:numId="26">
    <w:abstractNumId w:val="1"/>
  </w:num>
  <w:num w:numId="27">
    <w:abstractNumId w:val="24"/>
  </w:num>
  <w:num w:numId="28">
    <w:abstractNumId w:val="8"/>
  </w:num>
  <w:num w:numId="29">
    <w:abstractNumId w:val="33"/>
  </w:num>
  <w:num w:numId="30">
    <w:abstractNumId w:val="0"/>
  </w:num>
  <w:num w:numId="31">
    <w:abstractNumId w:val="14"/>
  </w:num>
  <w:num w:numId="32">
    <w:abstractNumId w:val="6"/>
  </w:num>
  <w:num w:numId="33">
    <w:abstractNumId w:val="10"/>
  </w:num>
  <w:num w:numId="34">
    <w:abstractNumId w:val="26"/>
  </w:num>
  <w:num w:numId="35">
    <w:abstractNumId w:val="9"/>
  </w:num>
  <w:num w:numId="36">
    <w:abstractNumId w:val="12"/>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AF8"/>
    <w:rsid w:val="000033A5"/>
    <w:rsid w:val="00004177"/>
    <w:rsid w:val="000102D5"/>
    <w:rsid w:val="000110F2"/>
    <w:rsid w:val="00011A70"/>
    <w:rsid w:val="00013C6D"/>
    <w:rsid w:val="00024958"/>
    <w:rsid w:val="00024A94"/>
    <w:rsid w:val="00025F03"/>
    <w:rsid w:val="000324F6"/>
    <w:rsid w:val="00043C3B"/>
    <w:rsid w:val="00044978"/>
    <w:rsid w:val="00050655"/>
    <w:rsid w:val="00054924"/>
    <w:rsid w:val="00054D30"/>
    <w:rsid w:val="0006553E"/>
    <w:rsid w:val="00082EFA"/>
    <w:rsid w:val="000837C3"/>
    <w:rsid w:val="000869FA"/>
    <w:rsid w:val="000934FD"/>
    <w:rsid w:val="000A3C56"/>
    <w:rsid w:val="000D4DA8"/>
    <w:rsid w:val="000D529F"/>
    <w:rsid w:val="000D5C03"/>
    <w:rsid w:val="000D611F"/>
    <w:rsid w:val="000E5D26"/>
    <w:rsid w:val="000F33C7"/>
    <w:rsid w:val="000F3C66"/>
    <w:rsid w:val="000F7434"/>
    <w:rsid w:val="00112B51"/>
    <w:rsid w:val="00136519"/>
    <w:rsid w:val="001707BF"/>
    <w:rsid w:val="00174B1C"/>
    <w:rsid w:val="00187007"/>
    <w:rsid w:val="001A11DA"/>
    <w:rsid w:val="001C0217"/>
    <w:rsid w:val="001D40CA"/>
    <w:rsid w:val="001E147D"/>
    <w:rsid w:val="001E733E"/>
    <w:rsid w:val="00204AF8"/>
    <w:rsid w:val="002075CA"/>
    <w:rsid w:val="00221A64"/>
    <w:rsid w:val="0023324F"/>
    <w:rsid w:val="002349F0"/>
    <w:rsid w:val="00243B14"/>
    <w:rsid w:val="002465F8"/>
    <w:rsid w:val="00251D23"/>
    <w:rsid w:val="00251E2A"/>
    <w:rsid w:val="0026011A"/>
    <w:rsid w:val="00260EEF"/>
    <w:rsid w:val="00266DD8"/>
    <w:rsid w:val="002701A7"/>
    <w:rsid w:val="00272D80"/>
    <w:rsid w:val="002800B8"/>
    <w:rsid w:val="0028428F"/>
    <w:rsid w:val="00294955"/>
    <w:rsid w:val="002B33F4"/>
    <w:rsid w:val="002B5ACC"/>
    <w:rsid w:val="002C24D5"/>
    <w:rsid w:val="002D3527"/>
    <w:rsid w:val="002E6E58"/>
    <w:rsid w:val="002E7FC3"/>
    <w:rsid w:val="002F2074"/>
    <w:rsid w:val="002F7EBD"/>
    <w:rsid w:val="003070B9"/>
    <w:rsid w:val="00323FF1"/>
    <w:rsid w:val="00324186"/>
    <w:rsid w:val="00337F1A"/>
    <w:rsid w:val="003420EC"/>
    <w:rsid w:val="0036198F"/>
    <w:rsid w:val="0037355A"/>
    <w:rsid w:val="00375F9F"/>
    <w:rsid w:val="00376705"/>
    <w:rsid w:val="0038009D"/>
    <w:rsid w:val="00382C89"/>
    <w:rsid w:val="003C3DCB"/>
    <w:rsid w:val="003C53A5"/>
    <w:rsid w:val="003E7890"/>
    <w:rsid w:val="0040552E"/>
    <w:rsid w:val="00406006"/>
    <w:rsid w:val="004063F8"/>
    <w:rsid w:val="00413620"/>
    <w:rsid w:val="004202F6"/>
    <w:rsid w:val="00451A6F"/>
    <w:rsid w:val="00451A8E"/>
    <w:rsid w:val="004627C9"/>
    <w:rsid w:val="00466B5A"/>
    <w:rsid w:val="004775BB"/>
    <w:rsid w:val="00480145"/>
    <w:rsid w:val="004808FD"/>
    <w:rsid w:val="00482687"/>
    <w:rsid w:val="00487668"/>
    <w:rsid w:val="004B2EAC"/>
    <w:rsid w:val="004B4864"/>
    <w:rsid w:val="004B7E70"/>
    <w:rsid w:val="004C5CEB"/>
    <w:rsid w:val="004D2C15"/>
    <w:rsid w:val="004E1820"/>
    <w:rsid w:val="004F0616"/>
    <w:rsid w:val="00517726"/>
    <w:rsid w:val="0052456A"/>
    <w:rsid w:val="005255E6"/>
    <w:rsid w:val="00551710"/>
    <w:rsid w:val="00552C5B"/>
    <w:rsid w:val="0056349E"/>
    <w:rsid w:val="00577A75"/>
    <w:rsid w:val="00591C54"/>
    <w:rsid w:val="0059410C"/>
    <w:rsid w:val="00595728"/>
    <w:rsid w:val="005B0818"/>
    <w:rsid w:val="005B3833"/>
    <w:rsid w:val="005B7BFF"/>
    <w:rsid w:val="005C212A"/>
    <w:rsid w:val="005C6612"/>
    <w:rsid w:val="005D027F"/>
    <w:rsid w:val="005E1765"/>
    <w:rsid w:val="005F06E2"/>
    <w:rsid w:val="00604FE0"/>
    <w:rsid w:val="00610076"/>
    <w:rsid w:val="006355EC"/>
    <w:rsid w:val="00636ED5"/>
    <w:rsid w:val="0063702C"/>
    <w:rsid w:val="00647DAB"/>
    <w:rsid w:val="006527FB"/>
    <w:rsid w:val="00655DA2"/>
    <w:rsid w:val="00664E99"/>
    <w:rsid w:val="00687A0C"/>
    <w:rsid w:val="006A1992"/>
    <w:rsid w:val="006A622A"/>
    <w:rsid w:val="006B6C2E"/>
    <w:rsid w:val="006C0EBC"/>
    <w:rsid w:val="006D197E"/>
    <w:rsid w:val="006E2B0F"/>
    <w:rsid w:val="00720C3A"/>
    <w:rsid w:val="007275C4"/>
    <w:rsid w:val="00772561"/>
    <w:rsid w:val="00781B77"/>
    <w:rsid w:val="007915F0"/>
    <w:rsid w:val="0079604C"/>
    <w:rsid w:val="007A311F"/>
    <w:rsid w:val="007A3297"/>
    <w:rsid w:val="007B628B"/>
    <w:rsid w:val="007F28CF"/>
    <w:rsid w:val="007F55D7"/>
    <w:rsid w:val="007F5AF4"/>
    <w:rsid w:val="008002BB"/>
    <w:rsid w:val="00802818"/>
    <w:rsid w:val="00804C6D"/>
    <w:rsid w:val="0081299C"/>
    <w:rsid w:val="00821DB9"/>
    <w:rsid w:val="008374C5"/>
    <w:rsid w:val="00840B11"/>
    <w:rsid w:val="00846550"/>
    <w:rsid w:val="00855479"/>
    <w:rsid w:val="00856270"/>
    <w:rsid w:val="00857DD5"/>
    <w:rsid w:val="0087359D"/>
    <w:rsid w:val="00874118"/>
    <w:rsid w:val="00875936"/>
    <w:rsid w:val="00880EAC"/>
    <w:rsid w:val="008811AC"/>
    <w:rsid w:val="0088350C"/>
    <w:rsid w:val="00887763"/>
    <w:rsid w:val="008D45EB"/>
    <w:rsid w:val="008E19F5"/>
    <w:rsid w:val="008E3681"/>
    <w:rsid w:val="00903DB9"/>
    <w:rsid w:val="00904A53"/>
    <w:rsid w:val="009057CD"/>
    <w:rsid w:val="009062E8"/>
    <w:rsid w:val="00921CDC"/>
    <w:rsid w:val="009251B7"/>
    <w:rsid w:val="00934936"/>
    <w:rsid w:val="00953BEA"/>
    <w:rsid w:val="0095616D"/>
    <w:rsid w:val="00975A8D"/>
    <w:rsid w:val="009768CB"/>
    <w:rsid w:val="0098754F"/>
    <w:rsid w:val="00990694"/>
    <w:rsid w:val="009A7DDC"/>
    <w:rsid w:val="009B072E"/>
    <w:rsid w:val="009C051B"/>
    <w:rsid w:val="009D3C18"/>
    <w:rsid w:val="009D67BB"/>
    <w:rsid w:val="009E0D1C"/>
    <w:rsid w:val="009E1178"/>
    <w:rsid w:val="009E2513"/>
    <w:rsid w:val="009F53A4"/>
    <w:rsid w:val="00A01A8D"/>
    <w:rsid w:val="00A022B1"/>
    <w:rsid w:val="00A0427A"/>
    <w:rsid w:val="00A06E10"/>
    <w:rsid w:val="00A21E79"/>
    <w:rsid w:val="00A277BA"/>
    <w:rsid w:val="00A37928"/>
    <w:rsid w:val="00A41CF9"/>
    <w:rsid w:val="00A44CF4"/>
    <w:rsid w:val="00A475B0"/>
    <w:rsid w:val="00A51352"/>
    <w:rsid w:val="00A51800"/>
    <w:rsid w:val="00A552A9"/>
    <w:rsid w:val="00A571EB"/>
    <w:rsid w:val="00A6060F"/>
    <w:rsid w:val="00A90CD4"/>
    <w:rsid w:val="00A95B45"/>
    <w:rsid w:val="00AA49D5"/>
    <w:rsid w:val="00AA4F11"/>
    <w:rsid w:val="00AB1173"/>
    <w:rsid w:val="00AD3FDA"/>
    <w:rsid w:val="00AE4DD9"/>
    <w:rsid w:val="00AF36E5"/>
    <w:rsid w:val="00B0250C"/>
    <w:rsid w:val="00B06B7F"/>
    <w:rsid w:val="00B446AF"/>
    <w:rsid w:val="00B65086"/>
    <w:rsid w:val="00B73087"/>
    <w:rsid w:val="00B756D3"/>
    <w:rsid w:val="00B777BB"/>
    <w:rsid w:val="00B976F3"/>
    <w:rsid w:val="00BA438D"/>
    <w:rsid w:val="00BA46C6"/>
    <w:rsid w:val="00BA542F"/>
    <w:rsid w:val="00BA7674"/>
    <w:rsid w:val="00BC3E0F"/>
    <w:rsid w:val="00BE1870"/>
    <w:rsid w:val="00BF6B6F"/>
    <w:rsid w:val="00C0606E"/>
    <w:rsid w:val="00C2260B"/>
    <w:rsid w:val="00C65579"/>
    <w:rsid w:val="00C778E2"/>
    <w:rsid w:val="00C81E91"/>
    <w:rsid w:val="00C935AD"/>
    <w:rsid w:val="00CD3747"/>
    <w:rsid w:val="00CE0486"/>
    <w:rsid w:val="00CE7E03"/>
    <w:rsid w:val="00CF4D86"/>
    <w:rsid w:val="00CF7235"/>
    <w:rsid w:val="00D0092B"/>
    <w:rsid w:val="00D02995"/>
    <w:rsid w:val="00D11ED1"/>
    <w:rsid w:val="00D143C0"/>
    <w:rsid w:val="00D1560B"/>
    <w:rsid w:val="00D2162F"/>
    <w:rsid w:val="00D318D9"/>
    <w:rsid w:val="00D42AB3"/>
    <w:rsid w:val="00D451B8"/>
    <w:rsid w:val="00D62F62"/>
    <w:rsid w:val="00D638C7"/>
    <w:rsid w:val="00DB6A4B"/>
    <w:rsid w:val="00DC2A68"/>
    <w:rsid w:val="00DD764B"/>
    <w:rsid w:val="00DE03B6"/>
    <w:rsid w:val="00DE6068"/>
    <w:rsid w:val="00E11584"/>
    <w:rsid w:val="00E12AC6"/>
    <w:rsid w:val="00E26AD5"/>
    <w:rsid w:val="00E360E9"/>
    <w:rsid w:val="00E5109B"/>
    <w:rsid w:val="00E57E0E"/>
    <w:rsid w:val="00E61F79"/>
    <w:rsid w:val="00E66854"/>
    <w:rsid w:val="00E669AC"/>
    <w:rsid w:val="00E7114C"/>
    <w:rsid w:val="00E723FD"/>
    <w:rsid w:val="00E80D11"/>
    <w:rsid w:val="00E8476B"/>
    <w:rsid w:val="00EE5DF3"/>
    <w:rsid w:val="00EF45FA"/>
    <w:rsid w:val="00EF5412"/>
    <w:rsid w:val="00F50D33"/>
    <w:rsid w:val="00F522C5"/>
    <w:rsid w:val="00F608C5"/>
    <w:rsid w:val="00F6173E"/>
    <w:rsid w:val="00F76AE8"/>
    <w:rsid w:val="00F93330"/>
    <w:rsid w:val="00F97C5E"/>
    <w:rsid w:val="00FA0307"/>
    <w:rsid w:val="00FB5605"/>
    <w:rsid w:val="00FC329C"/>
    <w:rsid w:val="00FC5D8D"/>
    <w:rsid w:val="00FD6128"/>
    <w:rsid w:val="00FF2A11"/>
    <w:rsid w:val="00FF7786"/>
    <w:rsid w:val="00FF787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B7BD5B-FF1A-9F41-B8C2-D77D8197A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12A"/>
    <w:rPr>
      <w:sz w:val="24"/>
      <w:szCs w:val="24"/>
      <w:lang w:eastAsia="en-US"/>
    </w:rPr>
  </w:style>
  <w:style w:type="paragraph" w:styleId="Balk1">
    <w:name w:val="heading 1"/>
    <w:basedOn w:val="Normal"/>
    <w:next w:val="Normal"/>
    <w:link w:val="Balk1Char"/>
    <w:uiPriority w:val="9"/>
    <w:qFormat/>
    <w:rsid w:val="005C212A"/>
    <w:pPr>
      <w:keepNext/>
      <w:spacing w:before="240" w:after="60"/>
      <w:outlineLvl w:val="0"/>
    </w:pPr>
    <w:rPr>
      <w:rFonts w:ascii="Arial" w:hAnsi="Arial"/>
      <w:b/>
      <w:bCs/>
      <w:kern w:val="32"/>
      <w:sz w:val="32"/>
      <w:szCs w:val="32"/>
      <w:lang w:val="x-none" w:eastAsia="x-none"/>
    </w:rPr>
  </w:style>
  <w:style w:type="paragraph" w:styleId="Balk2">
    <w:name w:val="heading 2"/>
    <w:basedOn w:val="Normal"/>
    <w:next w:val="Normal"/>
    <w:link w:val="Balk2Char"/>
    <w:unhideWhenUsed/>
    <w:qFormat/>
    <w:rsid w:val="00482687"/>
    <w:pPr>
      <w:keepNext/>
      <w:spacing w:before="240" w:after="60"/>
      <w:outlineLvl w:val="1"/>
    </w:pPr>
    <w:rPr>
      <w:rFonts w:ascii="Cambria" w:eastAsia="Times New Roman" w:hAnsi="Cambria"/>
      <w:b/>
      <w:bCs/>
      <w:i/>
      <w:iCs/>
      <w:sz w:val="28"/>
      <w:szCs w:val="28"/>
      <w:lang w:val="x-none" w:eastAsia="x-none"/>
    </w:rPr>
  </w:style>
  <w:style w:type="paragraph" w:styleId="Balk3">
    <w:name w:val="heading 3"/>
    <w:basedOn w:val="Normal"/>
    <w:next w:val="Normal"/>
    <w:link w:val="Balk3Char"/>
    <w:semiHidden/>
    <w:unhideWhenUsed/>
    <w:qFormat/>
    <w:rsid w:val="000D529F"/>
    <w:pPr>
      <w:keepNext/>
      <w:spacing w:before="240" w:after="60"/>
      <w:outlineLvl w:val="2"/>
    </w:pPr>
    <w:rPr>
      <w:rFonts w:ascii="Cambria" w:eastAsia="Times New Roman" w:hAnsi="Cambria"/>
      <w:b/>
      <w:bCs/>
      <w:sz w:val="26"/>
      <w:szCs w:val="26"/>
      <w:lang w:val="x-none" w:eastAsia="x-none"/>
    </w:rPr>
  </w:style>
  <w:style w:type="paragraph" w:styleId="Balk4">
    <w:name w:val="heading 4"/>
    <w:basedOn w:val="Normal"/>
    <w:next w:val="Normal"/>
    <w:link w:val="Balk4Char"/>
    <w:semiHidden/>
    <w:unhideWhenUsed/>
    <w:qFormat/>
    <w:rsid w:val="00482687"/>
    <w:pPr>
      <w:keepNext/>
      <w:spacing w:before="240" w:after="60"/>
      <w:outlineLvl w:val="3"/>
    </w:pPr>
    <w:rPr>
      <w:rFonts w:ascii="Calibri" w:eastAsia="Times New Roman" w:hAnsi="Calibri"/>
      <w:b/>
      <w:bCs/>
      <w:sz w:val="28"/>
      <w:szCs w:val="28"/>
      <w:lang w:val="x-none" w:eastAsia="x-none"/>
    </w:rPr>
  </w:style>
  <w:style w:type="paragraph" w:styleId="Balk7">
    <w:name w:val="heading 7"/>
    <w:basedOn w:val="Normal"/>
    <w:next w:val="Normal"/>
    <w:link w:val="Balk7Char"/>
    <w:semiHidden/>
    <w:unhideWhenUsed/>
    <w:qFormat/>
    <w:rsid w:val="00482687"/>
    <w:pPr>
      <w:spacing w:before="240" w:after="60"/>
      <w:outlineLvl w:val="6"/>
    </w:pPr>
    <w:rPr>
      <w:rFonts w:ascii="Calibri" w:eastAsia="Times New Roman" w:hAnsi="Calibri"/>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0D529F"/>
    <w:rPr>
      <w:rFonts w:ascii="Arial" w:hAnsi="Arial" w:cs="Arial"/>
      <w:b/>
      <w:bCs/>
      <w:kern w:val="32"/>
      <w:sz w:val="32"/>
      <w:szCs w:val="32"/>
    </w:rPr>
  </w:style>
  <w:style w:type="character" w:customStyle="1" w:styleId="Balk2Char">
    <w:name w:val="Başlık 2 Char"/>
    <w:link w:val="Balk2"/>
    <w:rsid w:val="00482687"/>
    <w:rPr>
      <w:rFonts w:ascii="Cambria" w:eastAsia="Times New Roman" w:hAnsi="Cambria" w:cs="Times New Roman"/>
      <w:b/>
      <w:bCs/>
      <w:i/>
      <w:iCs/>
      <w:sz w:val="28"/>
      <w:szCs w:val="28"/>
    </w:rPr>
  </w:style>
  <w:style w:type="character" w:customStyle="1" w:styleId="Balk4Char">
    <w:name w:val="Başlık 4 Char"/>
    <w:link w:val="Balk4"/>
    <w:semiHidden/>
    <w:rsid w:val="00482687"/>
    <w:rPr>
      <w:rFonts w:ascii="Calibri" w:eastAsia="Times New Roman" w:hAnsi="Calibri" w:cs="Times New Roman"/>
      <w:b/>
      <w:bCs/>
      <w:sz w:val="28"/>
      <w:szCs w:val="28"/>
    </w:rPr>
  </w:style>
  <w:style w:type="character" w:customStyle="1" w:styleId="Balk7Char">
    <w:name w:val="Başlık 7 Char"/>
    <w:link w:val="Balk7"/>
    <w:semiHidden/>
    <w:rsid w:val="00482687"/>
    <w:rPr>
      <w:rFonts w:ascii="Calibri" w:eastAsia="Times New Roman" w:hAnsi="Calibri" w:cs="Times New Roman"/>
      <w:sz w:val="24"/>
      <w:szCs w:val="24"/>
    </w:rPr>
  </w:style>
  <w:style w:type="paragraph" w:styleId="Altyaz">
    <w:name w:val="Subtitle"/>
    <w:basedOn w:val="Normal"/>
    <w:next w:val="Normal"/>
    <w:link w:val="AltyazChar"/>
    <w:qFormat/>
    <w:rsid w:val="00482687"/>
    <w:pPr>
      <w:spacing w:after="60"/>
      <w:jc w:val="center"/>
      <w:outlineLvl w:val="1"/>
    </w:pPr>
    <w:rPr>
      <w:rFonts w:ascii="Cambria" w:eastAsia="Times New Roman" w:hAnsi="Cambria"/>
      <w:lang w:val="x-none" w:eastAsia="x-none"/>
    </w:rPr>
  </w:style>
  <w:style w:type="character" w:customStyle="1" w:styleId="AltyazChar">
    <w:name w:val="Altyazı Char"/>
    <w:link w:val="Altyaz"/>
    <w:rsid w:val="00482687"/>
    <w:rPr>
      <w:rFonts w:ascii="Cambria" w:eastAsia="Times New Roman" w:hAnsi="Cambria" w:cs="Times New Roman"/>
      <w:sz w:val="24"/>
      <w:szCs w:val="24"/>
    </w:rPr>
  </w:style>
  <w:style w:type="character" w:styleId="Gl">
    <w:name w:val="Strong"/>
    <w:uiPriority w:val="22"/>
    <w:qFormat/>
    <w:rsid w:val="00482687"/>
    <w:rPr>
      <w:b/>
      <w:bCs/>
    </w:rPr>
  </w:style>
  <w:style w:type="character" w:styleId="Vurgu">
    <w:name w:val="Emphasis"/>
    <w:uiPriority w:val="20"/>
    <w:qFormat/>
    <w:rsid w:val="005C212A"/>
    <w:rPr>
      <w:i/>
      <w:iCs/>
    </w:rPr>
  </w:style>
  <w:style w:type="character" w:customStyle="1" w:styleId="Balk3Char">
    <w:name w:val="Başlık 3 Char"/>
    <w:link w:val="Balk3"/>
    <w:semiHidden/>
    <w:rsid w:val="000D529F"/>
    <w:rPr>
      <w:rFonts w:ascii="Cambria" w:eastAsia="Times New Roman" w:hAnsi="Cambria" w:cs="Times New Roman"/>
      <w:b/>
      <w:bCs/>
      <w:sz w:val="26"/>
      <w:szCs w:val="26"/>
    </w:rPr>
  </w:style>
  <w:style w:type="paragraph" w:styleId="ListeParagraf">
    <w:name w:val="List Paragraph"/>
    <w:basedOn w:val="Normal"/>
    <w:uiPriority w:val="34"/>
    <w:qFormat/>
    <w:rsid w:val="000D529F"/>
    <w:pPr>
      <w:ind w:left="708"/>
    </w:pPr>
  </w:style>
  <w:style w:type="character" w:styleId="HafifVurgulama">
    <w:name w:val="Subtle Emphasis"/>
    <w:uiPriority w:val="19"/>
    <w:qFormat/>
    <w:rsid w:val="000D529F"/>
    <w:rPr>
      <w:i/>
      <w:iCs/>
      <w:color w:val="808080"/>
    </w:rPr>
  </w:style>
  <w:style w:type="paragraph" w:customStyle="1" w:styleId="DecimalAligned">
    <w:name w:val="Decimal Aligned"/>
    <w:basedOn w:val="Normal"/>
    <w:uiPriority w:val="40"/>
    <w:rsid w:val="000D529F"/>
    <w:pPr>
      <w:tabs>
        <w:tab w:val="decimal" w:pos="360"/>
      </w:tabs>
    </w:pPr>
  </w:style>
  <w:style w:type="paragraph" w:styleId="AralkYok">
    <w:name w:val="No Spacing"/>
    <w:link w:val="AralkYokChar"/>
    <w:uiPriority w:val="1"/>
    <w:qFormat/>
    <w:rsid w:val="005C212A"/>
    <w:rPr>
      <w:rFonts w:ascii="Calibri" w:eastAsia="Times New Roman" w:hAnsi="Calibri"/>
      <w:sz w:val="22"/>
      <w:szCs w:val="22"/>
      <w:lang w:eastAsia="en-US"/>
    </w:rPr>
  </w:style>
  <w:style w:type="character" w:customStyle="1" w:styleId="AralkYokChar">
    <w:name w:val="Aralık Yok Char"/>
    <w:link w:val="AralkYok"/>
    <w:uiPriority w:val="1"/>
    <w:rsid w:val="005C212A"/>
    <w:rPr>
      <w:rFonts w:ascii="Calibri" w:eastAsia="Times New Roman" w:hAnsi="Calibri"/>
      <w:sz w:val="22"/>
      <w:szCs w:val="22"/>
      <w:lang w:eastAsia="en-US" w:bidi="ar-SA"/>
    </w:rPr>
  </w:style>
  <w:style w:type="paragraph" w:customStyle="1" w:styleId="Default">
    <w:name w:val="Default"/>
    <w:rsid w:val="000F7434"/>
    <w:pPr>
      <w:autoSpaceDE w:val="0"/>
      <w:autoSpaceDN w:val="0"/>
      <w:adjustRightInd w:val="0"/>
    </w:pPr>
    <w:rPr>
      <w:color w:val="000000"/>
      <w:sz w:val="24"/>
      <w:szCs w:val="24"/>
    </w:rPr>
  </w:style>
  <w:style w:type="paragraph" w:styleId="NormalWeb">
    <w:name w:val="Normal (Web)"/>
    <w:basedOn w:val="Normal"/>
    <w:uiPriority w:val="99"/>
    <w:semiHidden/>
    <w:unhideWhenUsed/>
    <w:rsid w:val="0036198F"/>
    <w:pPr>
      <w:spacing w:before="100" w:beforeAutospacing="1" w:after="100" w:afterAutospacing="1"/>
    </w:pPr>
    <w:rPr>
      <w:rFonts w:eastAsia="Times New Roman"/>
      <w:lang w:eastAsia="tr-TR"/>
    </w:rPr>
  </w:style>
  <w:style w:type="character" w:customStyle="1" w:styleId="apple-converted-space">
    <w:name w:val="apple-converted-space"/>
    <w:basedOn w:val="VarsaylanParagrafYazTipi"/>
    <w:rsid w:val="0036198F"/>
  </w:style>
  <w:style w:type="character" w:styleId="Kpr">
    <w:name w:val="Hyperlink"/>
    <w:uiPriority w:val="99"/>
    <w:unhideWhenUsed/>
    <w:rsid w:val="0036198F"/>
    <w:rPr>
      <w:color w:val="0000FF"/>
      <w:u w:val="single"/>
    </w:rPr>
  </w:style>
  <w:style w:type="paragraph" w:styleId="stBilgi">
    <w:name w:val="header"/>
    <w:basedOn w:val="Normal"/>
    <w:link w:val="stBilgiChar1"/>
    <w:uiPriority w:val="99"/>
    <w:unhideWhenUsed/>
    <w:rsid w:val="00647DAB"/>
    <w:pPr>
      <w:tabs>
        <w:tab w:val="center" w:pos="4536"/>
        <w:tab w:val="right" w:pos="9072"/>
      </w:tabs>
    </w:pPr>
    <w:rPr>
      <w:lang w:val="x-none"/>
    </w:rPr>
  </w:style>
  <w:style w:type="character" w:customStyle="1" w:styleId="stBilgiChar1">
    <w:name w:val="Üst Bilgi Char1"/>
    <w:link w:val="stBilgi"/>
    <w:uiPriority w:val="99"/>
    <w:rsid w:val="00647DAB"/>
    <w:rPr>
      <w:sz w:val="24"/>
      <w:szCs w:val="24"/>
      <w:lang w:eastAsia="en-US"/>
    </w:rPr>
  </w:style>
  <w:style w:type="paragraph" w:styleId="AltBilgi">
    <w:name w:val="footer"/>
    <w:basedOn w:val="Normal"/>
    <w:link w:val="AltBilgiChar1"/>
    <w:uiPriority w:val="99"/>
    <w:unhideWhenUsed/>
    <w:rsid w:val="00647DAB"/>
    <w:pPr>
      <w:tabs>
        <w:tab w:val="center" w:pos="4536"/>
        <w:tab w:val="right" w:pos="9072"/>
      </w:tabs>
    </w:pPr>
    <w:rPr>
      <w:lang w:val="x-none"/>
    </w:rPr>
  </w:style>
  <w:style w:type="character" w:customStyle="1" w:styleId="AltBilgiChar1">
    <w:name w:val="Alt Bilgi Char1"/>
    <w:link w:val="AltBilgi"/>
    <w:uiPriority w:val="99"/>
    <w:rsid w:val="00647DAB"/>
    <w:rPr>
      <w:sz w:val="24"/>
      <w:szCs w:val="24"/>
      <w:lang w:eastAsia="en-US"/>
    </w:rPr>
  </w:style>
  <w:style w:type="paragraph" w:styleId="BalonMetni">
    <w:name w:val="Balloon Text"/>
    <w:basedOn w:val="Normal"/>
    <w:link w:val="BalonMetniChar"/>
    <w:uiPriority w:val="99"/>
    <w:semiHidden/>
    <w:unhideWhenUsed/>
    <w:rsid w:val="00647DAB"/>
    <w:rPr>
      <w:rFonts w:ascii="Tahoma" w:hAnsi="Tahoma"/>
      <w:sz w:val="16"/>
      <w:szCs w:val="16"/>
      <w:lang w:val="x-none"/>
    </w:rPr>
  </w:style>
  <w:style w:type="character" w:customStyle="1" w:styleId="BalonMetniChar">
    <w:name w:val="Balon Metni Char"/>
    <w:link w:val="BalonMetni"/>
    <w:uiPriority w:val="99"/>
    <w:semiHidden/>
    <w:rsid w:val="00647DAB"/>
    <w:rPr>
      <w:rFonts w:ascii="Tahoma" w:hAnsi="Tahoma" w:cs="Tahoma"/>
      <w:sz w:val="16"/>
      <w:szCs w:val="16"/>
      <w:lang w:eastAsia="en-US"/>
    </w:rPr>
  </w:style>
  <w:style w:type="table" w:styleId="TabloKlavuzu">
    <w:name w:val="Table Grid"/>
    <w:basedOn w:val="NormalTablo"/>
    <w:uiPriority w:val="59"/>
    <w:rsid w:val="00647D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rsid w:val="00591C54"/>
    <w:pPr>
      <w:spacing w:after="120"/>
    </w:pPr>
    <w:rPr>
      <w:rFonts w:eastAsia="Times New Roman"/>
      <w:lang w:val="x-none" w:eastAsia="x-none"/>
    </w:rPr>
  </w:style>
  <w:style w:type="character" w:customStyle="1" w:styleId="GvdeMetniChar">
    <w:name w:val="Gövde Metni Char"/>
    <w:link w:val="GvdeMetni"/>
    <w:rsid w:val="00591C54"/>
    <w:rPr>
      <w:rFonts w:eastAsia="Times New Roman"/>
      <w:sz w:val="24"/>
      <w:szCs w:val="24"/>
      <w:lang w:val="x-none" w:eastAsia="x-none"/>
    </w:rPr>
  </w:style>
  <w:style w:type="character" w:styleId="SayfaNumaras">
    <w:name w:val="page number"/>
    <w:rsid w:val="00591C54"/>
  </w:style>
  <w:style w:type="paragraph" w:styleId="DipnotMetni">
    <w:name w:val="footnote text"/>
    <w:aliases w:val="Dipnot Metni Char Char Char"/>
    <w:basedOn w:val="Normal"/>
    <w:link w:val="DipnotMetniChar"/>
    <w:uiPriority w:val="99"/>
    <w:rsid w:val="00591C54"/>
    <w:rPr>
      <w:rFonts w:eastAsia="Times New Roman"/>
      <w:sz w:val="20"/>
      <w:szCs w:val="20"/>
      <w:lang w:val="x-none" w:eastAsia="x-none"/>
    </w:rPr>
  </w:style>
  <w:style w:type="character" w:customStyle="1" w:styleId="DipnotMetniChar">
    <w:name w:val="Dipnot Metni Char"/>
    <w:aliases w:val="Dipnot Metni Char Char Char Char"/>
    <w:link w:val="DipnotMetni"/>
    <w:uiPriority w:val="99"/>
    <w:rsid w:val="00591C54"/>
    <w:rPr>
      <w:rFonts w:eastAsia="Times New Roman"/>
    </w:rPr>
  </w:style>
  <w:style w:type="character" w:styleId="DipnotBavurusu">
    <w:name w:val="footnote reference"/>
    <w:uiPriority w:val="99"/>
    <w:semiHidden/>
    <w:rsid w:val="00591C54"/>
    <w:rPr>
      <w:vertAlign w:val="superscript"/>
    </w:rPr>
  </w:style>
  <w:style w:type="paragraph" w:customStyle="1" w:styleId="Kaynakca">
    <w:name w:val="Kaynakca"/>
    <w:basedOn w:val="Normal"/>
    <w:rsid w:val="00591C54"/>
    <w:pPr>
      <w:spacing w:before="40" w:after="40"/>
      <w:ind w:left="360" w:hanging="360"/>
      <w:jc w:val="both"/>
    </w:pPr>
    <w:rPr>
      <w:sz w:val="18"/>
      <w:szCs w:val="22"/>
    </w:rPr>
  </w:style>
  <w:style w:type="character" w:customStyle="1" w:styleId="stBilgiChar">
    <w:name w:val="Üst Bilgi Char"/>
    <w:uiPriority w:val="99"/>
    <w:rsid w:val="00451A8E"/>
  </w:style>
  <w:style w:type="character" w:customStyle="1" w:styleId="AltBilgiChar">
    <w:name w:val="Alt Bilgi Char"/>
    <w:uiPriority w:val="99"/>
    <w:rsid w:val="00451A8E"/>
  </w:style>
  <w:style w:type="table" w:styleId="AkGlgeleme">
    <w:name w:val="Light Shading"/>
    <w:basedOn w:val="NormalTablo"/>
    <w:uiPriority w:val="60"/>
    <w:rsid w:val="00451A8E"/>
    <w:rPr>
      <w:rFonts w:ascii="Calibri" w:hAnsi="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AkGlgeleme-Vurgu1">
    <w:name w:val="Light Shading Accent 1"/>
    <w:basedOn w:val="NormalTablo"/>
    <w:uiPriority w:val="60"/>
    <w:rsid w:val="00451A8E"/>
    <w:rPr>
      <w:rFonts w:ascii="Calibri" w:hAnsi="Calibri"/>
      <w:color w:val="365F91"/>
      <w:sz w:val="22"/>
      <w:szCs w:val="22"/>
      <w:lang w:eastAsia="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AkGlgeleme-Vurgu2">
    <w:name w:val="Light Shading Accent 2"/>
    <w:basedOn w:val="NormalTablo"/>
    <w:uiPriority w:val="60"/>
    <w:rsid w:val="00451A8E"/>
    <w:rPr>
      <w:rFonts w:ascii="Calibri" w:hAnsi="Calibri"/>
      <w:color w:val="943634"/>
      <w:sz w:val="22"/>
      <w:szCs w:val="22"/>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AkGlgeleme-Vurgu3">
    <w:name w:val="Light Shading Accent 3"/>
    <w:basedOn w:val="NormalTablo"/>
    <w:uiPriority w:val="60"/>
    <w:rsid w:val="00451A8E"/>
    <w:rPr>
      <w:rFonts w:ascii="Calibri" w:hAnsi="Calibri"/>
      <w:color w:val="76923C"/>
      <w:sz w:val="22"/>
      <w:szCs w:val="22"/>
      <w:lang w:eastAsia="en-U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AkGlgeleme-Vurgu4">
    <w:name w:val="Light Shading Accent 4"/>
    <w:basedOn w:val="NormalTablo"/>
    <w:uiPriority w:val="60"/>
    <w:rsid w:val="00451A8E"/>
    <w:rPr>
      <w:rFonts w:ascii="Calibri" w:hAnsi="Calibri"/>
      <w:color w:val="5F497A"/>
      <w:sz w:val="22"/>
      <w:szCs w:val="22"/>
      <w:lang w:eastAsia="en-US"/>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AkGlgeleme-Vurgu5">
    <w:name w:val="Light Shading Accent 5"/>
    <w:basedOn w:val="NormalTablo"/>
    <w:uiPriority w:val="60"/>
    <w:rsid w:val="00451A8E"/>
    <w:rPr>
      <w:rFonts w:ascii="Calibri" w:hAnsi="Calibri"/>
      <w:color w:val="31849B"/>
      <w:sz w:val="22"/>
      <w:szCs w:val="22"/>
      <w:lang w:eastAsia="en-US"/>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AkListe-Vurgu2">
    <w:name w:val="Light List Accent 2"/>
    <w:basedOn w:val="NormalTablo"/>
    <w:uiPriority w:val="61"/>
    <w:rsid w:val="00451A8E"/>
    <w:rPr>
      <w:rFonts w:ascii="Calibri" w:hAnsi="Calibri"/>
      <w:sz w:val="22"/>
      <w:szCs w:val="22"/>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AkKlavuz-Vurgu2">
    <w:name w:val="Light Grid Accent 2"/>
    <w:basedOn w:val="NormalTablo"/>
    <w:uiPriority w:val="62"/>
    <w:rsid w:val="00451A8E"/>
    <w:rPr>
      <w:rFonts w:ascii="Calibri" w:hAnsi="Calibri"/>
      <w:sz w:val="22"/>
      <w:szCs w:val="22"/>
      <w:lang w:eastAsia="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Tahoma" w:eastAsia="Times New Roman" w:hAnsi="Tahom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Tahoma" w:eastAsia="Times New Roman" w:hAnsi="Tahom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OrtaGlgeleme2">
    <w:name w:val="Medium Shading 2"/>
    <w:basedOn w:val="NormalTablo"/>
    <w:uiPriority w:val="64"/>
    <w:rsid w:val="00451A8E"/>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OrtaGlgeleme2-Vurgu3">
    <w:name w:val="Medium Shading 2 Accent 3"/>
    <w:basedOn w:val="NormalTablo"/>
    <w:uiPriority w:val="64"/>
    <w:rsid w:val="00451A8E"/>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OrtaGlgeleme2-Vurgu4">
    <w:name w:val="Medium Shading 2 Accent 4"/>
    <w:basedOn w:val="NormalTablo"/>
    <w:uiPriority w:val="64"/>
    <w:rsid w:val="00451A8E"/>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AkKlavuz">
    <w:name w:val="Light Grid"/>
    <w:basedOn w:val="NormalTablo"/>
    <w:uiPriority w:val="62"/>
    <w:rsid w:val="00451A8E"/>
    <w:rPr>
      <w:rFonts w:ascii="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Tahoma" w:eastAsia="Times New Roman" w:hAnsi="Tahom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ahoma" w:eastAsia="Times New Roman" w:hAnsi="Tahom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OrtaKlavuz3-Vurgu1">
    <w:name w:val="Medium Grid 3 Accent 1"/>
    <w:basedOn w:val="NormalTablo"/>
    <w:uiPriority w:val="69"/>
    <w:rsid w:val="00451A8E"/>
    <w:rPr>
      <w:rFonts w:ascii="Calibri" w:hAnsi="Calibri"/>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zmlenmeyenBahsetme1">
    <w:name w:val="Çözümlenmeyen Bahsetme1"/>
    <w:uiPriority w:val="99"/>
    <w:semiHidden/>
    <w:unhideWhenUsed/>
    <w:rsid w:val="00451A8E"/>
    <w:rPr>
      <w:color w:val="605E5C"/>
      <w:shd w:val="clear" w:color="auto" w:fill="E1DFDD"/>
    </w:rPr>
  </w:style>
  <w:style w:type="character" w:customStyle="1" w:styleId="zmlenmeyenBahsetme2">
    <w:name w:val="Çözümlenmeyen Bahsetme2"/>
    <w:uiPriority w:val="99"/>
    <w:semiHidden/>
    <w:unhideWhenUsed/>
    <w:rsid w:val="006355EC"/>
    <w:rPr>
      <w:color w:val="605E5C"/>
      <w:shd w:val="clear" w:color="auto" w:fill="E1DFDD"/>
    </w:rPr>
  </w:style>
  <w:style w:type="paragraph" w:styleId="DzMetin">
    <w:name w:val="Plain Text"/>
    <w:basedOn w:val="Normal"/>
    <w:link w:val="DzMetinChar"/>
    <w:rsid w:val="006355EC"/>
    <w:pPr>
      <w:spacing w:before="100" w:beforeAutospacing="1" w:after="100" w:afterAutospacing="1"/>
    </w:pPr>
    <w:rPr>
      <w:rFonts w:eastAsia="Times New Roman"/>
      <w:color w:val="000000"/>
      <w:lang w:eastAsia="tr-TR"/>
    </w:rPr>
  </w:style>
  <w:style w:type="character" w:customStyle="1" w:styleId="DzMetinChar">
    <w:name w:val="Düz Metin Char"/>
    <w:link w:val="DzMetin"/>
    <w:rsid w:val="006355EC"/>
    <w:rPr>
      <w:rFonts w:eastAsia="Times New Roman"/>
      <w:color w:val="000000"/>
      <w:sz w:val="24"/>
      <w:szCs w:val="24"/>
      <w:lang w:val="tr-TR" w:eastAsia="tr-TR"/>
    </w:rPr>
  </w:style>
  <w:style w:type="character" w:styleId="AklamaBavurusu">
    <w:name w:val="annotation reference"/>
    <w:uiPriority w:val="99"/>
    <w:semiHidden/>
    <w:unhideWhenUsed/>
    <w:rsid w:val="00F93330"/>
    <w:rPr>
      <w:sz w:val="16"/>
      <w:szCs w:val="16"/>
    </w:rPr>
  </w:style>
  <w:style w:type="paragraph" w:styleId="AklamaMetni">
    <w:name w:val="annotation text"/>
    <w:basedOn w:val="Normal"/>
    <w:link w:val="AklamaMetniChar"/>
    <w:uiPriority w:val="99"/>
    <w:semiHidden/>
    <w:unhideWhenUsed/>
    <w:rsid w:val="00F93330"/>
    <w:rPr>
      <w:sz w:val="20"/>
      <w:szCs w:val="20"/>
      <w:lang w:val="x-none"/>
    </w:rPr>
  </w:style>
  <w:style w:type="character" w:customStyle="1" w:styleId="AklamaMetniChar">
    <w:name w:val="Açıklama Metni Char"/>
    <w:link w:val="AklamaMetni"/>
    <w:uiPriority w:val="99"/>
    <w:semiHidden/>
    <w:rsid w:val="00F93330"/>
    <w:rPr>
      <w:lang w:eastAsia="en-US"/>
    </w:rPr>
  </w:style>
  <w:style w:type="paragraph" w:styleId="AklamaKonusu">
    <w:name w:val="annotation subject"/>
    <w:basedOn w:val="AklamaMetni"/>
    <w:next w:val="AklamaMetni"/>
    <w:link w:val="AklamaKonusuChar"/>
    <w:uiPriority w:val="99"/>
    <w:semiHidden/>
    <w:unhideWhenUsed/>
    <w:rsid w:val="00F93330"/>
    <w:rPr>
      <w:b/>
      <w:bCs/>
    </w:rPr>
  </w:style>
  <w:style w:type="character" w:customStyle="1" w:styleId="AklamaKonusuChar">
    <w:name w:val="Açıklama Konusu Char"/>
    <w:link w:val="AklamaKonusu"/>
    <w:uiPriority w:val="99"/>
    <w:semiHidden/>
    <w:rsid w:val="00F93330"/>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1676942">
      <w:bodyDiv w:val="1"/>
      <w:marLeft w:val="0"/>
      <w:marRight w:val="0"/>
      <w:marTop w:val="0"/>
      <w:marBottom w:val="0"/>
      <w:divBdr>
        <w:top w:val="none" w:sz="0" w:space="0" w:color="auto"/>
        <w:left w:val="none" w:sz="0" w:space="0" w:color="auto"/>
        <w:bottom w:val="none" w:sz="0" w:space="0" w:color="auto"/>
        <w:right w:val="none" w:sz="0" w:space="0" w:color="auto"/>
      </w:divBdr>
    </w:div>
    <w:div w:id="1863352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oi.org/10.1007/s10212-015-0285-2"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oi.org/10.1155/2012/152747"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80/00461520.2016.1154792"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doi.org/10.1080/03075070802373040"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doi.org/10.1080/1343822.2011.614468"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hyperlink" Target="http://efdergi.yyu.edu.tr" TargetMode="External"/><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hyperlink" Target="http://efdergi.yyu.edu.tr" TargetMode="External"/><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E410C1-9BE6-42F7-8414-79463D234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25</Pages>
  <Words>6075</Words>
  <Characters>39976</Characters>
  <Application>Microsoft Office Word</Application>
  <DocSecurity>0</DocSecurity>
  <Lines>1110</Lines>
  <Paragraphs>400</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45651</CharactersWithSpaces>
  <SharedDoc>false</SharedDoc>
  <HLinks>
    <vt:vector size="42" baseType="variant">
      <vt:variant>
        <vt:i4>131097</vt:i4>
      </vt:variant>
      <vt:variant>
        <vt:i4>12</vt:i4>
      </vt:variant>
      <vt:variant>
        <vt:i4>0</vt:i4>
      </vt:variant>
      <vt:variant>
        <vt:i4>5</vt:i4>
      </vt:variant>
      <vt:variant>
        <vt:lpwstr>https://doi.org/10.1007/s10212-015-0285-2</vt:lpwstr>
      </vt:variant>
      <vt:variant>
        <vt:lpwstr/>
      </vt:variant>
      <vt:variant>
        <vt:i4>2293872</vt:i4>
      </vt:variant>
      <vt:variant>
        <vt:i4>9</vt:i4>
      </vt:variant>
      <vt:variant>
        <vt:i4>0</vt:i4>
      </vt:variant>
      <vt:variant>
        <vt:i4>5</vt:i4>
      </vt:variant>
      <vt:variant>
        <vt:lpwstr>https://doi.org/10.1155/2012/152747</vt:lpwstr>
      </vt:variant>
      <vt:variant>
        <vt:lpwstr/>
      </vt:variant>
      <vt:variant>
        <vt:i4>589894</vt:i4>
      </vt:variant>
      <vt:variant>
        <vt:i4>6</vt:i4>
      </vt:variant>
      <vt:variant>
        <vt:i4>0</vt:i4>
      </vt:variant>
      <vt:variant>
        <vt:i4>5</vt:i4>
      </vt:variant>
      <vt:variant>
        <vt:lpwstr>https://doi.org/10.1080/00461520.2016.1154792</vt:lpwstr>
      </vt:variant>
      <vt:variant>
        <vt:lpwstr/>
      </vt:variant>
      <vt:variant>
        <vt:i4>1769557</vt:i4>
      </vt:variant>
      <vt:variant>
        <vt:i4>3</vt:i4>
      </vt:variant>
      <vt:variant>
        <vt:i4>0</vt:i4>
      </vt:variant>
      <vt:variant>
        <vt:i4>5</vt:i4>
      </vt:variant>
      <vt:variant>
        <vt:lpwstr>https://doi.org/10.1080/03075070802373040</vt:lpwstr>
      </vt:variant>
      <vt:variant>
        <vt:lpwstr/>
      </vt:variant>
      <vt:variant>
        <vt:i4>3276925</vt:i4>
      </vt:variant>
      <vt:variant>
        <vt:i4>0</vt:i4>
      </vt:variant>
      <vt:variant>
        <vt:i4>0</vt:i4>
      </vt:variant>
      <vt:variant>
        <vt:i4>5</vt:i4>
      </vt:variant>
      <vt:variant>
        <vt:lpwstr>https://doi.org/10.1080/1343822.2011.614468</vt:lpwstr>
      </vt:variant>
      <vt:variant>
        <vt:lpwstr/>
      </vt:variant>
      <vt:variant>
        <vt:i4>7733292</vt:i4>
      </vt:variant>
      <vt:variant>
        <vt:i4>6</vt:i4>
      </vt:variant>
      <vt:variant>
        <vt:i4>0</vt:i4>
      </vt:variant>
      <vt:variant>
        <vt:i4>5</vt:i4>
      </vt:variant>
      <vt:variant>
        <vt:lpwstr>http://efdergi.yyu.edu.tr/</vt:lpwstr>
      </vt:variant>
      <vt:variant>
        <vt:lpwstr/>
      </vt:variant>
      <vt:variant>
        <vt:i4>7733292</vt:i4>
      </vt:variant>
      <vt:variant>
        <vt:i4>0</vt:i4>
      </vt:variant>
      <vt:variant>
        <vt:i4>0</vt:i4>
      </vt:variant>
      <vt:variant>
        <vt:i4>5</vt:i4>
      </vt:variant>
      <vt:variant>
        <vt:lpwstr>http://efdergi.yyu.edu.tr/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Reviewer</dc:creator>
  <cp:lastModifiedBy>Nasip DEMİRKUŞ</cp:lastModifiedBy>
  <cp:revision>4</cp:revision>
  <dcterms:created xsi:type="dcterms:W3CDTF">2020-02-24T10:29:00Z</dcterms:created>
  <dcterms:modified xsi:type="dcterms:W3CDTF">2020-02-24T21:19:00Z</dcterms:modified>
</cp:coreProperties>
</file>