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FA25" w14:textId="77777777" w:rsidR="006A1C99" w:rsidRPr="0076565F" w:rsidRDefault="006A1C99" w:rsidP="006A1C99">
      <w:pPr>
        <w:ind w:left="0" w:firstLine="0"/>
        <w:jc w:val="center"/>
        <w:rPr>
          <w:b/>
        </w:rPr>
      </w:pPr>
      <w:r w:rsidRPr="0076565F">
        <w:rPr>
          <w:b/>
        </w:rPr>
        <w:t>Fen Bilimleri Öğretmen Adaylarının Kalibrasyon Becerisinin Öğrenme Stratejileri ve Öz Yeterlikle İlişkisinin İncelenmesi</w:t>
      </w:r>
      <w:r>
        <w:rPr>
          <w:rStyle w:val="DipnotBavurusu"/>
          <w:b/>
        </w:rPr>
        <w:footnoteReference w:id="1"/>
      </w:r>
    </w:p>
    <w:p w14:paraId="73CF3AB0" w14:textId="77777777" w:rsidR="006A1C99" w:rsidRPr="00A65615" w:rsidRDefault="006A1C99" w:rsidP="006A1C99">
      <w:pPr>
        <w:jc w:val="center"/>
        <w:rPr>
          <w:b/>
          <w:szCs w:val="24"/>
          <w:vertAlign w:val="superscript"/>
        </w:rPr>
      </w:pPr>
      <w:r>
        <w:rPr>
          <w:b/>
          <w:szCs w:val="24"/>
        </w:rPr>
        <w:t>Dekant KIRAN</w:t>
      </w:r>
      <w:r>
        <w:rPr>
          <w:b/>
          <w:szCs w:val="24"/>
          <w:vertAlign w:val="superscript"/>
        </w:rPr>
        <w:t>**</w:t>
      </w:r>
    </w:p>
    <w:p w14:paraId="6643FBD5" w14:textId="49D34E38" w:rsidR="00933C91" w:rsidRDefault="00101043" w:rsidP="00A67DC7">
      <w:pPr>
        <w:ind w:firstLine="0"/>
        <w:jc w:val="both"/>
        <w:rPr>
          <w:b/>
          <w:szCs w:val="24"/>
        </w:rPr>
      </w:pPr>
      <w:r w:rsidRPr="004D4696">
        <w:rPr>
          <w:b/>
          <w:szCs w:val="24"/>
        </w:rPr>
        <w:t>Öz</w:t>
      </w:r>
      <w:r>
        <w:rPr>
          <w:b/>
          <w:szCs w:val="24"/>
        </w:rPr>
        <w:t>:</w:t>
      </w:r>
      <w:r w:rsidR="003A1C6A">
        <w:rPr>
          <w:b/>
          <w:szCs w:val="24"/>
        </w:rPr>
        <w:t xml:space="preserve"> </w:t>
      </w:r>
      <w:r w:rsidR="00F14EEE" w:rsidRPr="00106574">
        <w:rPr>
          <w:szCs w:val="24"/>
        </w:rPr>
        <w:t>T</w:t>
      </w:r>
      <w:r w:rsidR="00F3184D" w:rsidRPr="00106574">
        <w:rPr>
          <w:szCs w:val="24"/>
        </w:rPr>
        <w:t>utarlı öz değerlendirmeler yap</w:t>
      </w:r>
      <w:r w:rsidR="00452673" w:rsidRPr="00106574">
        <w:rPr>
          <w:szCs w:val="24"/>
        </w:rPr>
        <w:t>abilmek</w:t>
      </w:r>
      <w:r w:rsidR="00F3184D" w:rsidRPr="00106574">
        <w:rPr>
          <w:szCs w:val="24"/>
        </w:rPr>
        <w:t xml:space="preserve"> öğrenme açısından kritik </w:t>
      </w:r>
      <w:r w:rsidR="00452673" w:rsidRPr="00106574">
        <w:rPr>
          <w:szCs w:val="24"/>
        </w:rPr>
        <w:t xml:space="preserve">bir </w:t>
      </w:r>
      <w:r w:rsidR="00F3184D" w:rsidRPr="00106574">
        <w:rPr>
          <w:szCs w:val="24"/>
        </w:rPr>
        <w:t xml:space="preserve">öneme sahiptir. Öz değerlendirmelerin yapılmasında ise kalibrasyon kavramı öne çıkmaktadır. Kalibrasyon, kişinin sergileyeceğini düşündüğü </w:t>
      </w:r>
      <w:r w:rsidR="00F14EEE" w:rsidRPr="00106574">
        <w:rPr>
          <w:szCs w:val="24"/>
        </w:rPr>
        <w:t>performans</w:t>
      </w:r>
      <w:r w:rsidR="00F3184D" w:rsidRPr="00106574">
        <w:rPr>
          <w:szCs w:val="24"/>
        </w:rPr>
        <w:t xml:space="preserve"> ile gerçek performansı</w:t>
      </w:r>
      <w:r w:rsidR="00EF684E" w:rsidRPr="00106574">
        <w:rPr>
          <w:szCs w:val="24"/>
        </w:rPr>
        <w:t xml:space="preserve"> arasındaki farktır. Bu açıdan kalibrasyon kişinin kendi becerilerini tartması bakımından</w:t>
      </w:r>
      <w:r w:rsidR="00452673" w:rsidRPr="00106574">
        <w:rPr>
          <w:szCs w:val="24"/>
        </w:rPr>
        <w:t xml:space="preserve"> önem taşımaktadır.</w:t>
      </w:r>
      <w:r w:rsidR="00F3184D" w:rsidRPr="00106574">
        <w:rPr>
          <w:szCs w:val="24"/>
        </w:rPr>
        <w:t xml:space="preserve"> </w:t>
      </w:r>
      <w:r w:rsidR="003A1C6A" w:rsidRPr="0076565F">
        <w:t xml:space="preserve">Bu çalışmanın amacı fen bilimleri öğretmen adaylarının organik kimya dersi başarı kalibrasyonlarının öz düzenleme stratejilerinden olan çaba düzenlemesi, </w:t>
      </w:r>
      <w:proofErr w:type="spellStart"/>
      <w:r w:rsidR="003A1C6A" w:rsidRPr="0076565F">
        <w:t>bilişüstü</w:t>
      </w:r>
      <w:proofErr w:type="spellEnd"/>
      <w:r w:rsidR="003A1C6A" w:rsidRPr="0076565F">
        <w:t xml:space="preserve"> stratejiler ve öz yeterlikleriyle ilişkisinin incelenmesidir.</w:t>
      </w:r>
      <w:r w:rsidR="00AC62AA">
        <w:t xml:space="preserve"> Nicel yöntemin kullanıldığı çalışma tarama deseninde gerçekleştirilmiştir.</w:t>
      </w:r>
      <w:r w:rsidR="003A1C6A" w:rsidRPr="0076565F">
        <w:t xml:space="preserve"> Çalışmaya 76 fen bilimleri öğretmen adayı katılmıştır. Çalışmanın verilerini organik kimya dersi yarıyıl sonu sınav notları, yarıyıl sonu sınavı öncesinde öğrencilerin almayı bekledikleri not tahminleri ve Öğrenmede </w:t>
      </w:r>
      <w:proofErr w:type="spellStart"/>
      <w:r w:rsidR="003A1C6A" w:rsidRPr="0076565F">
        <w:t>Güdüsel</w:t>
      </w:r>
      <w:proofErr w:type="spellEnd"/>
      <w:r w:rsidR="003A1C6A" w:rsidRPr="0076565F">
        <w:t xml:space="preserve"> Stratejiler </w:t>
      </w:r>
      <w:proofErr w:type="spellStart"/>
      <w:r w:rsidR="003A1C6A" w:rsidRPr="0076565F">
        <w:t>Ölçeği’nin</w:t>
      </w:r>
      <w:proofErr w:type="spellEnd"/>
      <w:r w:rsidR="003A1C6A" w:rsidRPr="0076565F">
        <w:t xml:space="preserve"> çaba düzenlemesi, biliş </w:t>
      </w:r>
      <w:r w:rsidR="00C817A3">
        <w:t xml:space="preserve">üstü </w:t>
      </w:r>
      <w:r w:rsidR="003A1C6A" w:rsidRPr="0076565F">
        <w:t xml:space="preserve">stratejiler ve öz yeterlik alt boyutlarının uygulanması ile elde edilen veriler oluşturmaktadır. Toplanan veriler betimleyici ve </w:t>
      </w:r>
      <w:proofErr w:type="spellStart"/>
      <w:r w:rsidR="003A1C6A" w:rsidRPr="0076565F">
        <w:t>çıkarımsal</w:t>
      </w:r>
      <w:proofErr w:type="spellEnd"/>
      <w:r w:rsidR="003A1C6A" w:rsidRPr="0076565F">
        <w:t xml:space="preserve"> istatistik yöntemleri ile analiz edilmiştir. Grup karşılaştırmaları için </w:t>
      </w:r>
      <w:proofErr w:type="spellStart"/>
      <w:r w:rsidR="003A1C6A" w:rsidRPr="0076565F">
        <w:t>varyans</w:t>
      </w:r>
      <w:proofErr w:type="spellEnd"/>
      <w:r w:rsidR="003A1C6A" w:rsidRPr="0076565F">
        <w:t xml:space="preserve"> analizleri, değişkenler arası ilişkilerin tespiti için korelasyon analizleri yapılmıştır. Analizler sonucunda fen bilimleri öğretmen adaylarının organik kimya dersi </w:t>
      </w:r>
      <w:r w:rsidR="001902B5">
        <w:t>yarıyıl</w:t>
      </w:r>
      <w:r w:rsidR="003A1C6A" w:rsidRPr="0076565F">
        <w:t xml:space="preserve"> sonu sınavında başarı kalibrasyonunun yüksek başarılı öğrenciler lehine olduğu, düşük başarılı öğrencilerin kalibrasyonlarının da düşük olduğu belirlenmiştir. Benzer şekilde çaba düzenlemesi ve biliş üstü stratejilerde yüksek başarılı öğrenciler lehine anlamlı farklılıklar ortaya çıkmış, öz yeterlikte ise yüksek başarılı öğrencilerin orta ve düşük başarılı öğrencilerle anlamlı şekilde farklılaştıkları tespit edilmiştir. Kalibrasyon becerisinin çaba düzenlemesi ve öz yeterlik ile negatif yönde zayıf bir ilişkisinin olduğu, ancak biliş üstü stratejilerle ilişkili olmadığı bulunmuştur. Çalışma bulguları ilgili alan yazın ışığında tartışılmıştır.</w:t>
      </w:r>
    </w:p>
    <w:p w14:paraId="5CF75BEE" w14:textId="56C6B6E6" w:rsidR="00101043" w:rsidRPr="002C0135" w:rsidRDefault="00933C91" w:rsidP="00A67DC7">
      <w:pPr>
        <w:ind w:firstLine="0"/>
        <w:jc w:val="both"/>
        <w:rPr>
          <w:szCs w:val="24"/>
        </w:rPr>
      </w:pPr>
      <w:r>
        <w:rPr>
          <w:b/>
          <w:szCs w:val="24"/>
        </w:rPr>
        <w:lastRenderedPageBreak/>
        <w:tab/>
      </w:r>
      <w:r w:rsidR="00101043" w:rsidRPr="002C0135">
        <w:rPr>
          <w:b/>
          <w:szCs w:val="24"/>
        </w:rPr>
        <w:t xml:space="preserve">Anahtar Kelimeler: </w:t>
      </w:r>
      <w:r w:rsidR="003A1C6A" w:rsidRPr="0076565F">
        <w:t>Biliş üstü stratejiler, Çaba düzenlemesi, Fen bilimleri öğretmen adayları, Kalibrasyon, Öz yeterlik</w:t>
      </w:r>
    </w:p>
    <w:p w14:paraId="188EABBB" w14:textId="77777777" w:rsidR="00101043" w:rsidRDefault="00101043" w:rsidP="00101043">
      <w:pPr>
        <w:tabs>
          <w:tab w:val="left" w:pos="0"/>
        </w:tabs>
        <w:jc w:val="center"/>
        <w:rPr>
          <w:b/>
          <w:szCs w:val="24"/>
          <w:lang w:val="en-US"/>
        </w:rPr>
      </w:pPr>
    </w:p>
    <w:p w14:paraId="170CFCD0" w14:textId="77777777" w:rsidR="005C056C" w:rsidRPr="0076565F" w:rsidRDefault="005C056C" w:rsidP="005C056C">
      <w:pPr>
        <w:ind w:left="0" w:firstLine="0"/>
        <w:jc w:val="center"/>
        <w:rPr>
          <w:b/>
          <w:lang w:val="en-US"/>
        </w:rPr>
      </w:pPr>
      <w:r w:rsidRPr="0076565F">
        <w:rPr>
          <w:b/>
          <w:lang w:val="en-US"/>
        </w:rPr>
        <w:t xml:space="preserve">Examining Preservice Science Teachers’ Calibration in Relation to </w:t>
      </w:r>
    </w:p>
    <w:p w14:paraId="684B760D" w14:textId="77777777" w:rsidR="005C056C" w:rsidRPr="0076565F" w:rsidRDefault="005C056C" w:rsidP="005C056C">
      <w:pPr>
        <w:ind w:left="0" w:firstLine="0"/>
        <w:jc w:val="center"/>
        <w:rPr>
          <w:b/>
          <w:lang w:val="en-US"/>
        </w:rPr>
      </w:pPr>
      <w:r w:rsidRPr="0076565F">
        <w:rPr>
          <w:b/>
          <w:lang w:val="en-US"/>
        </w:rPr>
        <w:t>Learning Strategies and Self-Efficacy</w:t>
      </w:r>
    </w:p>
    <w:p w14:paraId="4293631B" w14:textId="37A567A3" w:rsidR="005C056C" w:rsidRPr="0076565F" w:rsidRDefault="00101043" w:rsidP="005C056C">
      <w:pPr>
        <w:ind w:left="0" w:firstLine="0"/>
        <w:jc w:val="both"/>
        <w:rPr>
          <w:lang w:val="en-US"/>
        </w:rPr>
      </w:pPr>
      <w:r w:rsidRPr="006D5532">
        <w:rPr>
          <w:b/>
          <w:szCs w:val="24"/>
          <w:lang w:val="en-GB"/>
        </w:rPr>
        <w:t xml:space="preserve">Abstract: </w:t>
      </w:r>
      <w:r w:rsidR="005F7899" w:rsidRPr="00106574">
        <w:rPr>
          <w:szCs w:val="24"/>
          <w:lang w:val="en-GB"/>
        </w:rPr>
        <w:t xml:space="preserve">Consistent self-evaluations </w:t>
      </w:r>
      <w:r w:rsidR="00C61D6E" w:rsidRPr="00106574">
        <w:rPr>
          <w:szCs w:val="24"/>
          <w:lang w:val="en-GB"/>
        </w:rPr>
        <w:t>have</w:t>
      </w:r>
      <w:r w:rsidR="005F7899" w:rsidRPr="00106574">
        <w:rPr>
          <w:szCs w:val="24"/>
          <w:lang w:val="en-GB"/>
        </w:rPr>
        <w:t xml:space="preserve"> critical importance for learning. Calibration is prominent for making self-evaluations. Calibration is defined as the difference between the exhibited and expected performance on a task. Thus, calibration is </w:t>
      </w:r>
      <w:r w:rsidR="00773599" w:rsidRPr="00106574">
        <w:rPr>
          <w:szCs w:val="24"/>
          <w:lang w:val="en-GB"/>
        </w:rPr>
        <w:t>important for evaluating possessed capabilities.</w:t>
      </w:r>
      <w:r w:rsidR="00773599">
        <w:rPr>
          <w:b/>
          <w:szCs w:val="24"/>
          <w:lang w:val="en-GB"/>
        </w:rPr>
        <w:t xml:space="preserve"> </w:t>
      </w:r>
      <w:r w:rsidR="005C056C" w:rsidRPr="0076565F">
        <w:rPr>
          <w:lang w:val="en-US"/>
        </w:rPr>
        <w:t xml:space="preserve">The aim of this </w:t>
      </w:r>
      <w:r w:rsidR="00773599">
        <w:rPr>
          <w:lang w:val="en-US"/>
        </w:rPr>
        <w:t>research</w:t>
      </w:r>
      <w:r w:rsidR="00773599" w:rsidRPr="0076565F">
        <w:rPr>
          <w:lang w:val="en-US"/>
        </w:rPr>
        <w:t xml:space="preserve"> </w:t>
      </w:r>
      <w:r w:rsidR="005C056C" w:rsidRPr="0076565F">
        <w:rPr>
          <w:lang w:val="en-US"/>
        </w:rPr>
        <w:t xml:space="preserve">is to examine the relationships among pre-service science teachers' organic chemistry course achievement calibrations, effort regulation, metacognitive strategies and self-efficacy. The participants of the </w:t>
      </w:r>
      <w:r w:rsidR="00773599">
        <w:rPr>
          <w:lang w:val="en-US"/>
        </w:rPr>
        <w:t>research</w:t>
      </w:r>
      <w:r w:rsidR="00773599" w:rsidRPr="0076565F">
        <w:rPr>
          <w:lang w:val="en-US"/>
        </w:rPr>
        <w:t xml:space="preserve"> </w:t>
      </w:r>
      <w:r w:rsidR="005C056C" w:rsidRPr="0076565F">
        <w:rPr>
          <w:lang w:val="en-US"/>
        </w:rPr>
        <w:t>were 76 pre-service science teachers. The data of the study consist of the organic chemistry course final exam grades, the grades expected by the students before the final exam, and administration of the effort regulation, metacognitive strategies, and self-efficacy sub-dimensions of the Motivated Strategies for Learning Questionnaire. The collected data were analyzed with descriptive and inferential statistical methods. Variance analyzes were performed for group comparisons and correlation analyzes were performed to determine the relationships between variables. As a result of the analysis, it was found that the achievement calibration of the preservice science teachers in the organic chemistry course final exam was in favor of the high-achieving students, and the calibrations of the low-achieving students were low. Similarly, significant differences emerged in favor of high-achieving students in effort regulation and metacognitive strategies, and it was found that high-achieving students differed significantly from medium and low-achieving students in self-efficacy. It was found that calibration had a weak negative relationship with effort regulation and self-efficacy, but no relationship with metacognitive strategies. Findings were discussed in light of the related literature.</w:t>
      </w:r>
    </w:p>
    <w:p w14:paraId="52A34880" w14:textId="77777777" w:rsidR="0044784D" w:rsidRPr="0076565F" w:rsidRDefault="00191B8D" w:rsidP="004D51BC">
      <w:pPr>
        <w:ind w:left="0" w:firstLine="0"/>
        <w:jc w:val="both"/>
        <w:rPr>
          <w:b/>
          <w:lang w:val="en-US"/>
        </w:rPr>
      </w:pPr>
      <w:r w:rsidRPr="0076565F">
        <w:rPr>
          <w:b/>
          <w:lang w:val="en-US"/>
        </w:rPr>
        <w:tab/>
      </w:r>
      <w:r w:rsidR="00DE6161" w:rsidRPr="0076565F">
        <w:rPr>
          <w:b/>
          <w:lang w:val="en-US"/>
        </w:rPr>
        <w:t xml:space="preserve">Keywords: </w:t>
      </w:r>
      <w:r w:rsidR="00DE6161" w:rsidRPr="0076565F">
        <w:rPr>
          <w:lang w:val="en-US"/>
        </w:rPr>
        <w:t xml:space="preserve">Calibration, </w:t>
      </w:r>
      <w:r w:rsidR="00BC58B6" w:rsidRPr="0076565F">
        <w:rPr>
          <w:lang w:val="en-US"/>
        </w:rPr>
        <w:t>E</w:t>
      </w:r>
      <w:r w:rsidR="00DE6161" w:rsidRPr="0076565F">
        <w:rPr>
          <w:lang w:val="en-US"/>
        </w:rPr>
        <w:t>ffort regulation,</w:t>
      </w:r>
      <w:r w:rsidR="00BC58B6" w:rsidRPr="0076565F">
        <w:rPr>
          <w:lang w:val="en-US"/>
        </w:rPr>
        <w:t xml:space="preserve"> M</w:t>
      </w:r>
      <w:r w:rsidR="00DE6161" w:rsidRPr="0076565F">
        <w:rPr>
          <w:lang w:val="en-US"/>
        </w:rPr>
        <w:t xml:space="preserve">etacognitive strategies, </w:t>
      </w:r>
      <w:r w:rsidR="00BC58B6" w:rsidRPr="0076565F">
        <w:rPr>
          <w:lang w:val="en-US"/>
        </w:rPr>
        <w:t>Preservice science teachers, Self-efficacy</w:t>
      </w:r>
      <w:r w:rsidR="00BC58B6" w:rsidRPr="0076565F">
        <w:rPr>
          <w:b/>
          <w:lang w:val="en-US"/>
        </w:rPr>
        <w:t xml:space="preserve"> </w:t>
      </w:r>
    </w:p>
    <w:p w14:paraId="5D214697" w14:textId="77777777" w:rsidR="0044784D" w:rsidRPr="0076565F" w:rsidRDefault="0044784D" w:rsidP="004D51BC">
      <w:pPr>
        <w:ind w:left="0" w:firstLine="0"/>
        <w:jc w:val="both"/>
        <w:rPr>
          <w:b/>
        </w:rPr>
      </w:pPr>
    </w:p>
    <w:p w14:paraId="292D95B6" w14:textId="77777777" w:rsidR="00035A33" w:rsidRPr="0076565F" w:rsidRDefault="00035A33" w:rsidP="004D51BC">
      <w:pPr>
        <w:ind w:left="0" w:firstLine="0"/>
        <w:jc w:val="center"/>
        <w:rPr>
          <w:b/>
        </w:rPr>
      </w:pPr>
      <w:r w:rsidRPr="0076565F">
        <w:rPr>
          <w:b/>
        </w:rPr>
        <w:t>Giriş</w:t>
      </w:r>
    </w:p>
    <w:p w14:paraId="54D53185" w14:textId="03EA2D2A" w:rsidR="00350266" w:rsidRPr="0076565F" w:rsidRDefault="00FE3DFA" w:rsidP="004D51BC">
      <w:pPr>
        <w:ind w:left="0" w:firstLine="0"/>
        <w:jc w:val="both"/>
      </w:pPr>
      <w:r w:rsidRPr="0076565F">
        <w:tab/>
      </w:r>
      <w:r w:rsidR="00B67A36" w:rsidRPr="0076565F">
        <w:t xml:space="preserve">Başarı kalibrasyonu ya da kısa adıyla </w:t>
      </w:r>
      <w:proofErr w:type="gramStart"/>
      <w:r w:rsidR="00B67A36" w:rsidRPr="0076565F">
        <w:t>kalibrasyon</w:t>
      </w:r>
      <w:proofErr w:type="gramEnd"/>
      <w:r w:rsidR="00B67A36" w:rsidRPr="0076565F">
        <w:t>, son yıllarda eğitim araştırmacıların</w:t>
      </w:r>
      <w:r w:rsidR="00CD1382" w:rsidRPr="0076565F">
        <w:t>ın</w:t>
      </w:r>
      <w:r w:rsidR="00B67A36" w:rsidRPr="0076565F">
        <w:t xml:space="preserve"> ilgisini çekmiş ve gittikçe artan </w:t>
      </w:r>
      <w:r w:rsidR="00CD1382" w:rsidRPr="0076565F">
        <w:t xml:space="preserve">bir ilgiyle </w:t>
      </w:r>
      <w:proofErr w:type="spellStart"/>
      <w:r w:rsidR="00CD1382" w:rsidRPr="0076565F">
        <w:t>araştırılagelmiştir</w:t>
      </w:r>
      <w:proofErr w:type="spellEnd"/>
      <w:r w:rsidR="00B67A36" w:rsidRPr="0076565F">
        <w:t xml:space="preserve"> (</w:t>
      </w:r>
      <w:r w:rsidR="00D52876">
        <w:t xml:space="preserve">Emory ve </w:t>
      </w:r>
      <w:proofErr w:type="spellStart"/>
      <w:r w:rsidR="00D52876">
        <w:t>Luo</w:t>
      </w:r>
      <w:proofErr w:type="spellEnd"/>
      <w:r w:rsidR="00D52876">
        <w:t xml:space="preserve">, 2020; </w:t>
      </w:r>
      <w:proofErr w:type="spellStart"/>
      <w:r w:rsidR="001F4D5B">
        <w:t>Osterhage</w:t>
      </w:r>
      <w:proofErr w:type="spellEnd"/>
      <w:r w:rsidR="001F4D5B">
        <w:t xml:space="preserve">, 2021; </w:t>
      </w:r>
      <w:proofErr w:type="spellStart"/>
      <w:r w:rsidR="00F164F3">
        <w:rPr>
          <w:color w:val="222222"/>
          <w:szCs w:val="20"/>
          <w:shd w:val="clear" w:color="auto" w:fill="FFFFFF"/>
        </w:rPr>
        <w:t>Rachmatullah</w:t>
      </w:r>
      <w:proofErr w:type="spellEnd"/>
      <w:r w:rsidR="00F164F3" w:rsidRPr="00BA484C">
        <w:rPr>
          <w:color w:val="222222"/>
          <w:szCs w:val="20"/>
          <w:shd w:val="clear" w:color="auto" w:fill="FFFFFF"/>
        </w:rPr>
        <w:t xml:space="preserve"> </w:t>
      </w:r>
      <w:r w:rsidR="00F164F3">
        <w:rPr>
          <w:color w:val="222222"/>
          <w:szCs w:val="20"/>
          <w:shd w:val="clear" w:color="auto" w:fill="FFFFFF"/>
        </w:rPr>
        <w:t>ve Ha, 2019;</w:t>
      </w:r>
      <w:r w:rsidR="00F164F3" w:rsidRPr="00BA484C">
        <w:rPr>
          <w:color w:val="222222"/>
          <w:szCs w:val="20"/>
          <w:shd w:val="clear" w:color="auto" w:fill="FFFFFF"/>
        </w:rPr>
        <w:t xml:space="preserve"> </w:t>
      </w:r>
      <w:proofErr w:type="spellStart"/>
      <w:r w:rsidR="003275CB">
        <w:t>van</w:t>
      </w:r>
      <w:proofErr w:type="spellEnd"/>
      <w:r w:rsidR="003275CB">
        <w:t xml:space="preserve"> </w:t>
      </w:r>
      <w:proofErr w:type="spellStart"/>
      <w:r w:rsidR="003275CB">
        <w:t>Laer</w:t>
      </w:r>
      <w:proofErr w:type="spellEnd"/>
      <w:r w:rsidR="003275CB">
        <w:t xml:space="preserve"> ve Elen, 2019;</w:t>
      </w:r>
      <w:r w:rsidR="00B67A36" w:rsidRPr="0076565F">
        <w:t xml:space="preserve">). Kalibrasyon, Türkçeye </w:t>
      </w:r>
      <w:r w:rsidR="00B67A36" w:rsidRPr="0076565F">
        <w:rPr>
          <w:i/>
        </w:rPr>
        <w:t>ölçümleme</w:t>
      </w:r>
      <w:r w:rsidR="00B67A36" w:rsidRPr="0076565F">
        <w:t xml:space="preserve"> o</w:t>
      </w:r>
      <w:r w:rsidR="00CD1382" w:rsidRPr="0076565F">
        <w:t>larak çevrilmiştir (</w:t>
      </w:r>
      <w:r w:rsidR="001902B5">
        <w:t xml:space="preserve">Türk Dil Kurumu, </w:t>
      </w:r>
      <w:r w:rsidR="00CD1382" w:rsidRPr="0076565F">
        <w:t xml:space="preserve">TDK, 2021). </w:t>
      </w:r>
      <w:r w:rsidR="00B67A36" w:rsidRPr="0076565F">
        <w:t xml:space="preserve">Ancak yaygın kullanımından dolayı bu </w:t>
      </w:r>
      <w:r w:rsidR="00B67A36" w:rsidRPr="0076565F">
        <w:lastRenderedPageBreak/>
        <w:t xml:space="preserve">çalışmada </w:t>
      </w:r>
      <w:r w:rsidR="00B67A36" w:rsidRPr="0076565F">
        <w:rPr>
          <w:i/>
        </w:rPr>
        <w:t>kalibrasyon</w:t>
      </w:r>
      <w:r w:rsidR="00B67A36" w:rsidRPr="0076565F">
        <w:t xml:space="preserve"> ifadesi kullanılacaktır.</w:t>
      </w:r>
      <w:r w:rsidR="00CD1382" w:rsidRPr="0076565F">
        <w:t xml:space="preserve"> </w:t>
      </w:r>
      <w:r w:rsidR="0037621A" w:rsidRPr="0076565F">
        <w:t>Kalibrasyon</w:t>
      </w:r>
      <w:r w:rsidR="00F8023F" w:rsidRPr="0076565F">
        <w:t>, kişinin herhangi bir durumla ilgili sergileyebileceğini düşündüğü performansı ile gerçek (asıl) performansı arasında meydana gelen fark olarak tanımlanmaktadır (</w:t>
      </w:r>
      <w:r w:rsidR="00D3518F" w:rsidRPr="0076565F">
        <w:t xml:space="preserve">Alexander, 2013; </w:t>
      </w:r>
      <w:r w:rsidR="00CD1382" w:rsidRPr="0076565F">
        <w:t xml:space="preserve">Bol </w:t>
      </w:r>
      <w:r w:rsidR="00AC62AA">
        <w:t>ve</w:t>
      </w:r>
      <w:r w:rsidR="00CD1382" w:rsidRPr="0076565F">
        <w:t xml:space="preserve"> Hacker, 2012</w:t>
      </w:r>
      <w:r w:rsidR="00F164F3">
        <w:t>;</w:t>
      </w:r>
      <w:r w:rsidR="00F164F3" w:rsidRPr="00F164F3">
        <w:t xml:space="preserve"> </w:t>
      </w:r>
      <w:proofErr w:type="spellStart"/>
      <w:r w:rsidR="00F164F3">
        <w:t>Osterhage</w:t>
      </w:r>
      <w:proofErr w:type="spellEnd"/>
      <w:r w:rsidR="00F164F3">
        <w:t>, 2021</w:t>
      </w:r>
      <w:r w:rsidR="00D3518F" w:rsidRPr="0076565F">
        <w:t>).</w:t>
      </w:r>
      <w:r w:rsidR="00CD1382" w:rsidRPr="0076565F">
        <w:t xml:space="preserve"> Bir başka tanımda ise</w:t>
      </w:r>
      <w:r w:rsidR="0090123A" w:rsidRPr="0076565F">
        <w:t xml:space="preserve"> kalibrasyon kişinin bir durumda</w:t>
      </w:r>
      <w:r w:rsidR="00CD1382" w:rsidRPr="0076565F">
        <w:t xml:space="preserve"> sergileyebileceğ</w:t>
      </w:r>
      <w:r w:rsidR="00DA2AD4" w:rsidRPr="0076565F">
        <w:t>i performansa</w:t>
      </w:r>
      <w:r w:rsidR="00CD1382" w:rsidRPr="0076565F">
        <w:t xml:space="preserve"> </w:t>
      </w:r>
      <w:r w:rsidR="0090123A" w:rsidRPr="0076565F">
        <w:t xml:space="preserve">yönelik </w:t>
      </w:r>
      <w:r w:rsidR="00CD1382" w:rsidRPr="0076565F">
        <w:t>yargısı ile gerçek performansı arasındaki uyum derecesidir (Keren, 1991).</w:t>
      </w:r>
      <w:r w:rsidR="00F9557A" w:rsidRPr="0076565F">
        <w:t xml:space="preserve"> </w:t>
      </w:r>
      <w:r w:rsidR="00F33C15" w:rsidRPr="0076565F">
        <w:t>Performans yargısı kavramı yeteneklerinin farkında olmak ve ne yapabileceğini kestirmek olarak açıklanabilir. Kalibrasyonu e</w:t>
      </w:r>
      <w:r w:rsidR="0090123A" w:rsidRPr="0076565F">
        <w:t xml:space="preserve">ğitim uygulamalarından bir örnekle açıklamak gerekirse, </w:t>
      </w:r>
      <w:r w:rsidR="00F33C15" w:rsidRPr="0076565F">
        <w:t>öğrencilerin sınava girmeden önce alacaklarını tahmin ettikleri puanla sınavdan ald</w:t>
      </w:r>
      <w:r w:rsidR="005F3B21" w:rsidRPr="0076565F">
        <w:t xml:space="preserve">ıkları </w:t>
      </w:r>
      <w:r w:rsidR="00F33C15" w:rsidRPr="0076565F">
        <w:t>puanın birbirine ne kadar yakın olduğu</w:t>
      </w:r>
      <w:r w:rsidR="005F3B21" w:rsidRPr="0076565F">
        <w:t>,</w:t>
      </w:r>
      <w:r w:rsidR="00F33C15" w:rsidRPr="0076565F">
        <w:t xml:space="preserve"> bir kalibrasyon göstergesidir. Buna göre sınav öncesi tahmin edilen not ile sınavdan alınan notun farkı sıfıra ne kadar yakınsa</w:t>
      </w:r>
      <w:r w:rsidR="005F3B21" w:rsidRPr="0076565F">
        <w:t>,</w:t>
      </w:r>
      <w:r w:rsidR="00F33C15" w:rsidRPr="0076565F">
        <w:t xml:space="preserve"> o öğrenci için kalibrasyonu yüksek denebilir. Aksi durumda ise fark açıldıkça kalibrasyon da düşük olarak ifade edilecektir.</w:t>
      </w:r>
      <w:r w:rsidR="00F744CD" w:rsidRPr="0076565F">
        <w:t xml:space="preserve"> </w:t>
      </w:r>
      <w:r w:rsidR="00350266" w:rsidRPr="0076565F">
        <w:t xml:space="preserve">Kalibrasyonda son </w:t>
      </w:r>
      <w:r w:rsidR="003F7D06" w:rsidRPr="0076565F">
        <w:t>ölçümler</w:t>
      </w:r>
      <w:r w:rsidR="00350266" w:rsidRPr="0076565F">
        <w:t xml:space="preserve"> ön ölçümlerden daha doğru</w:t>
      </w:r>
      <w:r w:rsidR="003F7D06" w:rsidRPr="0076565F">
        <w:t xml:space="preserve"> sonuçlar vermektedir. (</w:t>
      </w:r>
      <w:proofErr w:type="spellStart"/>
      <w:r w:rsidR="00616335">
        <w:t>Gutierrez</w:t>
      </w:r>
      <w:proofErr w:type="spellEnd"/>
      <w:r w:rsidR="00616335">
        <w:t xml:space="preserve"> ve </w:t>
      </w:r>
      <w:proofErr w:type="spellStart"/>
      <w:r w:rsidR="00616335">
        <w:t>Price</w:t>
      </w:r>
      <w:proofErr w:type="spellEnd"/>
      <w:r w:rsidR="00616335">
        <w:t xml:space="preserve">, 2016; </w:t>
      </w:r>
      <w:r w:rsidR="003F7D06" w:rsidRPr="0076565F">
        <w:t>Hacker</w:t>
      </w:r>
      <w:r w:rsidR="00F744CD" w:rsidRPr="0076565F">
        <w:t xml:space="preserve">, Bol, </w:t>
      </w:r>
      <w:proofErr w:type="spellStart"/>
      <w:proofErr w:type="gramStart"/>
      <w:r w:rsidR="00F744CD" w:rsidRPr="0076565F">
        <w:t>Horgan</w:t>
      </w:r>
      <w:proofErr w:type="spellEnd"/>
      <w:r w:rsidR="00F744CD" w:rsidRPr="0076565F">
        <w:t>,</w:t>
      </w:r>
      <w:proofErr w:type="gramEnd"/>
      <w:r w:rsidR="00F744CD" w:rsidRPr="0076565F">
        <w:t xml:space="preserve"> </w:t>
      </w:r>
      <w:r w:rsidR="00AC62AA">
        <w:t>ve</w:t>
      </w:r>
      <w:r w:rsidR="00F744CD" w:rsidRPr="0076565F">
        <w:t xml:space="preserve"> </w:t>
      </w:r>
      <w:proofErr w:type="spellStart"/>
      <w:r w:rsidR="00F744CD" w:rsidRPr="0076565F">
        <w:t>Rakow</w:t>
      </w:r>
      <w:proofErr w:type="spellEnd"/>
      <w:r w:rsidR="00350266" w:rsidRPr="0076565F">
        <w:t>, 2000)</w:t>
      </w:r>
      <w:r w:rsidR="003F7D06" w:rsidRPr="0076565F">
        <w:t xml:space="preserve">. </w:t>
      </w:r>
      <w:r w:rsidR="00F744CD" w:rsidRPr="0076565F">
        <w:t>Örneğin</w:t>
      </w:r>
      <w:r w:rsidR="00350266" w:rsidRPr="0076565F">
        <w:t xml:space="preserve"> öğren</w:t>
      </w:r>
      <w:r w:rsidR="003F7D06" w:rsidRPr="0076565F">
        <w:t>cilerin sınavı yaptıktan sonra</w:t>
      </w:r>
      <w:r w:rsidR="00350266" w:rsidRPr="0076565F">
        <w:t xml:space="preserve"> sınavdan almayı beklediği not tahmini, sınava girmeden önce alacağını düşündüğü not tahmininden daha tutarlıdır. Bu da sınav sonrası tahminlerin daha yüksek </w:t>
      </w:r>
      <w:proofErr w:type="gramStart"/>
      <w:r w:rsidR="00350266" w:rsidRPr="0076565F">
        <w:t>kalibrasyon</w:t>
      </w:r>
      <w:proofErr w:type="gramEnd"/>
      <w:r w:rsidR="00350266" w:rsidRPr="0076565F">
        <w:t xml:space="preserve"> sunduğunu göstermektedir</w:t>
      </w:r>
      <w:r w:rsidR="009B4340" w:rsidRPr="0076565F">
        <w:t xml:space="preserve"> (</w:t>
      </w:r>
      <w:proofErr w:type="spellStart"/>
      <w:r w:rsidR="009B4340" w:rsidRPr="0076565F">
        <w:t>Zabrucky</w:t>
      </w:r>
      <w:proofErr w:type="spellEnd"/>
      <w:r w:rsidR="009B4340" w:rsidRPr="0076565F">
        <w:t xml:space="preserve">, </w:t>
      </w:r>
      <w:proofErr w:type="spellStart"/>
      <w:r w:rsidR="009A0646" w:rsidRPr="0076565F">
        <w:t>Agler</w:t>
      </w:r>
      <w:proofErr w:type="spellEnd"/>
      <w:r w:rsidR="009B4340" w:rsidRPr="0076565F">
        <w:t xml:space="preserve">, </w:t>
      </w:r>
      <w:r w:rsidR="00AC62AA">
        <w:t>ve</w:t>
      </w:r>
      <w:r w:rsidR="009B4340" w:rsidRPr="0076565F">
        <w:t xml:space="preserve"> </w:t>
      </w:r>
      <w:proofErr w:type="spellStart"/>
      <w:r w:rsidR="009B4340" w:rsidRPr="0076565F">
        <w:t>Moore</w:t>
      </w:r>
      <w:proofErr w:type="spellEnd"/>
      <w:r w:rsidR="009B4340" w:rsidRPr="0076565F">
        <w:t>, 2009)</w:t>
      </w:r>
      <w:r w:rsidR="00350266" w:rsidRPr="0076565F">
        <w:t xml:space="preserve">. Hacker ve </w:t>
      </w:r>
      <w:proofErr w:type="spellStart"/>
      <w:r w:rsidR="00350266" w:rsidRPr="0076565F">
        <w:t>diğ</w:t>
      </w:r>
      <w:proofErr w:type="spellEnd"/>
      <w:r w:rsidR="00350266" w:rsidRPr="0076565F">
        <w:t xml:space="preserve">. (2000) bu durumu sınava </w:t>
      </w:r>
      <w:r w:rsidR="00712B40" w:rsidRPr="0076565F">
        <w:t xml:space="preserve">maruz kalma ve sorulara </w:t>
      </w:r>
      <w:r w:rsidR="00350266" w:rsidRPr="0076565F">
        <w:t>aşina olma</w:t>
      </w:r>
      <w:r w:rsidR="00712B40" w:rsidRPr="0076565F">
        <w:t xml:space="preserve"> durumlarının bir sonucu olarak değerlendirmektedir. Sınav sorularını görmeden önce alınacak notla ilgili yapılan tahminler sınavdan sonra yapılan tahminlerden daha zayıf olmaktadır. </w:t>
      </w:r>
    </w:p>
    <w:p w14:paraId="11D9A352" w14:textId="194C5CD9" w:rsidR="00C66ED2" w:rsidRPr="00C70E6E" w:rsidRDefault="00FE3DFA" w:rsidP="00C82C6E">
      <w:pPr>
        <w:ind w:left="0" w:firstLine="0"/>
        <w:jc w:val="both"/>
        <w:rPr>
          <w:color w:val="2C2E35"/>
        </w:rPr>
      </w:pPr>
      <w:r w:rsidRPr="0076565F">
        <w:tab/>
      </w:r>
      <w:r w:rsidR="00F744CD" w:rsidRPr="0076565F">
        <w:t>Kalibrasyon kavramı başarı</w:t>
      </w:r>
      <w:r w:rsidR="00101E17" w:rsidRPr="0076565F">
        <w:t>,</w:t>
      </w:r>
      <w:r w:rsidR="00F744CD" w:rsidRPr="0076565F">
        <w:t xml:space="preserve"> öz düzenleme </w:t>
      </w:r>
      <w:r w:rsidR="00CB0BC1" w:rsidRPr="0076565F">
        <w:t>stratejileri</w:t>
      </w:r>
      <w:r w:rsidR="00101E17" w:rsidRPr="0076565F">
        <w:t xml:space="preserve"> ve motivasyon</w:t>
      </w:r>
      <w:r w:rsidR="00F744CD" w:rsidRPr="0076565F">
        <w:t xml:space="preserve"> ile ilişkilendirilerek araştırılmıştır. Kalibrasyon ve başarı seviyesini ilişkilendiren çalışmalar tutarlı </w:t>
      </w:r>
      <w:r w:rsidR="00CB0BC1" w:rsidRPr="0076565F">
        <w:t>bir</w:t>
      </w:r>
      <w:r w:rsidR="00F744CD" w:rsidRPr="0076565F">
        <w:t xml:space="preserve"> biçimde başarı ve </w:t>
      </w:r>
      <w:proofErr w:type="gramStart"/>
      <w:r w:rsidR="00F744CD" w:rsidRPr="0076565F">
        <w:t>kalibrasyon</w:t>
      </w:r>
      <w:proofErr w:type="gramEnd"/>
      <w:r w:rsidR="00F744CD" w:rsidRPr="0076565F">
        <w:t xml:space="preserve"> arasında </w:t>
      </w:r>
      <w:r w:rsidR="00CA6430">
        <w:t>pozitif bir ilişki</w:t>
      </w:r>
      <w:r w:rsidR="00F744CD" w:rsidRPr="0076565F">
        <w:t xml:space="preserve"> olduğunu göstermektedir </w:t>
      </w:r>
      <w:r w:rsidR="00F744CD" w:rsidRPr="00E57A40">
        <w:rPr>
          <w:color w:val="000000" w:themeColor="text1"/>
        </w:rPr>
        <w:t>(</w:t>
      </w:r>
      <w:r w:rsidR="00C82C6E" w:rsidRPr="00E57A40">
        <w:rPr>
          <w:color w:val="000000" w:themeColor="text1"/>
        </w:rPr>
        <w:t xml:space="preserve">Dang, </w:t>
      </w:r>
      <w:proofErr w:type="spellStart"/>
      <w:r w:rsidR="00C82C6E" w:rsidRPr="00E57A40">
        <w:rPr>
          <w:color w:val="000000" w:themeColor="text1"/>
        </w:rPr>
        <w:t>Chiang</w:t>
      </w:r>
      <w:proofErr w:type="spellEnd"/>
      <w:r w:rsidR="00C82C6E" w:rsidRPr="00E57A40">
        <w:rPr>
          <w:color w:val="000000" w:themeColor="text1"/>
        </w:rPr>
        <w:t>, Brown ve McDonald, 2018</w:t>
      </w:r>
      <w:r w:rsidR="001902B5" w:rsidRPr="00E57A40">
        <w:rPr>
          <w:color w:val="000000" w:themeColor="text1"/>
        </w:rPr>
        <w:t>;</w:t>
      </w:r>
      <w:r w:rsidR="00A46EFB" w:rsidRPr="00E57A40">
        <w:rPr>
          <w:color w:val="000000" w:themeColor="text1"/>
        </w:rPr>
        <w:t xml:space="preserve"> </w:t>
      </w:r>
      <w:proofErr w:type="spellStart"/>
      <w:r w:rsidR="00C82C6E" w:rsidRPr="00E57A40">
        <w:rPr>
          <w:color w:val="000000" w:themeColor="text1"/>
        </w:rPr>
        <w:t>Jensen</w:t>
      </w:r>
      <w:proofErr w:type="spellEnd"/>
      <w:r w:rsidR="00C82C6E" w:rsidRPr="00E57A40">
        <w:rPr>
          <w:color w:val="000000" w:themeColor="text1"/>
        </w:rPr>
        <w:t xml:space="preserve"> ve </w:t>
      </w:r>
      <w:proofErr w:type="spellStart"/>
      <w:r w:rsidR="00C82C6E" w:rsidRPr="00E57A40">
        <w:rPr>
          <w:color w:val="000000" w:themeColor="text1"/>
        </w:rPr>
        <w:t>Moore</w:t>
      </w:r>
      <w:proofErr w:type="spellEnd"/>
      <w:r w:rsidR="00C82C6E" w:rsidRPr="00E57A40">
        <w:rPr>
          <w:color w:val="000000" w:themeColor="text1"/>
        </w:rPr>
        <w:t xml:space="preserve">, 2008; </w:t>
      </w:r>
      <w:proofErr w:type="spellStart"/>
      <w:r w:rsidR="00A46EFB" w:rsidRPr="00E57A40">
        <w:rPr>
          <w:color w:val="000000" w:themeColor="text1"/>
        </w:rPr>
        <w:t>Osterhage</w:t>
      </w:r>
      <w:proofErr w:type="spellEnd"/>
      <w:r w:rsidR="00A46EFB" w:rsidRPr="00E57A40">
        <w:rPr>
          <w:color w:val="000000" w:themeColor="text1"/>
        </w:rPr>
        <w:t>,</w:t>
      </w:r>
      <w:r w:rsidR="00A46EFB" w:rsidRPr="00E57A40">
        <w:rPr>
          <w:color w:val="000000" w:themeColor="text1"/>
          <w:sz w:val="28"/>
        </w:rPr>
        <w:t xml:space="preserve"> </w:t>
      </w:r>
      <w:proofErr w:type="spellStart"/>
      <w:r w:rsidR="00A46EFB" w:rsidRPr="00E57A40">
        <w:rPr>
          <w:color w:val="000000" w:themeColor="text1"/>
        </w:rPr>
        <w:t>Usher</w:t>
      </w:r>
      <w:proofErr w:type="spellEnd"/>
      <w:r w:rsidR="00A46EFB" w:rsidRPr="00E57A40">
        <w:rPr>
          <w:color w:val="000000" w:themeColor="text1"/>
        </w:rPr>
        <w:t>,</w:t>
      </w:r>
      <w:r w:rsidR="00A46EFB" w:rsidRPr="00E57A40">
        <w:rPr>
          <w:color w:val="000000" w:themeColor="text1"/>
          <w:sz w:val="28"/>
        </w:rPr>
        <w:t xml:space="preserve"> </w:t>
      </w:r>
      <w:proofErr w:type="spellStart"/>
      <w:r w:rsidR="00A46EFB" w:rsidRPr="00E57A40">
        <w:rPr>
          <w:color w:val="000000" w:themeColor="text1"/>
        </w:rPr>
        <w:t>Douin</w:t>
      </w:r>
      <w:proofErr w:type="spellEnd"/>
      <w:r w:rsidR="00A46EFB" w:rsidRPr="00E57A40">
        <w:rPr>
          <w:color w:val="000000" w:themeColor="text1"/>
        </w:rPr>
        <w:t xml:space="preserve"> ve </w:t>
      </w:r>
      <w:proofErr w:type="spellStart"/>
      <w:r w:rsidR="00A46EFB" w:rsidRPr="00E57A40">
        <w:rPr>
          <w:color w:val="000000" w:themeColor="text1"/>
        </w:rPr>
        <w:t>Bailey</w:t>
      </w:r>
      <w:proofErr w:type="spellEnd"/>
      <w:r w:rsidR="00A46EFB" w:rsidRPr="00E57A40">
        <w:rPr>
          <w:color w:val="000000" w:themeColor="text1"/>
        </w:rPr>
        <w:t>, 2019</w:t>
      </w:r>
      <w:r w:rsidR="00C82C6E" w:rsidRPr="00E57A40">
        <w:rPr>
          <w:color w:val="000000" w:themeColor="text1"/>
        </w:rPr>
        <w:t>;</w:t>
      </w:r>
      <w:r w:rsidR="00C82C6E" w:rsidRPr="00E57A40">
        <w:rPr>
          <w:rFonts w:ascii="Arial" w:hAnsi="Arial" w:cs="Arial"/>
          <w:color w:val="000000" w:themeColor="text1"/>
          <w:sz w:val="22"/>
        </w:rPr>
        <w:t xml:space="preserve"> </w:t>
      </w:r>
      <w:proofErr w:type="spellStart"/>
      <w:r w:rsidR="00C82C6E" w:rsidRPr="00E57A40">
        <w:rPr>
          <w:color w:val="000000" w:themeColor="text1"/>
        </w:rPr>
        <w:t>Siegesmund</w:t>
      </w:r>
      <w:proofErr w:type="spellEnd"/>
      <w:r w:rsidR="00C82C6E" w:rsidRPr="00E57A40">
        <w:rPr>
          <w:color w:val="000000" w:themeColor="text1"/>
        </w:rPr>
        <w:t>, 2016</w:t>
      </w:r>
      <w:r w:rsidR="00F744CD" w:rsidRPr="00E57A40">
        <w:rPr>
          <w:color w:val="000000" w:themeColor="text1"/>
        </w:rPr>
        <w:t>)</w:t>
      </w:r>
      <w:r w:rsidR="003115FD" w:rsidRPr="00E57A40">
        <w:rPr>
          <w:color w:val="000000" w:themeColor="text1"/>
        </w:rPr>
        <w:t>.</w:t>
      </w:r>
      <w:r w:rsidR="003115FD" w:rsidRPr="0076565F">
        <w:t xml:space="preserve"> Örneğin Hacker v</w:t>
      </w:r>
      <w:r w:rsidR="00D2719D" w:rsidRPr="0076565F">
        <w:t>e</w:t>
      </w:r>
      <w:r w:rsidR="003115FD" w:rsidRPr="0076565F">
        <w:t xml:space="preserve"> </w:t>
      </w:r>
      <w:proofErr w:type="spellStart"/>
      <w:r w:rsidR="003115FD" w:rsidRPr="0076565F">
        <w:t>diğ</w:t>
      </w:r>
      <w:proofErr w:type="spellEnd"/>
      <w:r w:rsidR="003115FD" w:rsidRPr="0076565F">
        <w:t xml:space="preserve">. (2000), </w:t>
      </w:r>
      <w:r w:rsidR="002F3317" w:rsidRPr="0076565F">
        <w:t>kalibrasyon</w:t>
      </w:r>
      <w:r w:rsidR="002F3317">
        <w:t>u</w:t>
      </w:r>
      <w:r w:rsidR="002F3317" w:rsidRPr="0076565F">
        <w:t xml:space="preserve"> </w:t>
      </w:r>
      <w:r w:rsidR="003115FD" w:rsidRPr="0076565F">
        <w:t xml:space="preserve">sınav notlarının ön ve son tahminleri üzerinden araştırdıkları </w:t>
      </w:r>
      <w:r w:rsidR="00317D4B" w:rsidRPr="0076565F">
        <w:t>çalışma</w:t>
      </w:r>
      <w:r w:rsidR="003575C1">
        <w:t>ların</w:t>
      </w:r>
      <w:r w:rsidR="00317D4B">
        <w:t>da</w:t>
      </w:r>
      <w:r w:rsidR="008F442B">
        <w:t>,</w:t>
      </w:r>
      <w:r w:rsidR="00317D4B" w:rsidRPr="0076565F">
        <w:t xml:space="preserve"> </w:t>
      </w:r>
      <w:r w:rsidR="0034566A" w:rsidRPr="0076565F">
        <w:t>yüksek başarılı öğrencilerin kalibrasyonlarının da yüksek olduğu</w:t>
      </w:r>
      <w:r w:rsidR="002F3317">
        <w:t>nu</w:t>
      </w:r>
      <w:r w:rsidR="0034566A" w:rsidRPr="0076565F">
        <w:t xml:space="preserve"> ve dönem boyunca yapılan sınavlarda artan bir </w:t>
      </w:r>
      <w:proofErr w:type="gramStart"/>
      <w:r w:rsidR="0034566A" w:rsidRPr="0076565F">
        <w:t>kalibrasyon</w:t>
      </w:r>
      <w:proofErr w:type="gramEnd"/>
      <w:r w:rsidR="0034566A" w:rsidRPr="0076565F">
        <w:t xml:space="preserve"> sergiledikleri</w:t>
      </w:r>
      <w:r w:rsidR="002F3317">
        <w:t>ni</w:t>
      </w:r>
      <w:r w:rsidR="0034566A" w:rsidRPr="0076565F">
        <w:t xml:space="preserve"> ortaya </w:t>
      </w:r>
      <w:r w:rsidR="002F3317">
        <w:t>çıkarmışlardır</w:t>
      </w:r>
      <w:r w:rsidR="0034566A" w:rsidRPr="0076565F">
        <w:t xml:space="preserve">. </w:t>
      </w:r>
      <w:r w:rsidR="007C1E05">
        <w:t>Aynı çalışmada b</w:t>
      </w:r>
      <w:r w:rsidR="00C005FC">
        <w:t>aşarısı düşük</w:t>
      </w:r>
      <w:r w:rsidR="00C005FC" w:rsidRPr="0076565F">
        <w:t xml:space="preserve"> </w:t>
      </w:r>
      <w:r w:rsidR="00D2719D" w:rsidRPr="0076565F">
        <w:t>öğrenciler</w:t>
      </w:r>
      <w:r w:rsidR="006B7079">
        <w:t>in</w:t>
      </w:r>
      <w:r w:rsidR="003575C1">
        <w:t xml:space="preserve"> ise</w:t>
      </w:r>
      <w:r w:rsidR="00D2719D" w:rsidRPr="0076565F">
        <w:t xml:space="preserve"> özgüven</w:t>
      </w:r>
      <w:r w:rsidR="006B7079">
        <w:t xml:space="preserve">leri yüksek </w:t>
      </w:r>
      <w:r w:rsidR="00553674">
        <w:t>ol</w:t>
      </w:r>
      <w:r w:rsidR="006B7079">
        <w:t>masına</w:t>
      </w:r>
      <w:r w:rsidR="00D2719D" w:rsidRPr="0076565F">
        <w:t xml:space="preserve"> rağmen </w:t>
      </w:r>
      <w:r w:rsidR="00312F25">
        <w:t>kalibrasyon</w:t>
      </w:r>
      <w:r w:rsidR="00553674">
        <w:t>ları</w:t>
      </w:r>
      <w:r w:rsidR="003575C1">
        <w:t>nın</w:t>
      </w:r>
      <w:r w:rsidR="00553674">
        <w:t xml:space="preserve"> </w:t>
      </w:r>
      <w:r w:rsidR="00D2719D" w:rsidRPr="0076565F">
        <w:t xml:space="preserve">düşük </w:t>
      </w:r>
      <w:r w:rsidR="003575C1">
        <w:t xml:space="preserve">olduğu </w:t>
      </w:r>
      <w:r w:rsidR="00553674">
        <w:t>bulunmuştur</w:t>
      </w:r>
      <w:r w:rsidR="00D2719D" w:rsidRPr="0076565F">
        <w:t xml:space="preserve">. Bir başka deyişle başarı puanları ve tahmin puanları arasında büyük farklılıklar mevcuttur. </w:t>
      </w:r>
      <w:r w:rsidR="001902B5">
        <w:t xml:space="preserve">Bol ve </w:t>
      </w:r>
      <w:proofErr w:type="spellStart"/>
      <w:r w:rsidR="001902B5">
        <w:t>diğ</w:t>
      </w:r>
      <w:proofErr w:type="spellEnd"/>
      <w:r w:rsidR="001902B5">
        <w:t>.</w:t>
      </w:r>
      <w:r w:rsidR="002B6CB8" w:rsidRPr="0076565F">
        <w:t xml:space="preserve"> (2005) sınav sonucunun tahmin edilmesi ve sınavdan alınan puanlarla</w:t>
      </w:r>
      <w:r w:rsidR="000A70F5">
        <w:t>,</w:t>
      </w:r>
      <w:r w:rsidR="002B6CB8" w:rsidRPr="0076565F">
        <w:t xml:space="preserve"> öğrencilerin kalibrasyon düze</w:t>
      </w:r>
      <w:r w:rsidR="0010344C" w:rsidRPr="0076565F">
        <w:t>y</w:t>
      </w:r>
      <w:r w:rsidR="002B6CB8" w:rsidRPr="0076565F">
        <w:t xml:space="preserve">lerini </w:t>
      </w:r>
      <w:r w:rsidR="00A5235D" w:rsidRPr="0076565F">
        <w:t>ortaya çıkarmaya çalışmışlardır. Elde edilen sonuçlara göre yüksek başarılı öğrencilerin kalibrasyonları da yüksek</w:t>
      </w:r>
      <w:r w:rsidR="006B4205">
        <w:t>ken</w:t>
      </w:r>
      <w:r w:rsidR="00A5235D" w:rsidRPr="0076565F">
        <w:t xml:space="preserve"> kendine güven düzeyleri düşük</w:t>
      </w:r>
      <w:r w:rsidR="006B4205">
        <w:t>tür</w:t>
      </w:r>
      <w:r w:rsidR="00A5235D" w:rsidRPr="0076565F">
        <w:t>. Buna karşın düşük başarılı öğrencilerin kalibrasyonlarının düşük olduğu</w:t>
      </w:r>
      <w:r w:rsidR="006B4205">
        <w:t>,</w:t>
      </w:r>
      <w:r w:rsidR="00A5235D" w:rsidRPr="0076565F">
        <w:t xml:space="preserve"> ancak kendine güven </w:t>
      </w:r>
      <w:r w:rsidR="00A5235D" w:rsidRPr="0076565F">
        <w:lastRenderedPageBreak/>
        <w:t>düzeylerinin ise yüksek olduğu ortaya çıkmıştır.</w:t>
      </w:r>
      <w:r w:rsidR="001C5446">
        <w:t xml:space="preserve"> Üniversite öğrencileri ile biyoloji dersinde gerçekleştirilen bir çalışmada Dang ve </w:t>
      </w:r>
      <w:proofErr w:type="spellStart"/>
      <w:r w:rsidR="001C5446">
        <w:t>diğ</w:t>
      </w:r>
      <w:proofErr w:type="spellEnd"/>
      <w:r w:rsidR="001C5446">
        <w:t xml:space="preserve">., (2018) </w:t>
      </w:r>
      <w:r w:rsidR="00F65400">
        <w:t xml:space="preserve">düzenli tekrarlanan ölçme değerlendirme etkinlikleri ile </w:t>
      </w:r>
      <w:proofErr w:type="spellStart"/>
      <w:r w:rsidR="00F65400">
        <w:t>üstbiliş</w:t>
      </w:r>
      <w:proofErr w:type="spellEnd"/>
      <w:r w:rsidR="00F65400">
        <w:t xml:space="preserve"> becerileri</w:t>
      </w:r>
      <w:r w:rsidR="00547FA7">
        <w:t>ni</w:t>
      </w:r>
      <w:r w:rsidR="00F65400">
        <w:t xml:space="preserve"> geliştirme ve başarı artışını araştırmışlardır. Karma </w:t>
      </w:r>
      <w:r w:rsidR="00547FA7">
        <w:t>yöntemin</w:t>
      </w:r>
      <w:r w:rsidR="00F65400">
        <w:t xml:space="preserve"> kullanıldığı çalışmada iki dönem boyunca katılımcılardan hem nitel hem</w:t>
      </w:r>
      <w:r w:rsidR="008B51CC">
        <w:t xml:space="preserve"> de</w:t>
      </w:r>
      <w:r w:rsidR="00F65400">
        <w:t xml:space="preserve"> nicel veriler toplanmıştır. </w:t>
      </w:r>
      <w:r w:rsidR="00547FA7">
        <w:t>Araştırma sonucunda her iki dönemin ilk sınavında öğrencilerin</w:t>
      </w:r>
      <w:r w:rsidR="00191576">
        <w:t xml:space="preserve"> almayı bekledikleri</w:t>
      </w:r>
      <w:r w:rsidR="00547FA7">
        <w:t xml:space="preserve"> </w:t>
      </w:r>
      <w:r w:rsidR="00191576">
        <w:t xml:space="preserve">sınav </w:t>
      </w:r>
      <w:r w:rsidR="00547FA7">
        <w:t>not</w:t>
      </w:r>
      <w:r w:rsidR="006B4205">
        <w:t>ları</w:t>
      </w:r>
      <w:r w:rsidR="00191576">
        <w:t>,</w:t>
      </w:r>
      <w:r w:rsidR="00547FA7">
        <w:t xml:space="preserve"> gerçek sınav notlarının üzerinde bulunmuştur. Düşük başarılı </w:t>
      </w:r>
      <w:r w:rsidR="00191576">
        <w:t>öğrencilerin</w:t>
      </w:r>
      <w:r w:rsidR="00547FA7">
        <w:t xml:space="preserve">se kalibrasyonu en düşük öğrenciler </w:t>
      </w:r>
      <w:r w:rsidR="00191576">
        <w:t>olduğu</w:t>
      </w:r>
      <w:r w:rsidR="00547FA7">
        <w:t xml:space="preserve"> ortaya çıkmıştır. Ancak bu öğrenciler dönemin üçüncü sınavına gelindiğinde </w:t>
      </w:r>
      <w:r w:rsidR="00191576">
        <w:t>kalibrasyon</w:t>
      </w:r>
      <w:r w:rsidR="00547FA7">
        <w:t xml:space="preserve"> becerilerinde gelişme göstermişlerdir. </w:t>
      </w:r>
      <w:r w:rsidR="002B397B" w:rsidRPr="0076565F">
        <w:t>Türkiye’de gerçekleştirilen az sayıda</w:t>
      </w:r>
      <w:r w:rsidR="008B51CC">
        <w:t>ki</w:t>
      </w:r>
      <w:r w:rsidR="002B397B" w:rsidRPr="0076565F">
        <w:t xml:space="preserve"> çalışma</w:t>
      </w:r>
      <w:r w:rsidR="008B51CC">
        <w:t>lar</w:t>
      </w:r>
      <w:r w:rsidR="002B397B" w:rsidRPr="0076565F">
        <w:t xml:space="preserve">dan birinde </w:t>
      </w:r>
      <w:r w:rsidR="00E12774" w:rsidRPr="0076565F">
        <w:t>Aşık ve Sevimli (2015), mühendislik fakültesi öğrencilerinin kalibrasyonlarını matematik sınav başarısı ve biliş</w:t>
      </w:r>
      <w:r w:rsidR="00C817A3">
        <w:t xml:space="preserve"> üstü stratejiler</w:t>
      </w:r>
      <w:r w:rsidR="00E12774" w:rsidRPr="0076565F">
        <w:t xml:space="preserve"> bilgisi bakımından araştırmışlardır.</w:t>
      </w:r>
      <w:r w:rsidR="00317D4B">
        <w:t xml:space="preserve"> Çalışma sonucunda </w:t>
      </w:r>
      <w:r w:rsidR="00530E5C" w:rsidRPr="0076565F">
        <w:t>sınav başarısı ile kalib</w:t>
      </w:r>
      <w:r w:rsidR="001902B5">
        <w:t>r</w:t>
      </w:r>
      <w:r w:rsidR="00530E5C" w:rsidRPr="0076565F">
        <w:t xml:space="preserve">asyon arasında anlamlı bir ilişkinin olduğu ortaya çıkmıştır. Ancak araştırmacılar, </w:t>
      </w:r>
      <w:proofErr w:type="gramStart"/>
      <w:r w:rsidR="00530E5C" w:rsidRPr="0076565F">
        <w:t>kalibrasyon</w:t>
      </w:r>
      <w:proofErr w:type="gramEnd"/>
      <w:r w:rsidR="00530E5C" w:rsidRPr="0076565F">
        <w:t xml:space="preserve"> ve </w:t>
      </w:r>
      <w:r w:rsidR="00C817A3" w:rsidRPr="0076565F">
        <w:t>biliş</w:t>
      </w:r>
      <w:r w:rsidR="00C817A3">
        <w:t xml:space="preserve"> üstü stratejiler</w:t>
      </w:r>
      <w:r w:rsidR="00C817A3" w:rsidRPr="0076565F">
        <w:t xml:space="preserve"> </w:t>
      </w:r>
      <w:r w:rsidR="00530E5C" w:rsidRPr="0076565F">
        <w:t xml:space="preserve">arasında anlamlı bir ilişki bulamamıştır. </w:t>
      </w:r>
      <w:r w:rsidR="00BA3122" w:rsidRPr="0076565F">
        <w:t xml:space="preserve">İlgili alan yazın bulguları kalibrasyon ve başarı arasında pozitif bir ilişki olduğunu işaret etmektedir. Bu bulgu az da olsa hem ulusal hem de uluslararası çalışmalarla desteklenmektedir. Gerçekleştirilen bu çalışmada da </w:t>
      </w:r>
      <w:r w:rsidR="0073388F" w:rsidRPr="0076565F">
        <w:t xml:space="preserve">kalibrasyon ve başarı arasında </w:t>
      </w:r>
      <w:r w:rsidR="003326AD">
        <w:t>alan yazınla örtüşen</w:t>
      </w:r>
      <w:r w:rsidR="003326AD" w:rsidRPr="0076565F">
        <w:t xml:space="preserve"> </w:t>
      </w:r>
      <w:r w:rsidR="00BA3122" w:rsidRPr="0076565F">
        <w:t>bulguların ortaya çıkması beklenmektedir.</w:t>
      </w:r>
    </w:p>
    <w:p w14:paraId="655B38C2" w14:textId="77777777" w:rsidR="00761EDF" w:rsidRPr="0076565F" w:rsidRDefault="000B5870" w:rsidP="004D51BC">
      <w:pPr>
        <w:ind w:left="0" w:firstLine="0"/>
        <w:jc w:val="both"/>
        <w:rPr>
          <w:b/>
        </w:rPr>
      </w:pPr>
      <w:r w:rsidRPr="0076565F">
        <w:rPr>
          <w:b/>
        </w:rPr>
        <w:t>Ö</w:t>
      </w:r>
      <w:r w:rsidR="009D6903" w:rsidRPr="0076565F">
        <w:rPr>
          <w:b/>
        </w:rPr>
        <w:t>ğrenme Stratejileri</w:t>
      </w:r>
      <w:r w:rsidR="00924A18" w:rsidRPr="0076565F">
        <w:rPr>
          <w:b/>
        </w:rPr>
        <w:t xml:space="preserve">, Öz yeterlik </w:t>
      </w:r>
      <w:r w:rsidRPr="0076565F">
        <w:rPr>
          <w:b/>
        </w:rPr>
        <w:t>ve Kalibrasyon</w:t>
      </w:r>
    </w:p>
    <w:p w14:paraId="779D5E9D" w14:textId="442001B3" w:rsidR="00761EDF" w:rsidRPr="005F6531" w:rsidRDefault="00FE3DFA" w:rsidP="004D51BC">
      <w:pPr>
        <w:ind w:left="0" w:firstLine="0"/>
        <w:contextualSpacing/>
        <w:jc w:val="both"/>
        <w:rPr>
          <w:szCs w:val="21"/>
        </w:rPr>
      </w:pPr>
      <w:r w:rsidRPr="0076565F">
        <w:tab/>
      </w:r>
      <w:r w:rsidR="00023346" w:rsidRPr="0076565F">
        <w:t xml:space="preserve">Kalibrasyon kişinin bilişsel düzeyde bilgi veya stratejilerinin durumu hakkında bilgi veren bir </w:t>
      </w:r>
      <w:r w:rsidR="00023346" w:rsidRPr="0076565F">
        <w:rPr>
          <w:i/>
        </w:rPr>
        <w:t>biliş üstü izleme sürecini</w:t>
      </w:r>
      <w:r w:rsidR="00023346" w:rsidRPr="0076565F">
        <w:t xml:space="preserve"> ifade eder (</w:t>
      </w:r>
      <w:proofErr w:type="spellStart"/>
      <w:r w:rsidR="00EB6C10">
        <w:t>Dunlosky</w:t>
      </w:r>
      <w:proofErr w:type="spellEnd"/>
      <w:r w:rsidR="00EB6C10">
        <w:t xml:space="preserve"> ve </w:t>
      </w:r>
      <w:proofErr w:type="spellStart"/>
      <w:r w:rsidR="00EB6C10">
        <w:t>Thiede</w:t>
      </w:r>
      <w:proofErr w:type="spellEnd"/>
      <w:r w:rsidR="00EB6C10">
        <w:t xml:space="preserve">, 2013; </w:t>
      </w:r>
      <w:r w:rsidR="00023346" w:rsidRPr="0076565F">
        <w:t>Nelson, 1996</w:t>
      </w:r>
      <w:r w:rsidR="00EB6C10">
        <w:t xml:space="preserve">; </w:t>
      </w:r>
      <w:proofErr w:type="spellStart"/>
      <w:r w:rsidR="00EB6C10">
        <w:t>Osterhage</w:t>
      </w:r>
      <w:proofErr w:type="spellEnd"/>
      <w:r w:rsidR="00EB6C10">
        <w:t>, 2021</w:t>
      </w:r>
      <w:r w:rsidR="00023346" w:rsidRPr="0076565F">
        <w:t xml:space="preserve">). </w:t>
      </w:r>
      <w:proofErr w:type="spellStart"/>
      <w:r w:rsidR="00023346" w:rsidRPr="0076565F">
        <w:t>Zimmerman</w:t>
      </w:r>
      <w:proofErr w:type="spellEnd"/>
      <w:r w:rsidR="00023346" w:rsidRPr="0076565F">
        <w:t xml:space="preserve"> ve </w:t>
      </w:r>
      <w:proofErr w:type="spellStart"/>
      <w:r w:rsidR="00023346" w:rsidRPr="0076565F">
        <w:t>Moylan</w:t>
      </w:r>
      <w:proofErr w:type="spellEnd"/>
      <w:r w:rsidR="00023346" w:rsidRPr="0076565F">
        <w:t xml:space="preserve"> (2009), sergilenebilecek performansla ilgili doğru yargılarda bulunanların (yüksek kalibrasyona sahip olan kişiler) öz düzenleme bakımından daha yükse</w:t>
      </w:r>
      <w:r w:rsidR="000015A0" w:rsidRPr="0076565F">
        <w:t>k</w:t>
      </w:r>
      <w:r w:rsidR="00023346" w:rsidRPr="0076565F">
        <w:t xml:space="preserve"> potansiyele sahip olduğunu belirtmektedirler. </w:t>
      </w:r>
      <w:r w:rsidR="00590C21" w:rsidRPr="0076565F">
        <w:t>Kuramsal olarak ele alındığında kalibrasyon ve öz düzenleme yakın ilişkilidir</w:t>
      </w:r>
      <w:r w:rsidR="00D50198">
        <w:t xml:space="preserve"> (</w:t>
      </w:r>
      <w:r w:rsidR="00777DBD">
        <w:t xml:space="preserve">Alexander, 2013; </w:t>
      </w:r>
      <w:proofErr w:type="spellStart"/>
      <w:r w:rsidR="00D50198">
        <w:t>Gutierrez</w:t>
      </w:r>
      <w:proofErr w:type="spellEnd"/>
      <w:r w:rsidR="00D50198">
        <w:t xml:space="preserve"> ve </w:t>
      </w:r>
      <w:proofErr w:type="spellStart"/>
      <w:r w:rsidR="00D50198">
        <w:t>Price</w:t>
      </w:r>
      <w:proofErr w:type="spellEnd"/>
      <w:r w:rsidR="00D50198">
        <w:t>, 2016)</w:t>
      </w:r>
      <w:r w:rsidR="00F57CFB" w:rsidRPr="0076565F">
        <w:t xml:space="preserve">. </w:t>
      </w:r>
      <w:r w:rsidR="009352DD">
        <w:t>Ö</w:t>
      </w:r>
      <w:r w:rsidR="00F57CFB" w:rsidRPr="0076565F">
        <w:t>z düzenleme</w:t>
      </w:r>
      <w:r w:rsidR="009352DD">
        <w:t>,</w:t>
      </w:r>
      <w:r w:rsidR="00F57CFB" w:rsidRPr="0076565F">
        <w:t xml:space="preserve"> kişinin kendi öğrenme sürecine </w:t>
      </w:r>
      <w:r w:rsidR="00C817A3">
        <w:t>biliş üstü</w:t>
      </w:r>
      <w:r w:rsidR="00627BC0" w:rsidRPr="0076565F">
        <w:t xml:space="preserve"> ve motivasyon olarak </w:t>
      </w:r>
      <w:r w:rsidR="00F57CFB" w:rsidRPr="0076565F">
        <w:t xml:space="preserve">etkin bir şekilde </w:t>
      </w:r>
      <w:r w:rsidR="00627BC0" w:rsidRPr="0076565F">
        <w:t>katılması olarak tanımla</w:t>
      </w:r>
      <w:r w:rsidR="009352DD">
        <w:t>n</w:t>
      </w:r>
      <w:r w:rsidR="00627BC0" w:rsidRPr="0076565F">
        <w:t>maktadır</w:t>
      </w:r>
      <w:r w:rsidR="009352DD">
        <w:t xml:space="preserve"> (</w:t>
      </w:r>
      <w:bookmarkStart w:id="0" w:name="_Hlk85242293"/>
      <w:proofErr w:type="spellStart"/>
      <w:r w:rsidR="00AF3B0C">
        <w:t>Zimmerman</w:t>
      </w:r>
      <w:proofErr w:type="spellEnd"/>
      <w:r w:rsidR="00AF3B0C">
        <w:t xml:space="preserve"> ve </w:t>
      </w:r>
      <w:proofErr w:type="spellStart"/>
      <w:r w:rsidR="009352DD">
        <w:t>Schunk</w:t>
      </w:r>
      <w:proofErr w:type="spellEnd"/>
      <w:r w:rsidR="009352DD">
        <w:t xml:space="preserve">, 2011; </w:t>
      </w:r>
      <w:proofErr w:type="spellStart"/>
      <w:r w:rsidR="009352DD">
        <w:t>Zimmerman</w:t>
      </w:r>
      <w:proofErr w:type="spellEnd"/>
      <w:r w:rsidR="009352DD">
        <w:t>, 2011</w:t>
      </w:r>
      <w:bookmarkEnd w:id="0"/>
      <w:r w:rsidR="009352DD">
        <w:t>)</w:t>
      </w:r>
      <w:r w:rsidR="00627BC0" w:rsidRPr="0076565F">
        <w:t>.</w:t>
      </w:r>
      <w:r w:rsidR="00590C21" w:rsidRPr="0076565F">
        <w:t xml:space="preserve"> Özellikle biliş üstü stratejiler kalibrasyon becerisinde öne çıkmaktadır. </w:t>
      </w:r>
      <w:proofErr w:type="spellStart"/>
      <w:r w:rsidR="00590C21" w:rsidRPr="0076565F">
        <w:t>Bilişüstü</w:t>
      </w:r>
      <w:proofErr w:type="spellEnd"/>
      <w:r w:rsidR="00590C21" w:rsidRPr="0076565F">
        <w:t xml:space="preserve"> stratejiler ya da </w:t>
      </w:r>
      <w:proofErr w:type="spellStart"/>
      <w:r w:rsidR="00590C21" w:rsidRPr="0076565F">
        <w:t>üstbiliş</w:t>
      </w:r>
      <w:proofErr w:type="spellEnd"/>
      <w:r w:rsidR="00627BC0" w:rsidRPr="0076565F">
        <w:t>,</w:t>
      </w:r>
      <w:r w:rsidR="00590C21" w:rsidRPr="0076565F">
        <w:t xml:space="preserve"> </w:t>
      </w:r>
      <w:r w:rsidR="00F165F8" w:rsidRPr="0076565F">
        <w:t xml:space="preserve">zihinsel işlemlerin düzenlenmesidir. </w:t>
      </w:r>
      <w:r w:rsidR="00365117" w:rsidRPr="0076565F">
        <w:t>Üst biliş</w:t>
      </w:r>
      <w:r w:rsidR="00C85258">
        <w:t>,</w:t>
      </w:r>
      <w:r w:rsidR="00365117" w:rsidRPr="0076565F">
        <w:t xml:space="preserve"> </w:t>
      </w:r>
      <w:bookmarkStart w:id="1" w:name="_Hlk85310379"/>
      <w:proofErr w:type="spellStart"/>
      <w:r w:rsidR="007C11CF" w:rsidRPr="00582ABE">
        <w:rPr>
          <w:szCs w:val="21"/>
        </w:rPr>
        <w:t>Flavell</w:t>
      </w:r>
      <w:proofErr w:type="spellEnd"/>
      <w:r w:rsidR="007C11CF" w:rsidRPr="00582ABE">
        <w:rPr>
          <w:szCs w:val="21"/>
        </w:rPr>
        <w:t>, Miller</w:t>
      </w:r>
      <w:r w:rsidR="007C11CF">
        <w:rPr>
          <w:szCs w:val="21"/>
        </w:rPr>
        <w:t xml:space="preserve"> ve </w:t>
      </w:r>
      <w:r w:rsidR="007C11CF" w:rsidRPr="00582ABE">
        <w:rPr>
          <w:szCs w:val="21"/>
        </w:rPr>
        <w:t>Miller (2002)</w:t>
      </w:r>
      <w:bookmarkEnd w:id="1"/>
      <w:r w:rsidR="007C11CF">
        <w:rPr>
          <w:color w:val="2C2E35"/>
          <w:sz w:val="20"/>
          <w:szCs w:val="24"/>
        </w:rPr>
        <w:t xml:space="preserve"> </w:t>
      </w:r>
      <w:r w:rsidR="00FA7D61" w:rsidRPr="0076565F">
        <w:t xml:space="preserve">tarafından düşünme </w:t>
      </w:r>
      <w:r w:rsidR="007C11CF">
        <w:t>süreçleri</w:t>
      </w:r>
      <w:r w:rsidR="008D4871">
        <w:t>ni merkezine alan</w:t>
      </w:r>
      <w:r w:rsidR="007C11CF">
        <w:t xml:space="preserve"> </w:t>
      </w:r>
      <w:r w:rsidR="008D4871">
        <w:t xml:space="preserve">bilgi veya zihinsel </w:t>
      </w:r>
      <w:r w:rsidR="00C61D6E">
        <w:t xml:space="preserve">etkinlik </w:t>
      </w:r>
      <w:r w:rsidR="00C61D6E" w:rsidRPr="0076565F">
        <w:t>olarak</w:t>
      </w:r>
      <w:r w:rsidR="00FA7D61" w:rsidRPr="0076565F">
        <w:t xml:space="preserve"> tanımlanmıştır. </w:t>
      </w:r>
      <w:proofErr w:type="spellStart"/>
      <w:r w:rsidR="005F6531">
        <w:t>Lingel</w:t>
      </w:r>
      <w:proofErr w:type="spellEnd"/>
      <w:r w:rsidR="005F6531">
        <w:t xml:space="preserve">, </w:t>
      </w:r>
      <w:proofErr w:type="spellStart"/>
      <w:r w:rsidR="005F6531">
        <w:t>Lenhart</w:t>
      </w:r>
      <w:proofErr w:type="spellEnd"/>
      <w:r w:rsidR="005F6531">
        <w:t xml:space="preserve"> ve </w:t>
      </w:r>
      <w:proofErr w:type="spellStart"/>
      <w:r w:rsidR="005F6531">
        <w:t>Schneider</w:t>
      </w:r>
      <w:proofErr w:type="spellEnd"/>
      <w:r w:rsidR="005F6531">
        <w:t xml:space="preserve"> (2019) üst bilişin kapsamına hem kişilerin kendi bilgi işleme becerileri ve bilişsel </w:t>
      </w:r>
      <w:r w:rsidR="005F6531">
        <w:rPr>
          <w:rStyle w:val="jlqj4b"/>
        </w:rPr>
        <w:t>görevlerle başa çıkma yollarının</w:t>
      </w:r>
      <w:r w:rsidR="007C3B1A">
        <w:rPr>
          <w:rStyle w:val="jlqj4b"/>
        </w:rPr>
        <w:t xml:space="preserve">, </w:t>
      </w:r>
      <w:r w:rsidR="005F6531">
        <w:rPr>
          <w:rStyle w:val="jlqj4b"/>
        </w:rPr>
        <w:t>hem de kişinin kendi bilişsel etkinliklerini takip etme ve öz düzenlemesiyle ilgili yürütme becerilerini</w:t>
      </w:r>
      <w:r w:rsidR="007C3B1A">
        <w:rPr>
          <w:rStyle w:val="jlqj4b"/>
        </w:rPr>
        <w:t>n</w:t>
      </w:r>
      <w:r w:rsidR="005F6531">
        <w:rPr>
          <w:rStyle w:val="jlqj4b"/>
        </w:rPr>
        <w:t xml:space="preserve"> </w:t>
      </w:r>
      <w:r w:rsidR="007C3B1A">
        <w:rPr>
          <w:rStyle w:val="jlqj4b"/>
        </w:rPr>
        <w:t>girdiğini</w:t>
      </w:r>
      <w:r w:rsidR="005F6531">
        <w:rPr>
          <w:rStyle w:val="jlqj4b"/>
        </w:rPr>
        <w:t xml:space="preserve"> belirtmiş</w:t>
      </w:r>
      <w:r w:rsidR="007C3B1A">
        <w:rPr>
          <w:rStyle w:val="jlqj4b"/>
        </w:rPr>
        <w:t>lerdir</w:t>
      </w:r>
      <w:r w:rsidR="005F6531">
        <w:rPr>
          <w:rStyle w:val="jlqj4b"/>
        </w:rPr>
        <w:t>.</w:t>
      </w:r>
      <w:r w:rsidR="005F6531">
        <w:rPr>
          <w:i/>
          <w:iCs/>
        </w:rPr>
        <w:t xml:space="preserve"> </w:t>
      </w:r>
      <w:r w:rsidR="002B7EB6" w:rsidRPr="0076565F">
        <w:t xml:space="preserve">Bütün bu tanımlardan yola çıkarak üst biliş için kişinin bilişsel öğrenme sürecini </w:t>
      </w:r>
      <w:r w:rsidR="002B7EB6" w:rsidRPr="0076565F">
        <w:lastRenderedPageBreak/>
        <w:t xml:space="preserve">yönetmesinde işe koştuğu düşünme becerileri </w:t>
      </w:r>
      <w:r w:rsidR="009D6903" w:rsidRPr="0076565F">
        <w:t xml:space="preserve">ve stratejileri </w:t>
      </w:r>
      <w:r w:rsidR="002B7EB6" w:rsidRPr="0076565F">
        <w:t xml:space="preserve">denebilir. </w:t>
      </w:r>
      <w:r w:rsidR="001C2264" w:rsidRPr="0076565F">
        <w:t xml:space="preserve">Bu açıdan ele alındığında kalibrasyon ve üst biliş arasında bir ilişki olması kuramsal olarak beklenebilir. </w:t>
      </w:r>
    </w:p>
    <w:p w14:paraId="6B439BB4" w14:textId="1A297952" w:rsidR="00DE3F13" w:rsidRPr="0076565F" w:rsidRDefault="00FE3DFA" w:rsidP="00707F84">
      <w:pPr>
        <w:ind w:left="0" w:firstLine="0"/>
        <w:jc w:val="both"/>
      </w:pPr>
      <w:r w:rsidRPr="0076565F">
        <w:tab/>
      </w:r>
      <w:r w:rsidR="001B1BF7" w:rsidRPr="0076565F">
        <w:t xml:space="preserve">Öğrenme stratejilerinden olan çaba düzenlemesi </w:t>
      </w:r>
      <w:r w:rsidR="003D7E8E" w:rsidRPr="0076565F">
        <w:t>(çaba yönetimi)</w:t>
      </w:r>
      <w:r w:rsidR="0045172F">
        <w:t>,</w:t>
      </w:r>
      <w:r w:rsidR="003D7E8E" w:rsidRPr="0076565F">
        <w:t xml:space="preserve"> yapılacak iş ne </w:t>
      </w:r>
      <w:r w:rsidR="0045172F">
        <w:t xml:space="preserve">kadar </w:t>
      </w:r>
      <w:r w:rsidR="003D7E8E" w:rsidRPr="0076565F">
        <w:t xml:space="preserve">zorlu olursa olsun kişinin sebat ve dayanıklılık göstermesi </w:t>
      </w:r>
      <w:r w:rsidR="009D6903" w:rsidRPr="0076565F">
        <w:t>olarak ifade edilmektedir</w:t>
      </w:r>
      <w:r w:rsidR="003D7E8E" w:rsidRPr="0076565F">
        <w:t xml:space="preserve"> (</w:t>
      </w:r>
      <w:proofErr w:type="spellStart"/>
      <w:r w:rsidR="00715FEA" w:rsidRPr="00093965">
        <w:rPr>
          <w:szCs w:val="30"/>
        </w:rPr>
        <w:t>Puzziferro</w:t>
      </w:r>
      <w:proofErr w:type="spellEnd"/>
      <w:r w:rsidR="00715FEA" w:rsidRPr="00093965">
        <w:rPr>
          <w:szCs w:val="30"/>
        </w:rPr>
        <w:t>, 2008</w:t>
      </w:r>
      <w:r w:rsidR="00715FEA">
        <w:rPr>
          <w:szCs w:val="30"/>
        </w:rPr>
        <w:t xml:space="preserve">; </w:t>
      </w:r>
      <w:proofErr w:type="spellStart"/>
      <w:r w:rsidR="00707F84" w:rsidRPr="00164A5E">
        <w:rPr>
          <w:szCs w:val="30"/>
        </w:rPr>
        <w:t>Pintrich</w:t>
      </w:r>
      <w:proofErr w:type="spellEnd"/>
      <w:r w:rsidR="00707F84" w:rsidRPr="00164A5E">
        <w:rPr>
          <w:szCs w:val="30"/>
        </w:rPr>
        <w:t>,</w:t>
      </w:r>
      <w:r w:rsidR="00707F84">
        <w:rPr>
          <w:szCs w:val="30"/>
        </w:rPr>
        <w:t xml:space="preserve"> </w:t>
      </w:r>
      <w:r w:rsidR="00707F84" w:rsidRPr="00164A5E">
        <w:rPr>
          <w:szCs w:val="30"/>
        </w:rPr>
        <w:t>Smith,</w:t>
      </w:r>
      <w:r w:rsidR="00707F84">
        <w:t xml:space="preserve"> </w:t>
      </w:r>
      <w:proofErr w:type="spellStart"/>
      <w:r w:rsidR="00707F84" w:rsidRPr="00164A5E">
        <w:rPr>
          <w:szCs w:val="30"/>
        </w:rPr>
        <w:t>Garcia</w:t>
      </w:r>
      <w:proofErr w:type="spellEnd"/>
      <w:r w:rsidR="00707F84">
        <w:rPr>
          <w:szCs w:val="30"/>
        </w:rPr>
        <w:t xml:space="preserve"> ve </w:t>
      </w:r>
      <w:proofErr w:type="spellStart"/>
      <w:r w:rsidR="00707F84" w:rsidRPr="00164A5E">
        <w:rPr>
          <w:szCs w:val="30"/>
        </w:rPr>
        <w:t>McKeachie</w:t>
      </w:r>
      <w:proofErr w:type="spellEnd"/>
      <w:r w:rsidR="00707F84">
        <w:rPr>
          <w:szCs w:val="30"/>
        </w:rPr>
        <w:t>, 1991</w:t>
      </w:r>
      <w:r w:rsidR="003D7E8E" w:rsidRPr="0076565F">
        <w:t>). Bir başka ifadeyle çaba düzenlemesi</w:t>
      </w:r>
      <w:r w:rsidR="00AD4A43" w:rsidRPr="0076565F">
        <w:t>,</w:t>
      </w:r>
      <w:r w:rsidR="003D7E8E" w:rsidRPr="0076565F">
        <w:t xml:space="preserve"> yapılacak olan zor bir iş sırasında </w:t>
      </w:r>
      <w:r w:rsidR="00082F09" w:rsidRPr="0076565F">
        <w:t xml:space="preserve">işi </w:t>
      </w:r>
      <w:r w:rsidR="00AB0A93" w:rsidRPr="0076565F">
        <w:t>bırakmaya dirençli olmaktır. Eğitim araştırmalarında ise çaba düzenlemesi öğrencilerin ders çalışma davranışlarında zorlandıkları zamanlarda sebat etmeleri ve çalışmayı bırakmaya karşı direnç göstermeleri</w:t>
      </w:r>
      <w:r w:rsidR="002316FB" w:rsidRPr="0076565F">
        <w:t xml:space="preserve"> olarak ifade edilebilir. </w:t>
      </w:r>
      <w:r w:rsidR="00A8353E" w:rsidRPr="0076565F">
        <w:t>Çaba</w:t>
      </w:r>
      <w:r w:rsidR="00D160FB" w:rsidRPr="0076565F">
        <w:t xml:space="preserve"> düzenleme</w:t>
      </w:r>
      <w:r w:rsidR="00A8353E" w:rsidRPr="0076565F">
        <w:t>si</w:t>
      </w:r>
      <w:r w:rsidR="00D160FB" w:rsidRPr="0076565F">
        <w:t>,</w:t>
      </w:r>
      <w:r w:rsidR="00A8353E" w:rsidRPr="0076565F">
        <w:t xml:space="preserve"> biliş üstünün yönlendirdiği</w:t>
      </w:r>
      <w:r w:rsidR="00D160FB" w:rsidRPr="0076565F">
        <w:t xml:space="preserve"> öz-düzenlemeli öğrenme davranış</w:t>
      </w:r>
      <w:r w:rsidR="00A8353E" w:rsidRPr="0076565F">
        <w:t>larının sürdürülebilmesi</w:t>
      </w:r>
      <w:r w:rsidR="00DC647C" w:rsidRPr="0076565F">
        <w:t xml:space="preserve"> için</w:t>
      </w:r>
      <w:r w:rsidR="00A8353E" w:rsidRPr="0076565F">
        <w:t xml:space="preserve"> </w:t>
      </w:r>
      <w:r w:rsidR="00D160FB" w:rsidRPr="0076565F">
        <w:t xml:space="preserve">temel bir </w:t>
      </w:r>
      <w:r w:rsidR="00A8353E" w:rsidRPr="0076565F">
        <w:t>gereklilik olarak değerlendirilebilir (</w:t>
      </w:r>
      <w:proofErr w:type="spellStart"/>
      <w:r w:rsidR="00A8353E" w:rsidRPr="0076565F">
        <w:t>Ziegler</w:t>
      </w:r>
      <w:proofErr w:type="spellEnd"/>
      <w:r w:rsidR="00A8353E" w:rsidRPr="0076565F">
        <w:t xml:space="preserve"> </w:t>
      </w:r>
      <w:r w:rsidR="00AC62AA">
        <w:t>ve</w:t>
      </w:r>
      <w:r w:rsidR="00A8353E" w:rsidRPr="0076565F">
        <w:t xml:space="preserve"> </w:t>
      </w:r>
      <w:proofErr w:type="spellStart"/>
      <w:r w:rsidR="00A8353E" w:rsidRPr="0076565F">
        <w:t>Opdenakker</w:t>
      </w:r>
      <w:proofErr w:type="spellEnd"/>
      <w:r w:rsidR="00A8353E" w:rsidRPr="0076565F">
        <w:t>, 201</w:t>
      </w:r>
      <w:r w:rsidR="00A77B91" w:rsidRPr="0076565F">
        <w:t>8</w:t>
      </w:r>
      <w:r w:rsidR="00A8353E" w:rsidRPr="0076565F">
        <w:t xml:space="preserve">). </w:t>
      </w:r>
      <w:proofErr w:type="spellStart"/>
      <w:r w:rsidR="002316FB" w:rsidRPr="0076565F">
        <w:t>Bandura</w:t>
      </w:r>
      <w:proofErr w:type="spellEnd"/>
      <w:r w:rsidR="002316FB" w:rsidRPr="0076565F">
        <w:t xml:space="preserve"> (1997) </w:t>
      </w:r>
      <w:r w:rsidR="0003720E" w:rsidRPr="0076565F">
        <w:t xml:space="preserve">öğrencinin kendi öğrenmesini yönettiği durumlarda bilişsel ve </w:t>
      </w:r>
      <w:proofErr w:type="spellStart"/>
      <w:r w:rsidR="0003720E" w:rsidRPr="0076565F">
        <w:t>bilişüstü</w:t>
      </w:r>
      <w:proofErr w:type="spellEnd"/>
      <w:r w:rsidR="0003720E" w:rsidRPr="0076565F">
        <w:t xml:space="preserve"> stratejilerin yanında motivasyonun da yer alması gerektiğini </w:t>
      </w:r>
      <w:r w:rsidR="00A8353E" w:rsidRPr="0076565F">
        <w:t>vurgulamıştır</w:t>
      </w:r>
      <w:r w:rsidR="0003720E" w:rsidRPr="0076565F">
        <w:t xml:space="preserve">. </w:t>
      </w:r>
      <w:proofErr w:type="spellStart"/>
      <w:r w:rsidR="0003720E" w:rsidRPr="0076565F">
        <w:t>Sosyo</w:t>
      </w:r>
      <w:proofErr w:type="spellEnd"/>
      <w:r w:rsidR="00D50B4F" w:rsidRPr="0076565F">
        <w:t>-</w:t>
      </w:r>
      <w:r w:rsidR="0003720E" w:rsidRPr="0076565F">
        <w:t>bili</w:t>
      </w:r>
      <w:r w:rsidR="00D50B4F" w:rsidRPr="0076565F">
        <w:t>ş</w:t>
      </w:r>
      <w:r w:rsidR="0003720E" w:rsidRPr="0076565F">
        <w:t xml:space="preserve">sel kuramın temel </w:t>
      </w:r>
      <w:proofErr w:type="spellStart"/>
      <w:r w:rsidR="0003720E" w:rsidRPr="0076565F">
        <w:t>motivasyonel</w:t>
      </w:r>
      <w:proofErr w:type="spellEnd"/>
      <w:r w:rsidR="0003720E" w:rsidRPr="0076565F">
        <w:t xml:space="preserve"> bileşenlerinden olan öz yeterlik, kişinin bir işi başarıyla sonuçlandırmak için gerekli olan eylemleri ve uygulanacak yöntem</w:t>
      </w:r>
      <w:r w:rsidR="00DC647C" w:rsidRPr="0076565F">
        <w:t>ler</w:t>
      </w:r>
      <w:r w:rsidR="0003720E" w:rsidRPr="0076565F">
        <w:t>i ortaya koyabilmesi için kendi yeteneklerine olan güveni olarak tanımlanmaktadır (</w:t>
      </w:r>
      <w:proofErr w:type="spellStart"/>
      <w:r w:rsidR="001902B5">
        <w:t>Bandura</w:t>
      </w:r>
      <w:proofErr w:type="spellEnd"/>
      <w:r w:rsidR="001902B5">
        <w:t>, 1977</w:t>
      </w:r>
      <w:r w:rsidR="0045172F">
        <w:t>;</w:t>
      </w:r>
      <w:r w:rsidR="0045172F" w:rsidRPr="0076565F">
        <w:t xml:space="preserve"> </w:t>
      </w:r>
      <w:r w:rsidR="0003720E" w:rsidRPr="0076565F">
        <w:t>1997).</w:t>
      </w:r>
      <w:r w:rsidR="001902B5">
        <w:t xml:space="preserve"> </w:t>
      </w:r>
      <w:proofErr w:type="spellStart"/>
      <w:r w:rsidR="001902B5">
        <w:t>Sosyo</w:t>
      </w:r>
      <w:proofErr w:type="spellEnd"/>
      <w:r w:rsidR="001902B5">
        <w:t>-</w:t>
      </w:r>
      <w:r w:rsidR="003266C7" w:rsidRPr="0076565F">
        <w:t xml:space="preserve">bilişsel kurama göre yüksek öz yeterliğe sahip öğrenciler </w:t>
      </w:r>
      <w:r w:rsidR="00961357" w:rsidRPr="0076565F">
        <w:t xml:space="preserve">zor ödev ve derslerde yılmama ve daha fazla çaba gösterme eğilimindeyken düşük </w:t>
      </w:r>
      <w:r w:rsidR="00D50B4F" w:rsidRPr="0076565F">
        <w:t>öz yeterliğe</w:t>
      </w:r>
      <w:r w:rsidR="00961357" w:rsidRPr="0076565F">
        <w:t xml:space="preserve"> sahip olan öğrenciler zor ödev ve derslerden kaçınma eğiliminde olup kendilerine daha az zorlayıcı hedefler belirlemeye eğilimlidir. </w:t>
      </w:r>
      <w:proofErr w:type="spellStart"/>
      <w:r w:rsidR="00961357" w:rsidRPr="0076565F">
        <w:t>Bandura</w:t>
      </w:r>
      <w:proofErr w:type="spellEnd"/>
      <w:r w:rsidR="00961357" w:rsidRPr="0076565F">
        <w:t xml:space="preserve"> (1997), öz yeterlik gelişimi için dört ana kaynak önermiştir. Bunlar geçmiş yaşantılar, dolaylı </w:t>
      </w:r>
      <w:r w:rsidR="00FA43F6" w:rsidRPr="0076565F">
        <w:t>yaşantılar</w:t>
      </w:r>
      <w:r w:rsidR="00961357" w:rsidRPr="0076565F">
        <w:t xml:space="preserve">, sözel ikna ve psikolojik durumlardır. Bu kaynaklardan en etkili olanı ilk kaynak olarak belirtilen geçmiş yaşantılardır. Kişinin bizzat tecrübe ettiği yaşantılar gelecekte </w:t>
      </w:r>
      <w:r w:rsidR="00FA43F6" w:rsidRPr="0076565F">
        <w:t xml:space="preserve">benzer durumla </w:t>
      </w:r>
      <w:r w:rsidR="00961357" w:rsidRPr="0076565F">
        <w:t xml:space="preserve">yeniden karşılaştığında </w:t>
      </w:r>
      <w:r w:rsidR="00FA43F6" w:rsidRPr="0076565F">
        <w:t>kişinin öz yeterliğine olumlu veya olumsuz etki edecektir. Model veya örnek alma olarak ifade edilebilen dolaylı yaşantılar da kişinin başkalarını gözlemleyerek edindiği yeterlik duygusudur. Üçüncü kaynak ise sözel iknadır. Sözel ikna kişinin çevresindeki insanların yaptığı bir işle ilgili olumlu veya olumsuz ger</w:t>
      </w:r>
      <w:r w:rsidR="00C32AAA">
        <w:t>i</w:t>
      </w:r>
      <w:r w:rsidR="00FA43F6" w:rsidRPr="0076565F">
        <w:t xml:space="preserve"> bildirimleridir. Alınan bu bildirimler kişinin yeterlik </w:t>
      </w:r>
      <w:r w:rsidR="00D50B4F" w:rsidRPr="0076565F">
        <w:t>duygusuna</w:t>
      </w:r>
      <w:r w:rsidR="00FA43F6" w:rsidRPr="0076565F">
        <w:t xml:space="preserve"> </w:t>
      </w:r>
      <w:r w:rsidR="00C32AAA">
        <w:t>etki</w:t>
      </w:r>
      <w:r w:rsidR="00C32AAA" w:rsidRPr="0076565F">
        <w:t xml:space="preserve"> </w:t>
      </w:r>
      <w:r w:rsidR="00FA43F6" w:rsidRPr="0076565F">
        <w:t xml:space="preserve">edebilmektedir. Son olarak </w:t>
      </w:r>
      <w:proofErr w:type="spellStart"/>
      <w:r w:rsidR="00FA43F6" w:rsidRPr="0076565F">
        <w:t>Bandura</w:t>
      </w:r>
      <w:proofErr w:type="spellEnd"/>
      <w:r w:rsidR="00FA43F6" w:rsidRPr="0076565F">
        <w:t xml:space="preserve"> (1997) </w:t>
      </w:r>
      <w:r w:rsidR="00813A79" w:rsidRPr="0076565F">
        <w:t xml:space="preserve">kişinin içinde bulunduğu psikolojik ve fizyolojik durumların da yeterlik duygusunda belirleyici olabileceğini belirtmiştir. Örneğin sınav öncesi </w:t>
      </w:r>
      <w:r w:rsidR="00D50B4F" w:rsidRPr="0076565F">
        <w:t>öğrencinin</w:t>
      </w:r>
      <w:r w:rsidR="00813A79" w:rsidRPr="0076565F">
        <w:t xml:space="preserve"> karnını</w:t>
      </w:r>
      <w:r w:rsidR="00C32AAA">
        <w:t>n</w:t>
      </w:r>
      <w:r w:rsidR="00813A79" w:rsidRPr="0076565F">
        <w:t xml:space="preserve"> ağrıması veya avuç içlerinin terlemesi bedensel tepkilerdir. Benzer şekilde ani oluşan </w:t>
      </w:r>
      <w:r w:rsidR="00D50B4F" w:rsidRPr="0076565F">
        <w:t>baş ağrıları</w:t>
      </w:r>
      <w:r w:rsidR="00813A79" w:rsidRPr="0076565F">
        <w:t xml:space="preserve"> da sınavda öğrenci</w:t>
      </w:r>
      <w:r w:rsidR="00595D05" w:rsidRPr="0076565F">
        <w:t xml:space="preserve">lerin yeterlik duygusuna etki edebilecek kaynaklar arasında sayılabilir. </w:t>
      </w:r>
    </w:p>
    <w:p w14:paraId="1BB92D2C" w14:textId="06D32C2C" w:rsidR="00761EDF" w:rsidRPr="0076565F" w:rsidRDefault="00FE3DFA" w:rsidP="00A56ACE">
      <w:pPr>
        <w:ind w:left="0" w:firstLine="0"/>
        <w:jc w:val="both"/>
      </w:pPr>
      <w:r w:rsidRPr="0076565F">
        <w:tab/>
      </w:r>
      <w:r w:rsidR="00595D05" w:rsidRPr="0076565F">
        <w:t xml:space="preserve">Öz yeterlik geniş bir araştırma alan yazınına sahip olup eğitim psikolojisinde pek çok değişkenle (öz düzenleme, erteleme davranışı, biliş üstü stratejiler, hedef yönelimleri, vb.) </w:t>
      </w:r>
      <w:r w:rsidR="00595D05" w:rsidRPr="0076565F">
        <w:lastRenderedPageBreak/>
        <w:t xml:space="preserve">ilişkilendirilerek araştırılmıştır </w:t>
      </w:r>
      <w:r w:rsidR="00834075" w:rsidRPr="0076565F">
        <w:t>(</w:t>
      </w:r>
      <w:proofErr w:type="spellStart"/>
      <w:r w:rsidR="001F4BC0" w:rsidRPr="0076565F">
        <w:t>Huang</w:t>
      </w:r>
      <w:proofErr w:type="spellEnd"/>
      <w:r w:rsidR="001F4BC0" w:rsidRPr="0076565F">
        <w:t>, 2016;</w:t>
      </w:r>
      <w:r w:rsidR="00CF3782" w:rsidRPr="0076565F">
        <w:t xml:space="preserve"> </w:t>
      </w:r>
      <w:proofErr w:type="spellStart"/>
      <w:r w:rsidR="000D5127" w:rsidRPr="0076565F">
        <w:t>Klassen</w:t>
      </w:r>
      <w:proofErr w:type="spellEnd"/>
      <w:r w:rsidR="000D5127" w:rsidRPr="0076565F">
        <w:t xml:space="preserve">, </w:t>
      </w:r>
      <w:proofErr w:type="spellStart"/>
      <w:proofErr w:type="gramStart"/>
      <w:r w:rsidR="000D5127" w:rsidRPr="0076565F">
        <w:t>Krawchuk</w:t>
      </w:r>
      <w:proofErr w:type="spellEnd"/>
      <w:r w:rsidR="000D5127" w:rsidRPr="0076565F">
        <w:t>,</w:t>
      </w:r>
      <w:proofErr w:type="gramEnd"/>
      <w:r w:rsidR="000D5127" w:rsidRPr="0076565F">
        <w:t xml:space="preserve"> </w:t>
      </w:r>
      <w:r w:rsidR="00AC62AA">
        <w:t>ve</w:t>
      </w:r>
      <w:r w:rsidR="000D5127" w:rsidRPr="0076565F">
        <w:t xml:space="preserve"> </w:t>
      </w:r>
      <w:proofErr w:type="spellStart"/>
      <w:r w:rsidR="000D5127" w:rsidRPr="0076565F">
        <w:t>Rajani</w:t>
      </w:r>
      <w:proofErr w:type="spellEnd"/>
      <w:r w:rsidR="000D5127" w:rsidRPr="0076565F">
        <w:t xml:space="preserve">, 2008; </w:t>
      </w:r>
      <w:r w:rsidR="00CF3782" w:rsidRPr="0076565F">
        <w:t>Korkmaz, 2018;</w:t>
      </w:r>
      <w:r w:rsidR="001F4BC0" w:rsidRPr="0076565F">
        <w:t xml:space="preserve"> </w:t>
      </w:r>
      <w:r w:rsidR="00CF3782" w:rsidRPr="0076565F">
        <w:t xml:space="preserve">Pamuk </w:t>
      </w:r>
      <w:r w:rsidR="00AC62AA">
        <w:t>ve</w:t>
      </w:r>
      <w:r w:rsidR="00CF3782" w:rsidRPr="0076565F">
        <w:t xml:space="preserve"> Elmas, 2015; </w:t>
      </w:r>
      <w:r w:rsidR="00730E04" w:rsidRPr="0076565F">
        <w:t xml:space="preserve">Uçar </w:t>
      </w:r>
      <w:r w:rsidR="00AC62AA">
        <w:t>ve</w:t>
      </w:r>
      <w:r w:rsidR="00730E04" w:rsidRPr="0076565F">
        <w:t xml:space="preserve"> Sungur, </w:t>
      </w:r>
      <w:r w:rsidR="001F4BC0" w:rsidRPr="0076565F">
        <w:t>2017</w:t>
      </w:r>
      <w:r w:rsidR="00595D05" w:rsidRPr="0076565F">
        <w:t>).</w:t>
      </w:r>
      <w:r w:rsidR="00F4649A" w:rsidRPr="0076565F">
        <w:t xml:space="preserve"> Öğrenme stratejileri ve kalibrasyon da bu gruba dahil edilebilir. </w:t>
      </w:r>
      <w:r w:rsidR="00736F14" w:rsidRPr="0076565F">
        <w:t xml:space="preserve">Kalibrasyon ve öz yeterlik kavramlarının birlikte araştırıldığı </w:t>
      </w:r>
      <w:proofErr w:type="spellStart"/>
      <w:r w:rsidR="00F9081D" w:rsidRPr="0076565F">
        <w:t>Chen</w:t>
      </w:r>
      <w:proofErr w:type="spellEnd"/>
      <w:r w:rsidR="00F9081D" w:rsidRPr="0076565F">
        <w:t xml:space="preserve"> (2003) </w:t>
      </w:r>
      <w:r w:rsidR="00F9081D">
        <w:t xml:space="preserve">tarafından gerçekleştirilen </w:t>
      </w:r>
      <w:r w:rsidR="00736F14" w:rsidRPr="0076565F">
        <w:t xml:space="preserve">bir çalışmada </w:t>
      </w:r>
      <w:r w:rsidR="00BF0DE2">
        <w:t>k</w:t>
      </w:r>
      <w:r w:rsidR="00BF0DE2" w:rsidRPr="0076565F">
        <w:t xml:space="preserve">alibrasyon </w:t>
      </w:r>
      <w:r w:rsidR="00B74C40" w:rsidRPr="0076565F">
        <w:t>ölçümleri</w:t>
      </w:r>
      <w:r w:rsidR="00BF0DE2">
        <w:t>,</w:t>
      </w:r>
      <w:r w:rsidR="00B74C40" w:rsidRPr="0076565F">
        <w:t xml:space="preserve"> öğrencilere verilen matematik problemlerini çözmeden önce çözüp çözemeyece</w:t>
      </w:r>
      <w:r w:rsidR="009D4D56" w:rsidRPr="0076565F">
        <w:t>kleri hakkındaki</w:t>
      </w:r>
      <w:r w:rsidR="00B74C40" w:rsidRPr="0076565F">
        <w:t xml:space="preserve"> tahminleri alınarak belirlenmiştir. </w:t>
      </w:r>
      <w:r w:rsidR="003326AD">
        <w:t>Ö</w:t>
      </w:r>
      <w:r w:rsidR="003326AD" w:rsidRPr="0076565F">
        <w:t xml:space="preserve">ğrencilerin </w:t>
      </w:r>
      <w:r w:rsidR="006E636F" w:rsidRPr="0076565F">
        <w:t>kalibrasyon isabetliliğinin öz yeterlikleri üzerinde anlamlı bir etkisi</w:t>
      </w:r>
      <w:r w:rsidR="00161FA1" w:rsidRPr="0076565F">
        <w:t>nin</w:t>
      </w:r>
      <w:r w:rsidR="006E636F" w:rsidRPr="0076565F">
        <w:t xml:space="preserve"> olduğu ortaya çıkmıştır. Çalışmadaki bir diğer önemli bulgu da sorulan soru zorluğunun ortaya çıkardığı durumdur. Öğrencilerin kolay sorularda</w:t>
      </w:r>
      <w:r w:rsidR="007704FC" w:rsidRPr="0076565F">
        <w:t>ki</w:t>
      </w:r>
      <w:r w:rsidR="006E636F" w:rsidRPr="0076565F">
        <w:t xml:space="preserve"> kalib</w:t>
      </w:r>
      <w:r w:rsidR="00627255">
        <w:t>r</w:t>
      </w:r>
      <w:r w:rsidR="006E636F" w:rsidRPr="0076565F">
        <w:t>asyon becerileri ve öz yeterlikleri zor sorulara göre daha yüksek bulunmuştur.</w:t>
      </w:r>
      <w:r w:rsidR="00BF0DE2" w:rsidRPr="00BF0DE2">
        <w:rPr>
          <w:rFonts w:ascii="Arial" w:hAnsi="Arial" w:cs="Arial"/>
          <w:sz w:val="30"/>
          <w:szCs w:val="30"/>
        </w:rPr>
        <w:t xml:space="preserve"> </w:t>
      </w:r>
      <w:r w:rsidR="00BF0DE2" w:rsidRPr="00BF0DE2">
        <w:rPr>
          <w:rStyle w:val="markedcontent"/>
          <w:szCs w:val="30"/>
        </w:rPr>
        <w:t xml:space="preserve">Hong, </w:t>
      </w:r>
      <w:proofErr w:type="spellStart"/>
      <w:r w:rsidR="00BF0DE2" w:rsidRPr="00BF0DE2">
        <w:rPr>
          <w:rStyle w:val="markedcontent"/>
          <w:szCs w:val="30"/>
        </w:rPr>
        <w:t>Hwang</w:t>
      </w:r>
      <w:proofErr w:type="spellEnd"/>
      <w:r w:rsidR="00BF0DE2" w:rsidRPr="00BF0DE2">
        <w:rPr>
          <w:rStyle w:val="markedcontent"/>
          <w:szCs w:val="30"/>
        </w:rPr>
        <w:t xml:space="preserve">, </w:t>
      </w:r>
      <w:proofErr w:type="spellStart"/>
      <w:r w:rsidR="00BF0DE2" w:rsidRPr="00BF0DE2">
        <w:rPr>
          <w:rStyle w:val="markedcontent"/>
          <w:szCs w:val="30"/>
        </w:rPr>
        <w:t>Tai</w:t>
      </w:r>
      <w:proofErr w:type="spellEnd"/>
      <w:r w:rsidR="00BF0DE2" w:rsidRPr="00BF0DE2">
        <w:rPr>
          <w:rStyle w:val="markedcontent"/>
          <w:szCs w:val="30"/>
        </w:rPr>
        <w:t xml:space="preserve">, </w:t>
      </w:r>
      <w:r w:rsidR="00BF0DE2">
        <w:rPr>
          <w:rStyle w:val="markedcontent"/>
          <w:szCs w:val="30"/>
        </w:rPr>
        <w:t>ve</w:t>
      </w:r>
      <w:r w:rsidR="00BF0DE2" w:rsidRPr="00BF0DE2">
        <w:rPr>
          <w:rStyle w:val="markedcontent"/>
          <w:szCs w:val="30"/>
        </w:rPr>
        <w:t xml:space="preserve"> </w:t>
      </w:r>
      <w:proofErr w:type="spellStart"/>
      <w:r w:rsidR="00BF0DE2" w:rsidRPr="00BF0DE2">
        <w:rPr>
          <w:rStyle w:val="markedcontent"/>
          <w:szCs w:val="30"/>
        </w:rPr>
        <w:t>Chen</w:t>
      </w:r>
      <w:proofErr w:type="spellEnd"/>
      <w:r w:rsidR="00BF0DE2" w:rsidRPr="00BF0DE2">
        <w:rPr>
          <w:rStyle w:val="markedcontent"/>
          <w:szCs w:val="30"/>
        </w:rPr>
        <w:t xml:space="preserve"> (2014</w:t>
      </w:r>
      <w:r w:rsidR="00BF0DE2" w:rsidRPr="00C61D6E">
        <w:rPr>
          <w:rStyle w:val="markedcontent"/>
          <w:szCs w:val="30"/>
        </w:rPr>
        <w:t>)</w:t>
      </w:r>
      <w:r w:rsidR="006E636F" w:rsidRPr="0076565F">
        <w:t xml:space="preserve"> </w:t>
      </w:r>
      <w:r w:rsidR="00C7584C">
        <w:t xml:space="preserve">dil öğreniminde kelime haznesi gelişimi için akıllı mobil cihaz kullanma öz yeterliği ile aşırı öz güven ilişkisini (düşük </w:t>
      </w:r>
      <w:proofErr w:type="gramStart"/>
      <w:r w:rsidR="00C7584C">
        <w:t>kalibrasyon</w:t>
      </w:r>
      <w:proofErr w:type="gramEnd"/>
      <w:r w:rsidR="00C7584C">
        <w:t xml:space="preserve">) araştırmışlardır. Araştırma sonucunda </w:t>
      </w:r>
      <w:r w:rsidR="004D595C">
        <w:t xml:space="preserve">akıllı cihaz kullanımı öz yeterliği katılımcıların aşırı güven duygusunun negatif bir </w:t>
      </w:r>
      <w:proofErr w:type="spellStart"/>
      <w:r w:rsidR="004D595C">
        <w:t>yordayıcısı</w:t>
      </w:r>
      <w:proofErr w:type="spellEnd"/>
      <w:r w:rsidR="004D595C">
        <w:t xml:space="preserve"> olarak bulunmuştur. Bir başka ifadeyle, kelime haznesini geliştirmek için kullanılan akıllı mobil cihaz kullanımı öz yeterliği arttıkça, katılımcıların aşırı güven sergileme davranışları azalmaktadır. Bu durum, öz yeterlik ile kalibrasyon isabetliliği arasında pozitif bir ilişki olduğunu göstermektedir. </w:t>
      </w:r>
      <w:r w:rsidR="00FC647E">
        <w:t>Araştırma</w:t>
      </w:r>
      <w:r w:rsidR="00FC647E" w:rsidRPr="0076565F">
        <w:t xml:space="preserve"> </w:t>
      </w:r>
      <w:r w:rsidR="00A12165" w:rsidRPr="0076565F">
        <w:t>bulgular</w:t>
      </w:r>
      <w:r w:rsidR="00FC647E">
        <w:t>ı</w:t>
      </w:r>
      <w:r w:rsidR="00A12165" w:rsidRPr="0076565F">
        <w:t>, kalibrasyon isabetliliği ve öz-yeterliğin ilişkili olduğunu ortaya koymuştur. Ayrıca</w:t>
      </w:r>
      <w:r w:rsidR="004274CE" w:rsidRPr="0076565F">
        <w:t xml:space="preserve"> bu bulgular</w:t>
      </w:r>
      <w:r w:rsidR="00A12165" w:rsidRPr="0076565F">
        <w:t xml:space="preserve"> yüksek kalibrasyon becerisine sahip olmanın, etkili bir okul başarısı performansı sergile</w:t>
      </w:r>
      <w:r w:rsidR="004274CE" w:rsidRPr="0076565F">
        <w:t>yebil</w:t>
      </w:r>
      <w:r w:rsidR="00A12165" w:rsidRPr="0076565F">
        <w:t xml:space="preserve">mek için </w:t>
      </w:r>
      <w:r w:rsidR="00545757" w:rsidRPr="0076565F">
        <w:t>gerekli olan</w:t>
      </w:r>
      <w:r w:rsidR="00A12165" w:rsidRPr="0076565F">
        <w:t xml:space="preserve"> </w:t>
      </w:r>
      <w:r w:rsidR="00545757" w:rsidRPr="0076565F">
        <w:t>biliş üstü</w:t>
      </w:r>
      <w:r w:rsidR="00A12165" w:rsidRPr="0076565F">
        <w:t xml:space="preserve"> farkındalığı temsil ettiğini göstermektedir.</w:t>
      </w:r>
    </w:p>
    <w:p w14:paraId="2A06B04D" w14:textId="3ECF4EB1" w:rsidR="00761EDF" w:rsidRPr="0076565F" w:rsidRDefault="00FE3DFA" w:rsidP="004D51BC">
      <w:pPr>
        <w:ind w:left="0" w:firstLine="0"/>
        <w:jc w:val="both"/>
      </w:pPr>
      <w:r w:rsidRPr="0076565F">
        <w:tab/>
      </w:r>
      <w:r w:rsidR="008D2DF4" w:rsidRPr="0076565F">
        <w:t xml:space="preserve">Kalibrasyon kavramının kuramsal olarak öğrenme stratejileri, öz düzenleme, biliş üstü stratejiler ve motivasyon ile ilişkili olduğu alan yazın tarafından </w:t>
      </w:r>
      <w:r w:rsidR="00C90857" w:rsidRPr="0076565F">
        <w:t>desteklenmektedir</w:t>
      </w:r>
      <w:r w:rsidR="008D2DF4" w:rsidRPr="0076565F">
        <w:t>.</w:t>
      </w:r>
      <w:r w:rsidR="00C90857" w:rsidRPr="0076565F">
        <w:t xml:space="preserve"> </w:t>
      </w:r>
      <w:r w:rsidR="00452287">
        <w:t>B</w:t>
      </w:r>
      <w:r w:rsidR="00452287" w:rsidRPr="0076565F">
        <w:t>iliş</w:t>
      </w:r>
      <w:r w:rsidR="00452287">
        <w:t xml:space="preserve"> üstü stratejiler</w:t>
      </w:r>
      <w:r w:rsidR="00C90857" w:rsidRPr="0076565F">
        <w:t>, çaba düzenlemesi ve öz yeterlik gibi kavramlar öğrencilerin kendi öğrenmelerini yönetmede önemli bir yere sahiptir (</w:t>
      </w:r>
      <w:proofErr w:type="spellStart"/>
      <w:r w:rsidR="0090388F" w:rsidRPr="0076565F">
        <w:t>Schunk</w:t>
      </w:r>
      <w:proofErr w:type="spellEnd"/>
      <w:r w:rsidR="0090388F" w:rsidRPr="0076565F">
        <w:t xml:space="preserve"> </w:t>
      </w:r>
      <w:r w:rsidR="00AC62AA">
        <w:t>ve</w:t>
      </w:r>
      <w:r w:rsidR="0090388F" w:rsidRPr="0076565F">
        <w:t xml:space="preserve"> </w:t>
      </w:r>
      <w:proofErr w:type="spellStart"/>
      <w:r w:rsidR="0090388F" w:rsidRPr="0076565F">
        <w:t>Ertmer</w:t>
      </w:r>
      <w:proofErr w:type="spellEnd"/>
      <w:r w:rsidR="0090388F" w:rsidRPr="0076565F">
        <w:t xml:space="preserve">, 2000; </w:t>
      </w:r>
      <w:proofErr w:type="spellStart"/>
      <w:r w:rsidR="00840A50">
        <w:t>Schunk</w:t>
      </w:r>
      <w:proofErr w:type="spellEnd"/>
      <w:r w:rsidR="00840A50">
        <w:t xml:space="preserve"> ve </w:t>
      </w:r>
      <w:proofErr w:type="spellStart"/>
      <w:r w:rsidR="00840A50">
        <w:t>Zimmerman</w:t>
      </w:r>
      <w:proofErr w:type="spellEnd"/>
      <w:r w:rsidR="00840A50">
        <w:t xml:space="preserve">, 2011; </w:t>
      </w:r>
      <w:proofErr w:type="spellStart"/>
      <w:r w:rsidR="00EF5952" w:rsidRPr="0076565F">
        <w:t>Zimmerman</w:t>
      </w:r>
      <w:proofErr w:type="spellEnd"/>
      <w:r w:rsidR="00C90857" w:rsidRPr="0076565F">
        <w:t>,</w:t>
      </w:r>
      <w:r w:rsidR="00EF5952" w:rsidRPr="0076565F">
        <w:t xml:space="preserve"> </w:t>
      </w:r>
      <w:r w:rsidR="00840A50">
        <w:t>2011</w:t>
      </w:r>
      <w:r w:rsidR="00C90857" w:rsidRPr="0076565F">
        <w:t>).</w:t>
      </w:r>
      <w:r w:rsidR="008D2DF4" w:rsidRPr="0076565F">
        <w:t xml:space="preserve"> Ancak özellikle Türkiye’de kalibrasyon ve </w:t>
      </w:r>
      <w:r w:rsidR="00C90857" w:rsidRPr="0076565F">
        <w:t xml:space="preserve">kuramsal olarak </w:t>
      </w:r>
      <w:r w:rsidR="008D2DF4" w:rsidRPr="0076565F">
        <w:t xml:space="preserve">ilişkili olduğu değişkenlerin araştırıldığı çalışma sayısı sınırlıdır (Aşık </w:t>
      </w:r>
      <w:r w:rsidR="00AC62AA">
        <w:t>ve</w:t>
      </w:r>
      <w:r w:rsidR="008D2DF4" w:rsidRPr="0076565F">
        <w:t xml:space="preserve"> Sevimli, 2015; Özsoy, 2012)</w:t>
      </w:r>
      <w:r w:rsidR="00C90857" w:rsidRPr="0076565F">
        <w:t>. Bu çalışma</w:t>
      </w:r>
      <w:r w:rsidR="00E668F6">
        <w:t xml:space="preserve">da </w:t>
      </w:r>
      <w:r w:rsidR="00D5210D">
        <w:t xml:space="preserve">kalibrasyon kavramı ve kuramsal olarak ilişkili olduğu motivasyon ve </w:t>
      </w:r>
      <w:proofErr w:type="spellStart"/>
      <w:r w:rsidR="00D5210D">
        <w:t>üstbiliş</w:t>
      </w:r>
      <w:proofErr w:type="spellEnd"/>
      <w:r w:rsidR="00D5210D">
        <w:t xml:space="preserve"> değişkenlerinin </w:t>
      </w:r>
      <w:r w:rsidR="00E668F6">
        <w:t xml:space="preserve">ilişkisi </w:t>
      </w:r>
      <w:r w:rsidR="00D5210D">
        <w:t>araştırıldığı</w:t>
      </w:r>
      <w:r w:rsidR="00E668F6">
        <w:t>ndan,</w:t>
      </w:r>
      <w:r w:rsidR="00D5210D">
        <w:t xml:space="preserve"> </w:t>
      </w:r>
      <w:r w:rsidR="00C90857" w:rsidRPr="0076565F">
        <w:t xml:space="preserve">alan yazına </w:t>
      </w:r>
      <w:r w:rsidR="00B8248F" w:rsidRPr="0076565F">
        <w:t xml:space="preserve">katkı sağlanması amaçlanmaktadır. Bu </w:t>
      </w:r>
      <w:r w:rsidR="007156AA" w:rsidRPr="0076565F">
        <w:t>doğrultuda</w:t>
      </w:r>
      <w:r w:rsidR="00B8248F" w:rsidRPr="0076565F">
        <w:t xml:space="preserve"> mevcut çalışmaya yön veren araştırma soruları şunlardır:</w:t>
      </w:r>
    </w:p>
    <w:p w14:paraId="5DA6401B" w14:textId="58E667D0" w:rsidR="00B8248F" w:rsidRPr="0076565F" w:rsidRDefault="00B8248F" w:rsidP="004D51BC">
      <w:pPr>
        <w:ind w:left="426" w:firstLine="0"/>
        <w:jc w:val="both"/>
      </w:pPr>
      <w:r w:rsidRPr="0076565F">
        <w:t xml:space="preserve">1. Fen bilimleri öğretmen adaylarının organik kimya dersi kalibrasyon becerileri ve sınav başarıları arasında ilişki </w:t>
      </w:r>
      <w:r w:rsidR="003326AD">
        <w:t>var mıdır</w:t>
      </w:r>
      <w:r w:rsidRPr="0076565F">
        <w:t>?</w:t>
      </w:r>
    </w:p>
    <w:p w14:paraId="4DF6263F" w14:textId="54F86924" w:rsidR="007156AA" w:rsidRPr="0076565F" w:rsidRDefault="00B8248F" w:rsidP="004D51BC">
      <w:pPr>
        <w:ind w:left="426" w:firstLine="0"/>
        <w:jc w:val="both"/>
      </w:pPr>
      <w:r w:rsidRPr="0076565F">
        <w:t xml:space="preserve">2. </w:t>
      </w:r>
      <w:r w:rsidR="007156AA" w:rsidRPr="0076565F">
        <w:t xml:space="preserve">Fen bilimleri öğretmen adaylarının organik kimya dersi kalibrasyon becerileri, öğrenme stratejileri ve öz yeterlikleri arasında ilişki </w:t>
      </w:r>
      <w:r w:rsidR="003326AD">
        <w:t>var mıdır</w:t>
      </w:r>
      <w:r w:rsidR="007156AA" w:rsidRPr="0076565F">
        <w:t>?</w:t>
      </w:r>
    </w:p>
    <w:p w14:paraId="772621F0" w14:textId="77777777" w:rsidR="00504A97" w:rsidRDefault="00504A97" w:rsidP="004D51BC">
      <w:pPr>
        <w:ind w:left="0" w:firstLine="0"/>
        <w:jc w:val="center"/>
        <w:rPr>
          <w:b/>
        </w:rPr>
      </w:pPr>
    </w:p>
    <w:p w14:paraId="0CF0F957" w14:textId="77777777" w:rsidR="00035A33" w:rsidRPr="0076565F" w:rsidRDefault="00035A33" w:rsidP="004D51BC">
      <w:pPr>
        <w:ind w:left="0" w:firstLine="0"/>
        <w:jc w:val="center"/>
        <w:rPr>
          <w:b/>
        </w:rPr>
      </w:pPr>
      <w:r w:rsidRPr="0076565F">
        <w:rPr>
          <w:b/>
        </w:rPr>
        <w:lastRenderedPageBreak/>
        <w:t>Yöntem</w:t>
      </w:r>
    </w:p>
    <w:p w14:paraId="139A298B" w14:textId="66727A67" w:rsidR="00FD0893" w:rsidRPr="0076565F" w:rsidRDefault="00FE3DFA" w:rsidP="004D51BC">
      <w:pPr>
        <w:ind w:left="0" w:firstLine="0"/>
        <w:jc w:val="both"/>
      </w:pPr>
      <w:r w:rsidRPr="0076565F">
        <w:tab/>
      </w:r>
      <w:r w:rsidR="00FD0893" w:rsidRPr="0076565F">
        <w:t>Bu çalışma</w:t>
      </w:r>
      <w:r w:rsidR="004B27B2" w:rsidRPr="0076565F">
        <w:t>,</w:t>
      </w:r>
      <w:r w:rsidR="00FD0893" w:rsidRPr="0076565F">
        <w:t xml:space="preserve"> herhangi bir değişkenin araştırmacı tarafından manipüle edilmediği, var olan durum olduğu gibi ortaya konduğu </w:t>
      </w:r>
      <w:r w:rsidR="003F046E" w:rsidRPr="0076565F">
        <w:t xml:space="preserve">için </w:t>
      </w:r>
      <w:r w:rsidR="00FD0893" w:rsidRPr="0076565F">
        <w:t>bir tarama çalışması olarak tanımlanabilir</w:t>
      </w:r>
      <w:r w:rsidR="00AA369C" w:rsidRPr="0076565F">
        <w:t xml:space="preserve"> (</w:t>
      </w:r>
      <w:proofErr w:type="spellStart"/>
      <w:r w:rsidR="0093798E" w:rsidRPr="0076565F">
        <w:t>Fraenkel</w:t>
      </w:r>
      <w:proofErr w:type="spellEnd"/>
      <w:r w:rsidR="0093798E" w:rsidRPr="0076565F">
        <w:t xml:space="preserve">, </w:t>
      </w:r>
      <w:proofErr w:type="spellStart"/>
      <w:r w:rsidR="0093798E" w:rsidRPr="0076565F">
        <w:t>Wallen</w:t>
      </w:r>
      <w:proofErr w:type="spellEnd"/>
      <w:r w:rsidR="0093798E" w:rsidRPr="0076565F">
        <w:t xml:space="preserve"> </w:t>
      </w:r>
      <w:r w:rsidR="00AC62AA">
        <w:t>ve</w:t>
      </w:r>
      <w:r w:rsidR="0093798E" w:rsidRPr="0076565F">
        <w:t xml:space="preserve"> </w:t>
      </w:r>
      <w:proofErr w:type="spellStart"/>
      <w:r w:rsidR="0093798E" w:rsidRPr="0076565F">
        <w:t>Hyun</w:t>
      </w:r>
      <w:proofErr w:type="spellEnd"/>
      <w:r w:rsidR="0093798E" w:rsidRPr="0076565F">
        <w:t>, 2012</w:t>
      </w:r>
      <w:r w:rsidR="00AA369C" w:rsidRPr="0076565F">
        <w:t>)</w:t>
      </w:r>
      <w:r w:rsidR="00FD0893" w:rsidRPr="0076565F">
        <w:t xml:space="preserve">. Tarama çalışmaları nicel paradigmaya dayanmaktadır. Bu araştırma yönteminde zamana bağlı bir değişim incelenmediğinden veriler katılımcılardan tek seferde toplanmıştır. Bu nedenle veri toplama </w:t>
      </w:r>
      <w:proofErr w:type="spellStart"/>
      <w:r w:rsidR="00FD0893" w:rsidRPr="0076565F">
        <w:t>kesitsel</w:t>
      </w:r>
      <w:proofErr w:type="spellEnd"/>
      <w:r w:rsidR="00FD0893" w:rsidRPr="0076565F">
        <w:t xml:space="preserve"> veri toplama şeklinde gerçekleştirilmiştir</w:t>
      </w:r>
      <w:r w:rsidR="00A83200" w:rsidRPr="0076565F">
        <w:t xml:space="preserve"> </w:t>
      </w:r>
      <w:r w:rsidR="00AA369C" w:rsidRPr="0076565F">
        <w:t>(</w:t>
      </w:r>
      <w:proofErr w:type="spellStart"/>
      <w:r w:rsidR="003E6737" w:rsidRPr="0076565F">
        <w:t>Fraenkel</w:t>
      </w:r>
      <w:proofErr w:type="spellEnd"/>
      <w:r w:rsidR="0093798E" w:rsidRPr="0076565F">
        <w:t xml:space="preserve"> ve </w:t>
      </w:r>
      <w:proofErr w:type="spellStart"/>
      <w:r w:rsidR="0093798E" w:rsidRPr="0076565F">
        <w:t>diğ</w:t>
      </w:r>
      <w:proofErr w:type="spellEnd"/>
      <w:r w:rsidR="0093798E" w:rsidRPr="0076565F">
        <w:t xml:space="preserve">., </w:t>
      </w:r>
      <w:r w:rsidR="001C0088" w:rsidRPr="0076565F">
        <w:t>201</w:t>
      </w:r>
      <w:r w:rsidR="00222D68" w:rsidRPr="0076565F">
        <w:t>2</w:t>
      </w:r>
      <w:r w:rsidR="00AA369C" w:rsidRPr="0076565F">
        <w:t xml:space="preserve">). </w:t>
      </w:r>
      <w:r w:rsidR="00FD0893" w:rsidRPr="0076565F">
        <w:t xml:space="preserve">Bu çalışmada da katılımcılardan öz düzenleme becerileri olan </w:t>
      </w:r>
      <w:proofErr w:type="spellStart"/>
      <w:r w:rsidR="00FD0893" w:rsidRPr="0076565F">
        <w:t>üstbiliş</w:t>
      </w:r>
      <w:proofErr w:type="spellEnd"/>
      <w:r w:rsidR="00FD0893" w:rsidRPr="0076565F">
        <w:t xml:space="preserve"> ve çaba düzenlemesi verileriyle öz yeterlik algısı verileri tek seferde uygulanan anketler vasıtasıyla toplanmış, kalibrasyon ve </w:t>
      </w:r>
      <w:r w:rsidR="001902B5">
        <w:t>yarıyıl</w:t>
      </w:r>
      <w:r w:rsidR="00C13414" w:rsidRPr="0076565F">
        <w:t xml:space="preserve"> sonu</w:t>
      </w:r>
      <w:r w:rsidR="00FD0893" w:rsidRPr="0076565F">
        <w:t xml:space="preserve"> puanı verileri de öğrencilerin </w:t>
      </w:r>
      <w:r w:rsidR="001902B5">
        <w:t>yarıyıl</w:t>
      </w:r>
      <w:r w:rsidR="00C13414" w:rsidRPr="0076565F">
        <w:t xml:space="preserve"> sonu </w:t>
      </w:r>
      <w:r w:rsidR="00FD0893" w:rsidRPr="0076565F">
        <w:t>sınavları esnasında alacaklarını düşündükleri notu sınav kağıdında ayrılan bölüme yazmalarıyla toplanmıştır.</w:t>
      </w:r>
    </w:p>
    <w:p w14:paraId="1C38700C" w14:textId="77777777" w:rsidR="003434C2" w:rsidRPr="0076565F" w:rsidRDefault="003434C2" w:rsidP="004D51BC">
      <w:pPr>
        <w:ind w:left="0" w:firstLine="0"/>
        <w:jc w:val="both"/>
        <w:rPr>
          <w:b/>
        </w:rPr>
      </w:pPr>
      <w:r w:rsidRPr="0076565F">
        <w:rPr>
          <w:b/>
        </w:rPr>
        <w:t>Katılımcılar</w:t>
      </w:r>
    </w:p>
    <w:p w14:paraId="3C2F38D4" w14:textId="797B9ADD" w:rsidR="003434C2" w:rsidRPr="0076565F" w:rsidRDefault="00FE3DFA" w:rsidP="004D51BC">
      <w:pPr>
        <w:ind w:left="0" w:firstLine="0"/>
        <w:jc w:val="both"/>
      </w:pPr>
      <w:r w:rsidRPr="0076565F">
        <w:tab/>
      </w:r>
      <w:r w:rsidR="003434C2" w:rsidRPr="0076565F">
        <w:t>Çalışmanın katılımcılarını</w:t>
      </w:r>
      <w:r w:rsidR="00855CD9" w:rsidRPr="0076565F">
        <w:t xml:space="preserve"> </w:t>
      </w:r>
      <w:r w:rsidR="007C6471" w:rsidRPr="0076565F">
        <w:t xml:space="preserve">bir üniversitenin eğitim fakültesi </w:t>
      </w:r>
      <w:r w:rsidR="00855CD9" w:rsidRPr="0076565F">
        <w:t xml:space="preserve">fen bilgisi öğretmenliği programında öğrenim </w:t>
      </w:r>
      <w:r w:rsidR="0034770D" w:rsidRPr="0076565F">
        <w:t>gören 76</w:t>
      </w:r>
      <w:r w:rsidR="003434C2" w:rsidRPr="0076565F">
        <w:t xml:space="preserve"> ikinci sınıf fen bilimleri öğretmen adayı oluşturmaktadır. </w:t>
      </w:r>
      <w:r w:rsidR="00F75F43">
        <w:t xml:space="preserve">Katılımcılar uygun örnekleme yöntemi ile belirlenmiştir. </w:t>
      </w:r>
      <w:r w:rsidR="003434C2" w:rsidRPr="0076565F">
        <w:t xml:space="preserve">Katılımcıların </w:t>
      </w:r>
      <w:r w:rsidR="001F627A" w:rsidRPr="0076565F">
        <w:t>61’</w:t>
      </w:r>
      <w:r w:rsidR="003434C2" w:rsidRPr="0076565F">
        <w:t xml:space="preserve">i </w:t>
      </w:r>
      <w:r w:rsidR="001F627A" w:rsidRPr="00CB7574">
        <w:t>(</w:t>
      </w:r>
      <w:r w:rsidR="00C61D6E" w:rsidRPr="00CB7574">
        <w:t>%80</w:t>
      </w:r>
      <w:r w:rsidR="00C61D6E">
        <w:t>.</w:t>
      </w:r>
      <w:r w:rsidR="00C61D6E" w:rsidRPr="00CB7574">
        <w:t>30</w:t>
      </w:r>
      <w:r w:rsidR="001F627A" w:rsidRPr="00CB7574">
        <w:t xml:space="preserve">) </w:t>
      </w:r>
      <w:r w:rsidR="003434C2" w:rsidRPr="00CB7574">
        <w:t xml:space="preserve">kız, </w:t>
      </w:r>
      <w:r w:rsidR="001F627A" w:rsidRPr="00CB7574">
        <w:t>15’i</w:t>
      </w:r>
      <w:r w:rsidR="003434C2" w:rsidRPr="00CB7574">
        <w:t xml:space="preserve"> </w:t>
      </w:r>
      <w:r w:rsidR="001F627A" w:rsidRPr="00CB7574">
        <w:t>(</w:t>
      </w:r>
      <w:r w:rsidR="00C61D6E" w:rsidRPr="00CB7574">
        <w:t>%19</w:t>
      </w:r>
      <w:r w:rsidR="00C61D6E">
        <w:t>.</w:t>
      </w:r>
      <w:r w:rsidR="00C61D6E" w:rsidRPr="00CB7574">
        <w:t>70</w:t>
      </w:r>
      <w:r w:rsidR="001F627A" w:rsidRPr="00CB7574">
        <w:t xml:space="preserve">) </w:t>
      </w:r>
      <w:r w:rsidR="003434C2" w:rsidRPr="00CB7574">
        <w:t xml:space="preserve">erkek öğrencilerden oluşmaktadır. </w:t>
      </w:r>
      <w:r w:rsidR="007C6471" w:rsidRPr="00CB7574">
        <w:t>Katılımcıların yaşları 19 ile 24 (</w:t>
      </w:r>
      <m:oMath>
        <m:acc>
          <m:accPr>
            <m:chr m:val="̅"/>
            <m:ctrlPr>
              <w:rPr>
                <w:rFonts w:ascii="Cambria Math" w:hAnsi="Cambria Math"/>
                <w:i/>
              </w:rPr>
            </m:ctrlPr>
          </m:accPr>
          <m:e>
            <m:r>
              <w:rPr>
                <w:rFonts w:ascii="Cambria Math" w:hAnsi="Cambria Math"/>
              </w:rPr>
              <m:t>X</m:t>
            </m:r>
          </m:e>
        </m:acc>
      </m:oMath>
      <w:r w:rsidR="00122F38" w:rsidRPr="00CB7574">
        <w:t xml:space="preserve"> = 20</w:t>
      </w:r>
      <w:r w:rsidR="00C61D6E">
        <w:t>.</w:t>
      </w:r>
      <w:r w:rsidR="00122F38" w:rsidRPr="00CB7574">
        <w:t xml:space="preserve">57, </w:t>
      </w:r>
      <w:proofErr w:type="spellStart"/>
      <w:r w:rsidR="00122F38" w:rsidRPr="00CB7574">
        <w:rPr>
          <w:i/>
        </w:rPr>
        <w:t>Sd</w:t>
      </w:r>
      <w:proofErr w:type="spellEnd"/>
      <w:r w:rsidR="00F27AE5">
        <w:rPr>
          <w:i/>
        </w:rPr>
        <w:t xml:space="preserve"> </w:t>
      </w:r>
      <w:r w:rsidR="00122F38" w:rsidRPr="00CB7574">
        <w:t>=</w:t>
      </w:r>
      <w:r w:rsidR="00F27AE5">
        <w:t xml:space="preserve"> </w:t>
      </w:r>
      <w:r w:rsidR="00122F38" w:rsidRPr="00CB7574">
        <w:t>1</w:t>
      </w:r>
      <w:r w:rsidR="00C61D6E">
        <w:t>,</w:t>
      </w:r>
      <w:r w:rsidR="00122F38" w:rsidRPr="00CB7574">
        <w:t>26</w:t>
      </w:r>
      <w:r w:rsidR="007C6471" w:rsidRPr="00CB7574">
        <w:t>)</w:t>
      </w:r>
      <w:r w:rsidR="00122F38" w:rsidRPr="0076565F">
        <w:t xml:space="preserve"> </w:t>
      </w:r>
      <w:r w:rsidR="007C6471" w:rsidRPr="0076565F">
        <w:t xml:space="preserve">arasında değişmektedir </w:t>
      </w:r>
    </w:p>
    <w:p w14:paraId="7AA3E6E4" w14:textId="77777777" w:rsidR="003434C2" w:rsidRPr="0076565F" w:rsidRDefault="003434C2" w:rsidP="004D51BC">
      <w:pPr>
        <w:ind w:left="0" w:firstLine="0"/>
        <w:jc w:val="both"/>
        <w:rPr>
          <w:b/>
        </w:rPr>
      </w:pPr>
      <w:r w:rsidRPr="0076565F">
        <w:rPr>
          <w:b/>
        </w:rPr>
        <w:t>Ölçme Araçları</w:t>
      </w:r>
    </w:p>
    <w:p w14:paraId="7CDDBCC6" w14:textId="42E26EB6" w:rsidR="003434C2" w:rsidRPr="0076565F" w:rsidRDefault="006B5036" w:rsidP="004D51BC">
      <w:pPr>
        <w:ind w:left="0" w:firstLine="0"/>
        <w:jc w:val="both"/>
        <w:rPr>
          <w:b/>
          <w:i/>
        </w:rPr>
      </w:pPr>
      <w:r>
        <w:rPr>
          <w:b/>
          <w:i/>
        </w:rPr>
        <w:tab/>
      </w:r>
      <w:r w:rsidR="001902B5">
        <w:rPr>
          <w:b/>
          <w:i/>
        </w:rPr>
        <w:t>Yarıyıl</w:t>
      </w:r>
      <w:r w:rsidR="00B12750" w:rsidRPr="0076565F">
        <w:rPr>
          <w:b/>
          <w:i/>
        </w:rPr>
        <w:t xml:space="preserve"> Sonu Başarı Puanları </w:t>
      </w:r>
      <w:r w:rsidR="00B12750">
        <w:rPr>
          <w:b/>
          <w:i/>
        </w:rPr>
        <w:t>v</w:t>
      </w:r>
      <w:r w:rsidR="00B12750" w:rsidRPr="0076565F">
        <w:rPr>
          <w:b/>
          <w:i/>
        </w:rPr>
        <w:t>e Kalibrasyon</w:t>
      </w:r>
      <w:r w:rsidR="00B12750">
        <w:rPr>
          <w:b/>
          <w:i/>
        </w:rPr>
        <w:t>.</w:t>
      </w:r>
    </w:p>
    <w:p w14:paraId="619FF32F" w14:textId="434FDCC2" w:rsidR="00731C70" w:rsidRPr="0076565F" w:rsidRDefault="00FE3DFA" w:rsidP="004D51BC">
      <w:pPr>
        <w:ind w:left="0" w:firstLine="0"/>
        <w:jc w:val="both"/>
      </w:pPr>
      <w:r w:rsidRPr="0076565F">
        <w:tab/>
      </w:r>
      <w:r w:rsidR="008F6083" w:rsidRPr="0076565F">
        <w:t xml:space="preserve">Katılımcıların </w:t>
      </w:r>
      <w:r w:rsidR="001902B5">
        <w:t>yarıyıl</w:t>
      </w:r>
      <w:r w:rsidR="003F046E" w:rsidRPr="0076565F">
        <w:t xml:space="preserve"> sonu</w:t>
      </w:r>
      <w:r w:rsidR="003F046E" w:rsidRPr="0076565F">
        <w:rPr>
          <w:b/>
          <w:i/>
        </w:rPr>
        <w:t xml:space="preserve"> </w:t>
      </w:r>
      <w:r w:rsidR="008F6083" w:rsidRPr="0076565F">
        <w:t xml:space="preserve">başarı puanları dönem sonunda gerçekleştirilmiş olan </w:t>
      </w:r>
      <w:r w:rsidR="001902B5">
        <w:t>yarıyıl</w:t>
      </w:r>
      <w:r w:rsidR="003F046E" w:rsidRPr="0076565F">
        <w:t xml:space="preserve"> sonu</w:t>
      </w:r>
      <w:r w:rsidR="008F6083" w:rsidRPr="0076565F">
        <w:t xml:space="preserve"> sınavının 100 puan üzerinden değerlendirilmesiyle elde edilmiştir. </w:t>
      </w:r>
      <w:r w:rsidR="001902B5">
        <w:t>Yarıyıl</w:t>
      </w:r>
      <w:r w:rsidR="003F046E" w:rsidRPr="0076565F">
        <w:t xml:space="preserve"> sonu</w:t>
      </w:r>
      <w:r w:rsidR="00AA369C" w:rsidRPr="0076565F">
        <w:t xml:space="preserve"> s</w:t>
      </w:r>
      <w:r w:rsidR="008F6083" w:rsidRPr="0076565F">
        <w:t>ınav</w:t>
      </w:r>
      <w:r w:rsidR="00AA369C" w:rsidRPr="0076565F">
        <w:t>ı</w:t>
      </w:r>
      <w:r w:rsidR="008F6083" w:rsidRPr="0076565F">
        <w:t xml:space="preserve"> soru tipi çeşitliliği barındıran bir sınavdır.</w:t>
      </w:r>
      <w:r w:rsidR="00731C70" w:rsidRPr="0076565F">
        <w:t xml:space="preserve"> </w:t>
      </w:r>
      <w:r w:rsidR="003F046E" w:rsidRPr="0076565F">
        <w:t>S</w:t>
      </w:r>
      <w:r w:rsidR="00731C70" w:rsidRPr="0076565F">
        <w:t xml:space="preserve">ınavda açık uçlu sorularla birlikte çoktan seçmeli ve kısa cevaplı sorular yer almıştır. Katılımcıların kalibrasyon puanlarını hesaplayabilmek için sınav </w:t>
      </w:r>
      <w:r w:rsidR="00746879" w:rsidRPr="0076565F">
        <w:t>kâğıdı</w:t>
      </w:r>
      <w:r w:rsidR="00731C70" w:rsidRPr="0076565F">
        <w:t xml:space="preserve"> üzerinde öğrencilerin ad</w:t>
      </w:r>
      <w:r w:rsidR="00F8422A" w:rsidRPr="0076565F">
        <w:t xml:space="preserve">, </w:t>
      </w:r>
      <w:r w:rsidR="00731C70" w:rsidRPr="0076565F">
        <w:t>soy</w:t>
      </w:r>
      <w:r w:rsidR="00F8422A" w:rsidRPr="0076565F">
        <w:t xml:space="preserve"> </w:t>
      </w:r>
      <w:r w:rsidR="00731C70" w:rsidRPr="0076565F">
        <w:t>ad ve öğrenci numarası bilgilerini yazdıkları kısma “Bu sınavdan almayı beklediğiniz puan kaçtır?” sorusunun sorulduğu bir kısım eklenmiştir.</w:t>
      </w:r>
      <w:r w:rsidR="006C0630" w:rsidRPr="0076565F">
        <w:t xml:space="preserve"> Öğrencilerin sınavdan almayı bekledikleri notu da </w:t>
      </w:r>
      <w:r w:rsidR="00E614E4" w:rsidRPr="0076565F">
        <w:t xml:space="preserve">sınav kağıtlarını teslim etmeden hemen önce </w:t>
      </w:r>
      <w:r w:rsidR="006C0630" w:rsidRPr="0076565F">
        <w:t>100 puan üzerinden yazmaları istenmiştir.</w:t>
      </w:r>
      <w:r w:rsidR="00AA369C" w:rsidRPr="0076565F">
        <w:t xml:space="preserve"> </w:t>
      </w:r>
    </w:p>
    <w:p w14:paraId="50414AA2" w14:textId="77777777" w:rsidR="003434C2" w:rsidRPr="0076565F" w:rsidRDefault="006B5036" w:rsidP="004D51BC">
      <w:pPr>
        <w:ind w:left="0" w:firstLine="0"/>
        <w:jc w:val="both"/>
        <w:rPr>
          <w:b/>
          <w:i/>
        </w:rPr>
      </w:pPr>
      <w:r>
        <w:rPr>
          <w:b/>
          <w:i/>
        </w:rPr>
        <w:tab/>
      </w:r>
      <w:r w:rsidRPr="0076565F">
        <w:rPr>
          <w:b/>
          <w:i/>
        </w:rPr>
        <w:t xml:space="preserve">Öğrenmede </w:t>
      </w:r>
      <w:proofErr w:type="spellStart"/>
      <w:r w:rsidR="00B12750" w:rsidRPr="0076565F">
        <w:rPr>
          <w:b/>
          <w:i/>
        </w:rPr>
        <w:t>Güdüsel</w:t>
      </w:r>
      <w:proofErr w:type="spellEnd"/>
      <w:r w:rsidR="00B12750" w:rsidRPr="0076565F">
        <w:rPr>
          <w:b/>
          <w:i/>
        </w:rPr>
        <w:t xml:space="preserve"> Stratejiler Ölçeği </w:t>
      </w:r>
      <w:r w:rsidR="00E3093C" w:rsidRPr="0076565F">
        <w:rPr>
          <w:b/>
          <w:i/>
        </w:rPr>
        <w:t>(ÖGSÖ)</w:t>
      </w:r>
      <w:r>
        <w:rPr>
          <w:b/>
          <w:i/>
        </w:rPr>
        <w:t>.</w:t>
      </w:r>
    </w:p>
    <w:p w14:paraId="73D90CA7" w14:textId="6849B69E" w:rsidR="00B47E78" w:rsidRPr="0076565F" w:rsidRDefault="00FE3DFA" w:rsidP="004D51BC">
      <w:pPr>
        <w:ind w:left="0" w:firstLine="0"/>
        <w:jc w:val="both"/>
      </w:pPr>
      <w:r w:rsidRPr="0076565F">
        <w:rPr>
          <w:szCs w:val="24"/>
        </w:rPr>
        <w:tab/>
      </w:r>
      <w:r w:rsidR="00F64F8A" w:rsidRPr="0076565F">
        <w:rPr>
          <w:szCs w:val="24"/>
        </w:rPr>
        <w:t xml:space="preserve">Katılımcıların motivasyon ve öğrenme stratejileri değişkenleri olan öz yeterlik, çaba düzenlemesi ve biliş üstü stratejileri Öğrenmede </w:t>
      </w:r>
      <w:proofErr w:type="spellStart"/>
      <w:r w:rsidR="00F64F8A" w:rsidRPr="0076565F">
        <w:rPr>
          <w:szCs w:val="24"/>
        </w:rPr>
        <w:t>Güdüsel</w:t>
      </w:r>
      <w:proofErr w:type="spellEnd"/>
      <w:r w:rsidR="00F64F8A" w:rsidRPr="0076565F">
        <w:rPr>
          <w:szCs w:val="24"/>
        </w:rPr>
        <w:t xml:space="preserve"> Stratejiler Ölçeği (ÖGSÖ) ile ölçülmüştür. </w:t>
      </w:r>
      <w:r w:rsidR="00B02E92" w:rsidRPr="0076565F">
        <w:rPr>
          <w:szCs w:val="24"/>
        </w:rPr>
        <w:t>ÖGSÖ</w:t>
      </w:r>
      <w:r w:rsidR="00A415AF">
        <w:rPr>
          <w:szCs w:val="24"/>
        </w:rPr>
        <w:t>,</w:t>
      </w:r>
      <w:r w:rsidR="00B02E92" w:rsidRPr="0076565F">
        <w:rPr>
          <w:szCs w:val="24"/>
        </w:rPr>
        <w:t xml:space="preserve"> </w:t>
      </w:r>
      <w:proofErr w:type="spellStart"/>
      <w:r w:rsidR="004B6D50" w:rsidRPr="0076565F">
        <w:rPr>
          <w:color w:val="000000"/>
          <w:szCs w:val="24"/>
          <w:shd w:val="clear" w:color="auto" w:fill="FFFFFF"/>
        </w:rPr>
        <w:t>Pintrich</w:t>
      </w:r>
      <w:proofErr w:type="spellEnd"/>
      <w:r w:rsidR="004B6D50" w:rsidRPr="0076565F">
        <w:rPr>
          <w:color w:val="000000"/>
          <w:szCs w:val="24"/>
          <w:shd w:val="clear" w:color="auto" w:fill="FFFFFF"/>
        </w:rPr>
        <w:t xml:space="preserve">, </w:t>
      </w:r>
      <w:r w:rsidR="00295BEA" w:rsidRPr="0076565F">
        <w:rPr>
          <w:color w:val="000000"/>
          <w:szCs w:val="24"/>
          <w:shd w:val="clear" w:color="auto" w:fill="FFFFFF"/>
        </w:rPr>
        <w:t xml:space="preserve">Smith, </w:t>
      </w:r>
      <w:proofErr w:type="spellStart"/>
      <w:r w:rsidR="004B6D50" w:rsidRPr="0076565F">
        <w:rPr>
          <w:color w:val="000000"/>
          <w:szCs w:val="24"/>
          <w:shd w:val="clear" w:color="auto" w:fill="FFFFFF"/>
        </w:rPr>
        <w:t>Garcia</w:t>
      </w:r>
      <w:proofErr w:type="spellEnd"/>
      <w:r w:rsidR="004B6D50" w:rsidRPr="0076565F">
        <w:rPr>
          <w:color w:val="000000"/>
          <w:szCs w:val="24"/>
          <w:shd w:val="clear" w:color="auto" w:fill="FFFFFF"/>
        </w:rPr>
        <w:t xml:space="preserve"> </w:t>
      </w:r>
      <w:r w:rsidR="00143D4C" w:rsidRPr="0076565F">
        <w:rPr>
          <w:color w:val="000000"/>
          <w:szCs w:val="24"/>
          <w:shd w:val="clear" w:color="auto" w:fill="FFFFFF"/>
        </w:rPr>
        <w:t>ve</w:t>
      </w:r>
      <w:r w:rsidR="004B6D50" w:rsidRPr="0076565F">
        <w:rPr>
          <w:color w:val="000000"/>
          <w:szCs w:val="24"/>
          <w:shd w:val="clear" w:color="auto" w:fill="FFFFFF"/>
        </w:rPr>
        <w:t xml:space="preserve"> </w:t>
      </w:r>
      <w:proofErr w:type="spellStart"/>
      <w:r w:rsidR="004B6D50" w:rsidRPr="0076565F">
        <w:rPr>
          <w:color w:val="000000"/>
          <w:szCs w:val="24"/>
          <w:shd w:val="clear" w:color="auto" w:fill="FFFFFF"/>
        </w:rPr>
        <w:t>McKeachie</w:t>
      </w:r>
      <w:proofErr w:type="spellEnd"/>
      <w:r w:rsidR="004B6D50" w:rsidRPr="0076565F">
        <w:rPr>
          <w:color w:val="000000"/>
          <w:szCs w:val="24"/>
          <w:shd w:val="clear" w:color="auto" w:fill="FFFFFF"/>
        </w:rPr>
        <w:t xml:space="preserve"> (199</w:t>
      </w:r>
      <w:r w:rsidR="00295BEA" w:rsidRPr="0076565F">
        <w:rPr>
          <w:color w:val="000000"/>
          <w:szCs w:val="24"/>
          <w:shd w:val="clear" w:color="auto" w:fill="FFFFFF"/>
        </w:rPr>
        <w:t>3</w:t>
      </w:r>
      <w:r w:rsidR="004B6D50" w:rsidRPr="0076565F">
        <w:rPr>
          <w:color w:val="000000"/>
          <w:szCs w:val="24"/>
          <w:shd w:val="clear" w:color="auto" w:fill="FFFFFF"/>
        </w:rPr>
        <w:t>) tarafından geliştirilmiş</w:t>
      </w:r>
      <w:r w:rsidR="00752BE1" w:rsidRPr="0076565F">
        <w:rPr>
          <w:color w:val="000000"/>
          <w:szCs w:val="24"/>
          <w:shd w:val="clear" w:color="auto" w:fill="FFFFFF"/>
        </w:rPr>
        <w:t xml:space="preserve"> olup </w:t>
      </w:r>
      <w:proofErr w:type="spellStart"/>
      <w:r w:rsidR="00752BE1" w:rsidRPr="0076565F">
        <w:rPr>
          <w:color w:val="000000"/>
          <w:szCs w:val="24"/>
          <w:shd w:val="clear" w:color="auto" w:fill="FFFFFF"/>
        </w:rPr>
        <w:t>Türkçe’ye</w:t>
      </w:r>
      <w:proofErr w:type="spellEnd"/>
      <w:r w:rsidR="00752BE1" w:rsidRPr="0076565F">
        <w:rPr>
          <w:color w:val="000000"/>
          <w:szCs w:val="24"/>
          <w:shd w:val="clear" w:color="auto" w:fill="FFFFFF"/>
        </w:rPr>
        <w:t xml:space="preserve"> çevirisi Sungur (2004) tarafından gerçekleştirilmiştir. </w:t>
      </w:r>
      <w:proofErr w:type="spellStart"/>
      <w:r w:rsidR="00752BE1" w:rsidRPr="0076565F">
        <w:rPr>
          <w:szCs w:val="24"/>
        </w:rPr>
        <w:t>ÖGSÖ</w:t>
      </w:r>
      <w:r w:rsidR="00114D7B" w:rsidRPr="0076565F">
        <w:rPr>
          <w:szCs w:val="24"/>
        </w:rPr>
        <w:t>’da</w:t>
      </w:r>
      <w:proofErr w:type="spellEnd"/>
      <w:r w:rsidR="00114D7B" w:rsidRPr="0076565F">
        <w:rPr>
          <w:szCs w:val="24"/>
        </w:rPr>
        <w:t xml:space="preserve"> </w:t>
      </w:r>
      <w:r w:rsidR="00752BE1" w:rsidRPr="0076565F">
        <w:rPr>
          <w:szCs w:val="24"/>
        </w:rPr>
        <w:t xml:space="preserve">maddeler 1’den 7’ye kadar “1=beni hiç yansıtmıyor” ve “7=beni tamamen yansıtıyor” şeklinde </w:t>
      </w:r>
      <w:r w:rsidR="00114D7B" w:rsidRPr="0076565F">
        <w:rPr>
          <w:szCs w:val="24"/>
        </w:rPr>
        <w:lastRenderedPageBreak/>
        <w:t>puanlanmaktadır</w:t>
      </w:r>
      <w:r w:rsidR="00752BE1" w:rsidRPr="0076565F">
        <w:rPr>
          <w:szCs w:val="24"/>
        </w:rPr>
        <w:t xml:space="preserve">. </w:t>
      </w:r>
      <w:r w:rsidR="00855CD9" w:rsidRPr="0076565F">
        <w:rPr>
          <w:szCs w:val="24"/>
        </w:rPr>
        <w:t xml:space="preserve">ÖGSÖ maddeleri genel maddeler olup herhangi bir dersi işaret etmemektedir. Bu çalışmada katılımcıların organik kimya dersindeki motivasyon ve öğrenme stratejilerini değerlendirebilmek için maddelere organik kimya dersini niteleyici ifadeler eklenmiştir. </w:t>
      </w:r>
      <w:r w:rsidR="005D518C" w:rsidRPr="0076565F">
        <w:rPr>
          <w:szCs w:val="24"/>
        </w:rPr>
        <w:t xml:space="preserve">ÖGSÖ motivasyon ve öğrenme stratejileri olarak iki ana bölüme ayrılmaktadır. </w:t>
      </w:r>
      <w:r w:rsidR="00B47E78" w:rsidRPr="0076565F">
        <w:rPr>
          <w:szCs w:val="24"/>
        </w:rPr>
        <w:t xml:space="preserve">Bu çalışmada motivasyon bölümünden öz yeterlik alt boyutu (8 madde), öğrenme stratejileri boyutundan ise çaba düzenlemesi (4 madde) ve </w:t>
      </w:r>
      <w:r w:rsidR="00452287" w:rsidRPr="0076565F">
        <w:t>biliş</w:t>
      </w:r>
      <w:r w:rsidR="00452287">
        <w:t xml:space="preserve"> üstü stratejileri</w:t>
      </w:r>
      <w:r w:rsidR="00452287" w:rsidRPr="0076565F">
        <w:rPr>
          <w:szCs w:val="24"/>
        </w:rPr>
        <w:t xml:space="preserve"> </w:t>
      </w:r>
      <w:r w:rsidR="00B47E78" w:rsidRPr="0076565F">
        <w:rPr>
          <w:szCs w:val="24"/>
        </w:rPr>
        <w:t xml:space="preserve">(12 madde) alt boyutları kullanılmıştır. </w:t>
      </w:r>
      <w:r w:rsidR="00DB182F" w:rsidRPr="0076565F">
        <w:rPr>
          <w:szCs w:val="24"/>
        </w:rPr>
        <w:t>Öz</w:t>
      </w:r>
      <w:r w:rsidR="00B47E78" w:rsidRPr="0076565F">
        <w:rPr>
          <w:szCs w:val="24"/>
        </w:rPr>
        <w:t xml:space="preserve"> yeterlik alt boyutu</w:t>
      </w:r>
      <w:r w:rsidR="00907F56" w:rsidRPr="0076565F">
        <w:rPr>
          <w:szCs w:val="24"/>
        </w:rPr>
        <w:t>na örnek</w:t>
      </w:r>
      <w:r w:rsidR="00907F56" w:rsidRPr="0076565F">
        <w:t xml:space="preserve"> madde olarak “Organik kimya dersi ile ilgili okumalarda yer alan en zor konuyu bile anlayabileceğimden eminim” verilebilir. Özgün ölçekte öz yeterlik alt boyutunun güvenirlik katsayısı (</w:t>
      </w:r>
      <w:proofErr w:type="spellStart"/>
      <w:r w:rsidR="00907F56" w:rsidRPr="0076565F">
        <w:t>Cornbach</w:t>
      </w:r>
      <w:proofErr w:type="spellEnd"/>
      <w:r w:rsidR="00907F56" w:rsidRPr="0076565F">
        <w:t xml:space="preserve"> alfa) </w:t>
      </w:r>
      <w:r w:rsidR="00345A72">
        <w:rPr>
          <w:i/>
        </w:rPr>
        <w:t>α</w:t>
      </w:r>
      <w:r w:rsidR="00907F56" w:rsidRPr="0076565F">
        <w:t>=</w:t>
      </w:r>
      <w:r w:rsidR="002234B3">
        <w:t>.</w:t>
      </w:r>
      <w:r w:rsidR="00907F56" w:rsidRPr="0076565F">
        <w:t xml:space="preserve">93 olarak bulunmuştur. Mevcut çalışmada ise güvenirlik katsayısı </w:t>
      </w:r>
      <w:r w:rsidR="00345A72" w:rsidRPr="00345A72">
        <w:rPr>
          <w:i/>
        </w:rPr>
        <w:t>α</w:t>
      </w:r>
      <w:r w:rsidR="00907F56" w:rsidRPr="0076565F">
        <w:t>=</w:t>
      </w:r>
      <w:r w:rsidR="002234B3">
        <w:t>.</w:t>
      </w:r>
      <w:r w:rsidR="00907F56" w:rsidRPr="0076565F">
        <w:t>9</w:t>
      </w:r>
      <w:r w:rsidR="00C5060A" w:rsidRPr="0076565F">
        <w:t>1 olarak bulunmuştur.</w:t>
      </w:r>
    </w:p>
    <w:p w14:paraId="68C760C5" w14:textId="77777777" w:rsidR="009D304D" w:rsidRPr="0076565F" w:rsidRDefault="00FE3DFA" w:rsidP="004D51BC">
      <w:pPr>
        <w:ind w:left="0" w:firstLine="0"/>
        <w:jc w:val="both"/>
      </w:pPr>
      <w:r w:rsidRPr="0076565F">
        <w:tab/>
      </w:r>
      <w:r w:rsidR="009D304D" w:rsidRPr="0076565F">
        <w:t>Çaba düzenlemesi alt boyutuna örnek madde olarak “</w:t>
      </w:r>
      <w:r w:rsidR="009D304D" w:rsidRPr="0076565F">
        <w:rPr>
          <w:szCs w:val="18"/>
        </w:rPr>
        <w:t>Organik kimya dersinde yaptıklarımızdan hoşlanmasam bile başarılı olabilmek için sıkı çalışırım</w:t>
      </w:r>
      <w:r w:rsidR="009D304D" w:rsidRPr="0076565F">
        <w:t xml:space="preserve">” verilebilir. Özgün </w:t>
      </w:r>
      <w:r w:rsidR="00855CD9" w:rsidRPr="0076565F">
        <w:t>ölçekte</w:t>
      </w:r>
      <w:r w:rsidR="009D304D" w:rsidRPr="0076565F">
        <w:t xml:space="preserve"> çaba düzenlemesi alt boyutunun güvenirlik katsayısı </w:t>
      </w:r>
      <w:r w:rsidR="00345A72" w:rsidRPr="008E20BC">
        <w:rPr>
          <w:i/>
        </w:rPr>
        <w:t>α</w:t>
      </w:r>
      <w:r w:rsidR="009D304D" w:rsidRPr="0076565F">
        <w:t>=</w:t>
      </w:r>
      <w:r w:rsidR="002234B3">
        <w:t>.</w:t>
      </w:r>
      <w:r w:rsidR="009D304D" w:rsidRPr="0076565F">
        <w:t xml:space="preserve">69 olarak bulunmuştur. Mevcut çalışmada ise </w:t>
      </w:r>
      <w:r w:rsidR="00345A72" w:rsidRPr="008E20BC">
        <w:rPr>
          <w:i/>
        </w:rPr>
        <w:t>α</w:t>
      </w:r>
      <w:r w:rsidR="009D304D" w:rsidRPr="0076565F">
        <w:t>=</w:t>
      </w:r>
      <w:r w:rsidR="002234B3">
        <w:t>.</w:t>
      </w:r>
      <w:r w:rsidR="009D304D" w:rsidRPr="0076565F">
        <w:t xml:space="preserve">58 olarak bulunmuştur. </w:t>
      </w:r>
      <w:r w:rsidR="00333E0B" w:rsidRPr="0076565F">
        <w:t xml:space="preserve">Bu değer kabul edilebilir sınır değeri olan </w:t>
      </w:r>
      <w:r w:rsidR="002234B3">
        <w:t>.</w:t>
      </w:r>
      <w:r w:rsidR="00333E0B" w:rsidRPr="0076565F">
        <w:t xml:space="preserve">70’in altında olmasına rağmen madde sayısı 10’un altındaki ölçeklerde düşük güvenirlik sık karşılaşılan bir durumdur. Bu gibi durumlarda </w:t>
      </w:r>
      <w:proofErr w:type="spellStart"/>
      <w:r w:rsidR="00333E0B" w:rsidRPr="0076565F">
        <w:t>Pallant</w:t>
      </w:r>
      <w:proofErr w:type="spellEnd"/>
      <w:r w:rsidR="00333E0B" w:rsidRPr="0076565F">
        <w:t xml:space="preserve"> (2016) maddelerin birbirleriyle korelasyonlarının ortalamasının </w:t>
      </w:r>
      <w:r w:rsidR="002234B3">
        <w:t>.</w:t>
      </w:r>
      <w:r w:rsidR="00333E0B" w:rsidRPr="0076565F">
        <w:t>20-</w:t>
      </w:r>
      <w:r w:rsidR="002234B3">
        <w:t>.</w:t>
      </w:r>
      <w:r w:rsidR="00333E0B" w:rsidRPr="0076565F">
        <w:t xml:space="preserve">40 arasında olmasının güvenirliği sağladığını belirtmektedir. Mevcut çalışmada da çaba düzenlemesi alt boyutu için bu değer </w:t>
      </w:r>
      <w:r w:rsidR="002234B3">
        <w:t>.</w:t>
      </w:r>
      <w:r w:rsidR="00333E0B" w:rsidRPr="0076565F">
        <w:t>24 olarak bulunmuştur. Bu sonuçla çaba düzenlemesi alt boyutunun güvenilir olduğu söylenebilir.</w:t>
      </w:r>
    </w:p>
    <w:p w14:paraId="43D85A61" w14:textId="77777777" w:rsidR="00333E0B" w:rsidRPr="0076565F" w:rsidRDefault="00333E0B" w:rsidP="004D51BC">
      <w:pPr>
        <w:ind w:left="0" w:firstLine="0"/>
        <w:jc w:val="both"/>
      </w:pPr>
      <w:r w:rsidRPr="0076565F">
        <w:t xml:space="preserve">Biliş üstü </w:t>
      </w:r>
      <w:r w:rsidR="00A40476" w:rsidRPr="0076565F">
        <w:t xml:space="preserve">strateji boyutunda ise madde örneği olarak </w:t>
      </w:r>
      <w:r w:rsidR="00DB72D7" w:rsidRPr="0076565F">
        <w:t xml:space="preserve">“Organik kimya dersi ile ilgili bir şeyler okurken bir konuda kafam karışırsa, başa döner ve anlamak için çaba gösteririm” verilebilir. </w:t>
      </w:r>
      <w:proofErr w:type="spellStart"/>
      <w:r w:rsidR="00DB72D7" w:rsidRPr="0076565F">
        <w:t>ÖGSÖ’nun</w:t>
      </w:r>
      <w:proofErr w:type="spellEnd"/>
      <w:r w:rsidR="00DB72D7" w:rsidRPr="0076565F">
        <w:t xml:space="preserve"> özgün versiyonunda biliş üstü stratejisi alt boyutunun güvenirlik katsayısı </w:t>
      </w:r>
      <w:r w:rsidR="00345A72" w:rsidRPr="008E20BC">
        <w:rPr>
          <w:i/>
        </w:rPr>
        <w:t>α</w:t>
      </w:r>
      <w:r w:rsidR="00DB72D7" w:rsidRPr="0076565F">
        <w:t>=</w:t>
      </w:r>
      <w:r w:rsidR="002234B3">
        <w:t>.</w:t>
      </w:r>
      <w:r w:rsidR="00DB72D7" w:rsidRPr="0076565F">
        <w:t xml:space="preserve">79 olarak bulunmuştur. Bu çalışmada ise güvenirlik katsayısı </w:t>
      </w:r>
      <w:r w:rsidR="00345A72" w:rsidRPr="008E20BC">
        <w:rPr>
          <w:i/>
        </w:rPr>
        <w:t>α</w:t>
      </w:r>
      <w:r w:rsidR="00DB72D7" w:rsidRPr="0076565F">
        <w:t>=</w:t>
      </w:r>
      <w:r w:rsidR="002234B3">
        <w:t>.</w:t>
      </w:r>
      <w:r w:rsidR="00DB72D7" w:rsidRPr="0076565F">
        <w:t xml:space="preserve">73 olarak bulunmuştur. </w:t>
      </w:r>
    </w:p>
    <w:p w14:paraId="5E101BE5" w14:textId="77777777" w:rsidR="00FD0893" w:rsidRPr="0076565F" w:rsidRDefault="00FD0893" w:rsidP="004D51BC">
      <w:pPr>
        <w:ind w:left="0" w:firstLine="0"/>
        <w:jc w:val="both"/>
        <w:rPr>
          <w:b/>
        </w:rPr>
      </w:pPr>
      <w:r w:rsidRPr="0076565F">
        <w:rPr>
          <w:b/>
        </w:rPr>
        <w:t xml:space="preserve">Veri </w:t>
      </w:r>
      <w:r w:rsidR="00FF66DA" w:rsidRPr="0076565F">
        <w:rPr>
          <w:b/>
        </w:rPr>
        <w:t>A</w:t>
      </w:r>
      <w:r w:rsidRPr="0076565F">
        <w:rPr>
          <w:b/>
        </w:rPr>
        <w:t>nalizi</w:t>
      </w:r>
    </w:p>
    <w:p w14:paraId="2B0B062C" w14:textId="143D3404" w:rsidR="0059766E" w:rsidRDefault="00FE3DFA" w:rsidP="004D51BC">
      <w:pPr>
        <w:ind w:left="0" w:firstLine="0"/>
        <w:jc w:val="both"/>
      </w:pPr>
      <w:r w:rsidRPr="0076565F">
        <w:tab/>
      </w:r>
      <w:r w:rsidR="00FD0893" w:rsidRPr="0076565F">
        <w:t xml:space="preserve">Katılımcılardan toplanan veriler betimleyici ve </w:t>
      </w:r>
      <w:proofErr w:type="spellStart"/>
      <w:r w:rsidR="00FD0893" w:rsidRPr="0076565F">
        <w:t>çıkarımsal</w:t>
      </w:r>
      <w:proofErr w:type="spellEnd"/>
      <w:r w:rsidR="00FD0893" w:rsidRPr="0076565F">
        <w:t xml:space="preserve"> istatistik yöntemleriyle analiz edilmiştir. Betimleyici istatistikler olarak ortalama ve standart sapma gibi istatistikler hesaplanırken normallik analizleri için çarpıklık ve basıklık değerlerinin hesaplanmasında yine </w:t>
      </w:r>
      <w:proofErr w:type="spellStart"/>
      <w:r w:rsidR="00FD0893" w:rsidRPr="0076565F">
        <w:t>betimsel</w:t>
      </w:r>
      <w:proofErr w:type="spellEnd"/>
      <w:r w:rsidR="00FD0893" w:rsidRPr="0076565F">
        <w:t xml:space="preserve"> istatistik yöntemlerinden yararlanılmıştır. </w:t>
      </w:r>
      <w:proofErr w:type="spellStart"/>
      <w:r w:rsidR="00FD0893" w:rsidRPr="0076565F">
        <w:t>Çıkarımsal</w:t>
      </w:r>
      <w:proofErr w:type="spellEnd"/>
      <w:r w:rsidR="00FD0893" w:rsidRPr="0076565F">
        <w:t xml:space="preserve"> istatistik yöntemleri olarak</w:t>
      </w:r>
      <w:r w:rsidR="00881F94" w:rsidRPr="0076565F">
        <w:t xml:space="preserve"> grup karşılaştırmaları için </w:t>
      </w:r>
      <w:proofErr w:type="spellStart"/>
      <w:r w:rsidR="00881F94" w:rsidRPr="0076565F">
        <w:t>varyans</w:t>
      </w:r>
      <w:proofErr w:type="spellEnd"/>
      <w:r w:rsidR="00881F94" w:rsidRPr="0076565F">
        <w:t xml:space="preserve"> analizi (ANOVA) kullanılırken değişkenler arası ilişkileri belirlemek için korelasyon analizine başvurulmuştur. Tüm veri analizleri SPSS istatistik yazılımı kullanılarak gerçekleştirilmiştir. </w:t>
      </w:r>
      <w:r w:rsidR="009E675F" w:rsidRPr="0076565F">
        <w:t>Öğrencinin aldığı sınav notundan almayı beklediği puanın farkının mutlak değeri hesaplanarak kalibrasyon puanı elde edilmiştir</w:t>
      </w:r>
      <w:r w:rsidR="009344C9">
        <w:t xml:space="preserve">. Organik kimya sınavı üç açık uçlu, </w:t>
      </w:r>
      <w:r w:rsidR="006E4E58">
        <w:t>beşer</w:t>
      </w:r>
      <w:r w:rsidR="009344C9">
        <w:t xml:space="preserve"> kısa cevaplı ve çoktan seçmeli olmak üzere </w:t>
      </w:r>
      <w:r w:rsidR="006E4E58">
        <w:t>on üç</w:t>
      </w:r>
      <w:r w:rsidR="009344C9">
        <w:t xml:space="preserve"> sorudan oluşmuştur. </w:t>
      </w:r>
      <w:r w:rsidR="009344C9">
        <w:lastRenderedPageBreak/>
        <w:t>Kısa cevaplı soru yapı formülü verilen beş bileşiğin IUPAC sistemine göre adlandırılmasını iç</w:t>
      </w:r>
      <w:r w:rsidR="003D601F">
        <w:t>ermekte olup her bir doğru cevaba</w:t>
      </w:r>
      <w:r w:rsidR="009344C9">
        <w:t xml:space="preserve"> dört puan</w:t>
      </w:r>
      <w:r w:rsidR="003D601F">
        <w:t xml:space="preserve"> verilmiştir. Çoktan seçmeli soruda ise </w:t>
      </w:r>
      <w:r w:rsidR="0092123D">
        <w:t xml:space="preserve">öğrencilerden </w:t>
      </w:r>
      <w:r w:rsidR="003D601F">
        <w:t>adları verilen bileşiklerin yapı formüllerini şıklar arasından bulması istenmiştir. Kısa cevaplı soruya benzer şekilde p</w:t>
      </w:r>
      <w:r w:rsidR="006E4E58">
        <w:t xml:space="preserve">uanlanmış olup beş çoktan seçmeli sorunun her biri dört puan, toplamda yirmi puandır. Diğer üç açık uçlu sorudan ikisi üçer alt soru barındırmakta olup bir tanesi iki alt soru barındırmaktadır. Üçer alt soru barındıran sorularda alt sorulardan ikisi yedişer, biri altı olmak üzere </w:t>
      </w:r>
      <w:r w:rsidR="001661CA">
        <w:t xml:space="preserve">soru </w:t>
      </w:r>
      <w:r w:rsidR="006E4E58">
        <w:t>toplamda</w:t>
      </w:r>
      <w:r w:rsidR="001661CA">
        <w:t xml:space="preserve"> </w:t>
      </w:r>
      <w:r w:rsidR="006E4E58">
        <w:t xml:space="preserve">yirmi puandır. </w:t>
      </w:r>
      <w:r w:rsidR="001661CA">
        <w:t xml:space="preserve">İki alt sorulu açık uçlu soruda ise her bir alt soru onar puan olarak puanlanmış olup toplamda yirmi puandır. </w:t>
      </w:r>
      <w:r w:rsidR="0079400E">
        <w:t>Öğrenci cevapları değerlendirilirken adlandırmaları hatasız yapabilmeleri, tepkimeleri doğru yazabilmeleri</w:t>
      </w:r>
      <w:r w:rsidR="00E7219B">
        <w:t xml:space="preserve"> ve </w:t>
      </w:r>
      <w:r w:rsidR="006D0EDF">
        <w:t>tepkime türlerini hatasız belirtmeleri</w:t>
      </w:r>
      <w:r w:rsidR="00E7219B">
        <w:t>,</w:t>
      </w:r>
      <w:r w:rsidR="006D0EDF">
        <w:t xml:space="preserve"> cevaplardan tam puan almalarını sağlamıştır. </w:t>
      </w:r>
      <w:r w:rsidR="001661CA">
        <w:t>Böylelikle on üç sorudan oluşan sınavın toplam puanı yüz olup puan dağılımı da yukarıda anlatıldığı gibidir.</w:t>
      </w:r>
    </w:p>
    <w:p w14:paraId="7A8EBE70" w14:textId="77777777" w:rsidR="004B426F" w:rsidRDefault="004B426F" w:rsidP="004D51BC">
      <w:pPr>
        <w:ind w:left="0" w:firstLine="0"/>
        <w:jc w:val="both"/>
      </w:pPr>
    </w:p>
    <w:p w14:paraId="60F881A0" w14:textId="0F0C5489" w:rsidR="00035A33" w:rsidRPr="0076565F" w:rsidRDefault="00035A33" w:rsidP="00C61D6E">
      <w:pPr>
        <w:pStyle w:val="NormalWeb"/>
        <w:spacing w:before="0" w:beforeAutospacing="0" w:after="0" w:afterAutospacing="0" w:line="360" w:lineRule="auto"/>
        <w:ind w:left="709" w:hanging="709"/>
        <w:contextualSpacing/>
        <w:jc w:val="center"/>
        <w:rPr>
          <w:b/>
        </w:rPr>
      </w:pPr>
      <w:r w:rsidRPr="0076565F">
        <w:rPr>
          <w:b/>
        </w:rPr>
        <w:t>Bulgular</w:t>
      </w:r>
    </w:p>
    <w:p w14:paraId="0D19469A" w14:textId="25AC5ED6" w:rsidR="00816C37" w:rsidRDefault="00FE3DFA" w:rsidP="004D51BC">
      <w:pPr>
        <w:ind w:left="0" w:firstLine="0"/>
        <w:jc w:val="both"/>
      </w:pPr>
      <w:r w:rsidRPr="0076565F">
        <w:tab/>
      </w:r>
      <w:r w:rsidR="0082254B" w:rsidRPr="0076565F">
        <w:t>Çalışma bulgu</w:t>
      </w:r>
      <w:r w:rsidR="00A769ED" w:rsidRPr="0076565F">
        <w:t xml:space="preserve">larında önce organik kimya dersi </w:t>
      </w:r>
      <w:r w:rsidR="001902B5">
        <w:t>yarıyıl</w:t>
      </w:r>
      <w:r w:rsidR="003A313A" w:rsidRPr="0076565F">
        <w:t xml:space="preserve"> sonu</w:t>
      </w:r>
      <w:r w:rsidR="00A769ED" w:rsidRPr="0076565F">
        <w:t xml:space="preserve"> sınavı başarısı, kalibrasyon puanı ve </w:t>
      </w:r>
      <w:proofErr w:type="spellStart"/>
      <w:r w:rsidR="00A769ED" w:rsidRPr="0076565F">
        <w:t>üstbiliş</w:t>
      </w:r>
      <w:proofErr w:type="spellEnd"/>
      <w:r w:rsidR="00A769ED" w:rsidRPr="0076565F">
        <w:t xml:space="preserve"> stratejisi puanlarının </w:t>
      </w:r>
      <w:proofErr w:type="spellStart"/>
      <w:r w:rsidR="00A769ED" w:rsidRPr="0076565F">
        <w:t>betimsel</w:t>
      </w:r>
      <w:proofErr w:type="spellEnd"/>
      <w:r w:rsidR="00A769ED" w:rsidRPr="0076565F">
        <w:t xml:space="preserve"> istatistik sonuçları sunulmaktadır. Bu sonuçlara göre </w:t>
      </w:r>
      <w:r w:rsidR="004718A8">
        <w:t xml:space="preserve">Tablo 1’de </w:t>
      </w:r>
      <w:r w:rsidR="00A769ED" w:rsidRPr="0076565F">
        <w:t xml:space="preserve">organik kimya dersi </w:t>
      </w:r>
      <w:r w:rsidR="001902B5">
        <w:t>yarıyıl</w:t>
      </w:r>
      <w:r w:rsidR="00C13414" w:rsidRPr="0076565F">
        <w:t xml:space="preserve"> sonu</w:t>
      </w:r>
      <w:r w:rsidR="00A769ED" w:rsidRPr="0076565F">
        <w:t xml:space="preserve"> </w:t>
      </w:r>
      <w:r w:rsidR="00C61D6E" w:rsidRPr="0076565F">
        <w:t>sınavının ortalaması</w:t>
      </w:r>
      <w:r w:rsidR="00A769ED" w:rsidRPr="0076565F">
        <w:t xml:space="preserve"> </w:t>
      </w:r>
      <m:oMath>
        <m:acc>
          <m:accPr>
            <m:chr m:val="̅"/>
            <m:ctrlPr>
              <w:rPr>
                <w:rFonts w:ascii="Cambria Math" w:hAnsi="Cambria Math"/>
                <w:i/>
              </w:rPr>
            </m:ctrlPr>
          </m:accPr>
          <m:e>
            <m:r>
              <w:rPr>
                <w:rFonts w:ascii="Cambria Math" w:hAnsi="Cambria Math"/>
              </w:rPr>
              <m:t>X</m:t>
            </m:r>
          </m:e>
        </m:acc>
      </m:oMath>
      <w:r w:rsidR="00CA533F" w:rsidRPr="0076565F">
        <w:t xml:space="preserve"> = </w:t>
      </w:r>
      <w:r w:rsidR="00E25577" w:rsidRPr="0076565F">
        <w:t>67</w:t>
      </w:r>
      <w:r w:rsidR="002234B3">
        <w:t>.</w:t>
      </w:r>
      <w:r w:rsidR="00E25577" w:rsidRPr="0076565F">
        <w:t xml:space="preserve">07 </w:t>
      </w:r>
      <w:r w:rsidR="003723D7" w:rsidRPr="0076565F">
        <w:t>(</w:t>
      </w:r>
      <w:proofErr w:type="spellStart"/>
      <w:r w:rsidR="003723D7" w:rsidRPr="008E20BC">
        <w:rPr>
          <w:i/>
        </w:rPr>
        <w:t>Sd</w:t>
      </w:r>
      <w:proofErr w:type="spellEnd"/>
      <w:r w:rsidR="003723D7" w:rsidRPr="0076565F">
        <w:t>=</w:t>
      </w:r>
      <w:r w:rsidR="00E25577" w:rsidRPr="0076565F">
        <w:t>18</w:t>
      </w:r>
      <w:r w:rsidR="002234B3">
        <w:t>.</w:t>
      </w:r>
      <w:r w:rsidR="00E25577" w:rsidRPr="0076565F">
        <w:t>99</w:t>
      </w:r>
      <w:r w:rsidR="003723D7" w:rsidRPr="0076565F">
        <w:t>)</w:t>
      </w:r>
      <w:r w:rsidR="00A769ED" w:rsidRPr="0076565F">
        <w:t xml:space="preserve">, alınan en düşük not </w:t>
      </w:r>
      <w:proofErr w:type="spellStart"/>
      <w:r w:rsidR="001B2861" w:rsidRPr="0076565F">
        <w:t>Min</w:t>
      </w:r>
      <w:proofErr w:type="spellEnd"/>
      <w:r w:rsidR="001B2861" w:rsidRPr="0076565F">
        <w:t>=16</w:t>
      </w:r>
      <w:r w:rsidR="00A769ED" w:rsidRPr="0076565F">
        <w:t xml:space="preserve"> ve en yüksek not ise </w:t>
      </w:r>
      <w:proofErr w:type="spellStart"/>
      <w:r w:rsidR="001B2861" w:rsidRPr="0076565F">
        <w:t>Max</w:t>
      </w:r>
      <w:proofErr w:type="spellEnd"/>
      <w:r w:rsidR="001B2861" w:rsidRPr="0076565F">
        <w:t>=96</w:t>
      </w:r>
      <w:r w:rsidR="00A769ED" w:rsidRPr="0076565F">
        <w:t xml:space="preserve"> olarak bulunmuştur. </w:t>
      </w:r>
      <w:r w:rsidR="00CA533F" w:rsidRPr="0076565F">
        <w:t xml:space="preserve">Katılımcıların </w:t>
      </w:r>
      <w:r w:rsidR="002E13F1" w:rsidRPr="0076565F">
        <w:t xml:space="preserve">sınav öncesinde almayı bekledikleri </w:t>
      </w:r>
      <w:r w:rsidR="00CA533F" w:rsidRPr="0076565F">
        <w:t xml:space="preserve">puanlarının ortalaması </w:t>
      </w:r>
      <m:oMath>
        <m:acc>
          <m:accPr>
            <m:chr m:val="̅"/>
            <m:ctrlPr>
              <w:rPr>
                <w:rFonts w:ascii="Cambria Math" w:hAnsi="Cambria Math"/>
                <w:i/>
              </w:rPr>
            </m:ctrlPr>
          </m:accPr>
          <m:e>
            <m:r>
              <w:rPr>
                <w:rFonts w:ascii="Cambria Math" w:hAnsi="Cambria Math"/>
              </w:rPr>
              <m:t>X</m:t>
            </m:r>
          </m:e>
        </m:acc>
      </m:oMath>
      <w:r w:rsidR="001B2861" w:rsidRPr="0076565F">
        <w:t xml:space="preserve"> = 74</w:t>
      </w:r>
      <w:r w:rsidR="002234B3">
        <w:t>.</w:t>
      </w:r>
      <w:r w:rsidR="00E25577" w:rsidRPr="0076565F">
        <w:t>3</w:t>
      </w:r>
      <w:r w:rsidR="001B2861" w:rsidRPr="0076565F">
        <w:t>8</w:t>
      </w:r>
      <w:r w:rsidR="003723D7" w:rsidRPr="0076565F">
        <w:t xml:space="preserve"> (</w:t>
      </w:r>
      <w:proofErr w:type="spellStart"/>
      <w:r w:rsidR="003723D7" w:rsidRPr="008E20BC">
        <w:rPr>
          <w:i/>
        </w:rPr>
        <w:t>Sd</w:t>
      </w:r>
      <w:proofErr w:type="spellEnd"/>
      <w:r w:rsidR="003723D7" w:rsidRPr="0076565F">
        <w:t xml:space="preserve"> =13</w:t>
      </w:r>
      <w:r w:rsidR="002234B3">
        <w:t>.</w:t>
      </w:r>
      <w:r w:rsidR="003723D7" w:rsidRPr="0076565F">
        <w:t>5</w:t>
      </w:r>
      <w:r w:rsidR="00E25577" w:rsidRPr="0076565F">
        <w:t>0</w:t>
      </w:r>
      <w:r w:rsidR="003723D7" w:rsidRPr="0076565F">
        <w:t>)</w:t>
      </w:r>
      <w:r w:rsidR="001B2861" w:rsidRPr="0076565F">
        <w:t>,</w:t>
      </w:r>
      <w:r w:rsidR="00CA533F" w:rsidRPr="0076565F">
        <w:t xml:space="preserve"> en düşük puanı </w:t>
      </w:r>
      <w:proofErr w:type="spellStart"/>
      <w:r w:rsidR="001B2861" w:rsidRPr="0076565F">
        <w:t>Min</w:t>
      </w:r>
      <w:proofErr w:type="spellEnd"/>
      <w:r w:rsidR="001B2861" w:rsidRPr="0076565F">
        <w:t>=25</w:t>
      </w:r>
      <w:r w:rsidR="00CA533F" w:rsidRPr="0076565F">
        <w:t xml:space="preserve"> ve en yüksek puanı </w:t>
      </w:r>
      <w:proofErr w:type="spellStart"/>
      <w:r w:rsidR="001B2861" w:rsidRPr="0076565F">
        <w:t>Max</w:t>
      </w:r>
      <w:proofErr w:type="spellEnd"/>
      <w:r w:rsidR="001B2861" w:rsidRPr="0076565F">
        <w:t>=100</w:t>
      </w:r>
      <w:r w:rsidR="00CA533F" w:rsidRPr="0076565F">
        <w:t>’d</w:t>
      </w:r>
      <w:r w:rsidR="001B2861" w:rsidRPr="0076565F">
        <w:t>ü</w:t>
      </w:r>
      <w:r w:rsidR="00CA533F" w:rsidRPr="0076565F">
        <w:t xml:space="preserve">r. </w:t>
      </w:r>
      <w:r w:rsidR="002E13F1" w:rsidRPr="0076565F">
        <w:t xml:space="preserve">Sınav ortalaması ile beklenen </w:t>
      </w:r>
      <w:r w:rsidR="00E7219B">
        <w:t xml:space="preserve">puan </w:t>
      </w:r>
      <w:r w:rsidR="002E13F1" w:rsidRPr="0076565F">
        <w:t xml:space="preserve">not ortalaması arasında </w:t>
      </w:r>
      <w:r w:rsidR="00905A2A" w:rsidRPr="0076565F">
        <w:t>yedi puandan fazla</w:t>
      </w:r>
      <w:r w:rsidR="002E13F1" w:rsidRPr="0076565F">
        <w:t xml:space="preserve"> bir fark bulunmaktadır.</w:t>
      </w:r>
      <w:r w:rsidR="003723D7" w:rsidRPr="0076565F">
        <w:t xml:space="preserve"> Bu durum katılımcıların beklentileri ile gerçek notları arasında yüksek bir farkın olmadığına, bir başka deyişle kalibrasyon becerilerin</w:t>
      </w:r>
      <w:r w:rsidR="00F22FCD" w:rsidRPr="0076565F">
        <w:t>e</w:t>
      </w:r>
      <w:r w:rsidR="003723D7" w:rsidRPr="0076565F">
        <w:t xml:space="preserve"> işaret etmektedir. </w:t>
      </w:r>
    </w:p>
    <w:p w14:paraId="3206EE92" w14:textId="77777777" w:rsidR="00816C37" w:rsidRDefault="00816C37" w:rsidP="004D51BC">
      <w:pPr>
        <w:ind w:left="0" w:firstLine="0"/>
        <w:jc w:val="both"/>
      </w:pPr>
    </w:p>
    <w:p w14:paraId="1EC6ACE9" w14:textId="77777777" w:rsidR="00816C37" w:rsidRPr="00B06811" w:rsidRDefault="00816C37" w:rsidP="00816C37">
      <w:pPr>
        <w:ind w:left="0" w:firstLine="0"/>
        <w:jc w:val="both"/>
      </w:pPr>
      <w:r w:rsidRPr="00B06811">
        <w:t>Tablo 1</w:t>
      </w:r>
    </w:p>
    <w:p w14:paraId="46E42655" w14:textId="77777777" w:rsidR="00816C37" w:rsidRPr="00B06811" w:rsidRDefault="00816C37" w:rsidP="00816C37">
      <w:pPr>
        <w:ind w:left="0" w:firstLine="0"/>
        <w:jc w:val="both"/>
        <w:rPr>
          <w:b/>
          <w:i/>
        </w:rPr>
      </w:pPr>
      <w:r w:rsidRPr="00B06811">
        <w:rPr>
          <w:i/>
        </w:rPr>
        <w:t>Çalışmadaki Değişkenlerin Betimleyici İstatistikleri</w:t>
      </w:r>
    </w:p>
    <w:tbl>
      <w:tblPr>
        <w:tblStyle w:val="TabloKlavuzu"/>
        <w:tblW w:w="8957" w:type="dxa"/>
        <w:tblBorders>
          <w:left w:val="none" w:sz="0" w:space="0" w:color="auto"/>
          <w:right w:val="none" w:sz="0" w:space="0" w:color="auto"/>
          <w:insideV w:val="none" w:sz="0" w:space="0" w:color="auto"/>
        </w:tblBorders>
        <w:tblLook w:val="04A0" w:firstRow="1" w:lastRow="0" w:firstColumn="1" w:lastColumn="0" w:noHBand="0" w:noVBand="1"/>
      </w:tblPr>
      <w:tblGrid>
        <w:gridCol w:w="4583"/>
        <w:gridCol w:w="554"/>
        <w:gridCol w:w="971"/>
        <w:gridCol w:w="972"/>
        <w:gridCol w:w="832"/>
        <w:gridCol w:w="1045"/>
      </w:tblGrid>
      <w:tr w:rsidR="00816C37" w:rsidRPr="0076565F" w14:paraId="63A375B6" w14:textId="77777777" w:rsidTr="009344C9">
        <w:trPr>
          <w:trHeight w:val="259"/>
        </w:trPr>
        <w:tc>
          <w:tcPr>
            <w:tcW w:w="4583" w:type="dxa"/>
            <w:tcBorders>
              <w:bottom w:val="single" w:sz="4" w:space="0" w:color="auto"/>
            </w:tcBorders>
            <w:vAlign w:val="center"/>
          </w:tcPr>
          <w:p w14:paraId="399F73DB" w14:textId="77777777" w:rsidR="00816C37" w:rsidRPr="0076565F" w:rsidRDefault="00816C37" w:rsidP="009344C9">
            <w:pPr>
              <w:ind w:left="0" w:firstLine="0"/>
              <w:contextualSpacing/>
              <w:rPr>
                <w:b/>
              </w:rPr>
            </w:pPr>
          </w:p>
        </w:tc>
        <w:tc>
          <w:tcPr>
            <w:tcW w:w="554" w:type="dxa"/>
            <w:tcBorders>
              <w:bottom w:val="single" w:sz="4" w:space="0" w:color="auto"/>
            </w:tcBorders>
            <w:vAlign w:val="center"/>
          </w:tcPr>
          <w:p w14:paraId="352C5E65" w14:textId="77777777" w:rsidR="00816C37" w:rsidRPr="0076565F" w:rsidRDefault="00816C37" w:rsidP="009344C9">
            <w:pPr>
              <w:ind w:left="0" w:firstLine="0"/>
              <w:contextualSpacing/>
              <w:jc w:val="center"/>
              <w:rPr>
                <w:b/>
              </w:rPr>
            </w:pPr>
            <w:r w:rsidRPr="0076565F">
              <w:rPr>
                <w:b/>
              </w:rPr>
              <w:t>N</w:t>
            </w:r>
          </w:p>
        </w:tc>
        <w:tc>
          <w:tcPr>
            <w:tcW w:w="971" w:type="dxa"/>
            <w:tcBorders>
              <w:bottom w:val="single" w:sz="4" w:space="0" w:color="auto"/>
            </w:tcBorders>
            <w:vAlign w:val="center"/>
          </w:tcPr>
          <w:p w14:paraId="022E0743" w14:textId="77777777" w:rsidR="00816C37" w:rsidRPr="0076565F" w:rsidRDefault="00F64EE2" w:rsidP="009344C9">
            <w:pPr>
              <w:ind w:left="0" w:firstLine="0"/>
              <w:contextualSpacing/>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972" w:type="dxa"/>
            <w:tcBorders>
              <w:bottom w:val="single" w:sz="4" w:space="0" w:color="auto"/>
            </w:tcBorders>
            <w:vAlign w:val="center"/>
          </w:tcPr>
          <w:p w14:paraId="3AD93C27" w14:textId="77777777" w:rsidR="00816C37" w:rsidRPr="008E20BC" w:rsidRDefault="00816C37" w:rsidP="009344C9">
            <w:pPr>
              <w:ind w:left="0" w:firstLine="0"/>
              <w:contextualSpacing/>
              <w:jc w:val="center"/>
              <w:rPr>
                <w:b/>
                <w:i/>
              </w:rPr>
            </w:pPr>
            <w:proofErr w:type="spellStart"/>
            <w:r w:rsidRPr="008E20BC">
              <w:rPr>
                <w:b/>
                <w:i/>
              </w:rPr>
              <w:t>Sd</w:t>
            </w:r>
            <w:proofErr w:type="spellEnd"/>
          </w:p>
        </w:tc>
        <w:tc>
          <w:tcPr>
            <w:tcW w:w="832" w:type="dxa"/>
            <w:tcBorders>
              <w:bottom w:val="single" w:sz="4" w:space="0" w:color="auto"/>
            </w:tcBorders>
            <w:vAlign w:val="center"/>
          </w:tcPr>
          <w:p w14:paraId="3AE58175" w14:textId="77777777" w:rsidR="00816C37" w:rsidRPr="0076565F" w:rsidRDefault="00816C37" w:rsidP="009344C9">
            <w:pPr>
              <w:ind w:left="0" w:firstLine="0"/>
              <w:contextualSpacing/>
              <w:jc w:val="center"/>
              <w:rPr>
                <w:b/>
              </w:rPr>
            </w:pPr>
            <w:r w:rsidRPr="0076565F">
              <w:rPr>
                <w:b/>
              </w:rPr>
              <w:t>Min.</w:t>
            </w:r>
          </w:p>
        </w:tc>
        <w:tc>
          <w:tcPr>
            <w:tcW w:w="1045" w:type="dxa"/>
            <w:tcBorders>
              <w:bottom w:val="single" w:sz="4" w:space="0" w:color="auto"/>
            </w:tcBorders>
            <w:vAlign w:val="center"/>
          </w:tcPr>
          <w:p w14:paraId="11A43575" w14:textId="77777777" w:rsidR="00816C37" w:rsidRPr="0076565F" w:rsidRDefault="00816C37" w:rsidP="009344C9">
            <w:pPr>
              <w:ind w:left="0" w:firstLine="0"/>
              <w:contextualSpacing/>
              <w:jc w:val="center"/>
              <w:rPr>
                <w:b/>
              </w:rPr>
            </w:pPr>
            <w:proofErr w:type="spellStart"/>
            <w:r w:rsidRPr="0076565F">
              <w:rPr>
                <w:b/>
              </w:rPr>
              <w:t>Max</w:t>
            </w:r>
            <w:proofErr w:type="spellEnd"/>
            <w:r w:rsidRPr="0076565F">
              <w:rPr>
                <w:b/>
              </w:rPr>
              <w:t>.</w:t>
            </w:r>
          </w:p>
        </w:tc>
      </w:tr>
      <w:tr w:rsidR="00816C37" w:rsidRPr="0076565F" w14:paraId="397A5D75" w14:textId="77777777" w:rsidTr="009344C9">
        <w:trPr>
          <w:trHeight w:val="259"/>
        </w:trPr>
        <w:tc>
          <w:tcPr>
            <w:tcW w:w="4583" w:type="dxa"/>
            <w:tcBorders>
              <w:bottom w:val="nil"/>
              <w:right w:val="nil"/>
            </w:tcBorders>
            <w:vAlign w:val="center"/>
          </w:tcPr>
          <w:p w14:paraId="10E7A767" w14:textId="77777777" w:rsidR="00816C37" w:rsidRPr="00B06811" w:rsidRDefault="00816C37" w:rsidP="009344C9">
            <w:pPr>
              <w:ind w:left="0" w:firstLine="0"/>
              <w:contextualSpacing/>
              <w:rPr>
                <w:b/>
              </w:rPr>
            </w:pPr>
            <w:r w:rsidRPr="00B06811">
              <w:rPr>
                <w:b/>
              </w:rPr>
              <w:t>Organik kimya yarıyıl sonu sınavı notu</w:t>
            </w:r>
          </w:p>
        </w:tc>
        <w:tc>
          <w:tcPr>
            <w:tcW w:w="554" w:type="dxa"/>
            <w:tcBorders>
              <w:left w:val="nil"/>
              <w:bottom w:val="nil"/>
              <w:right w:val="nil"/>
            </w:tcBorders>
            <w:vAlign w:val="center"/>
          </w:tcPr>
          <w:p w14:paraId="220DDD8E" w14:textId="77777777" w:rsidR="00816C37" w:rsidRPr="0076565F" w:rsidRDefault="00816C37" w:rsidP="009344C9">
            <w:pPr>
              <w:ind w:left="0" w:firstLine="0"/>
              <w:contextualSpacing/>
              <w:jc w:val="center"/>
            </w:pPr>
            <w:r w:rsidRPr="0076565F">
              <w:t>76</w:t>
            </w:r>
          </w:p>
        </w:tc>
        <w:tc>
          <w:tcPr>
            <w:tcW w:w="971" w:type="dxa"/>
            <w:tcBorders>
              <w:left w:val="nil"/>
              <w:bottom w:val="nil"/>
              <w:right w:val="nil"/>
            </w:tcBorders>
            <w:vAlign w:val="center"/>
          </w:tcPr>
          <w:p w14:paraId="08F960D6" w14:textId="77777777" w:rsidR="00816C37" w:rsidRPr="0076565F" w:rsidRDefault="00816C37" w:rsidP="009344C9">
            <w:pPr>
              <w:ind w:left="0" w:firstLine="0"/>
              <w:contextualSpacing/>
              <w:jc w:val="center"/>
            </w:pPr>
            <w:r w:rsidRPr="0076565F">
              <w:t>67</w:t>
            </w:r>
            <w:r>
              <w:t>.</w:t>
            </w:r>
            <w:r w:rsidRPr="0076565F">
              <w:t>07</w:t>
            </w:r>
          </w:p>
        </w:tc>
        <w:tc>
          <w:tcPr>
            <w:tcW w:w="972" w:type="dxa"/>
            <w:tcBorders>
              <w:left w:val="nil"/>
              <w:bottom w:val="nil"/>
              <w:right w:val="nil"/>
            </w:tcBorders>
            <w:vAlign w:val="center"/>
          </w:tcPr>
          <w:p w14:paraId="6204B9D2" w14:textId="77777777" w:rsidR="00816C37" w:rsidRPr="0076565F" w:rsidRDefault="00816C37" w:rsidP="009344C9">
            <w:pPr>
              <w:ind w:left="0" w:firstLine="0"/>
              <w:contextualSpacing/>
              <w:jc w:val="center"/>
            </w:pPr>
            <w:r w:rsidRPr="0076565F">
              <w:t>18</w:t>
            </w:r>
            <w:r>
              <w:t>.</w:t>
            </w:r>
            <w:r w:rsidRPr="0076565F">
              <w:t>99</w:t>
            </w:r>
          </w:p>
        </w:tc>
        <w:tc>
          <w:tcPr>
            <w:tcW w:w="832" w:type="dxa"/>
            <w:tcBorders>
              <w:left w:val="nil"/>
              <w:bottom w:val="nil"/>
              <w:right w:val="nil"/>
            </w:tcBorders>
            <w:vAlign w:val="center"/>
          </w:tcPr>
          <w:p w14:paraId="6A59A373" w14:textId="77777777" w:rsidR="00816C37" w:rsidRPr="0076565F" w:rsidRDefault="00816C37" w:rsidP="009344C9">
            <w:pPr>
              <w:ind w:left="0" w:firstLine="0"/>
              <w:contextualSpacing/>
              <w:jc w:val="center"/>
            </w:pPr>
            <w:r w:rsidRPr="0076565F">
              <w:t>16</w:t>
            </w:r>
          </w:p>
        </w:tc>
        <w:tc>
          <w:tcPr>
            <w:tcW w:w="1045" w:type="dxa"/>
            <w:tcBorders>
              <w:left w:val="nil"/>
              <w:bottom w:val="nil"/>
            </w:tcBorders>
            <w:vAlign w:val="center"/>
          </w:tcPr>
          <w:p w14:paraId="0BE05DC7" w14:textId="77777777" w:rsidR="00816C37" w:rsidRPr="0076565F" w:rsidRDefault="00816C37" w:rsidP="009344C9">
            <w:pPr>
              <w:ind w:left="0" w:firstLine="0"/>
              <w:contextualSpacing/>
              <w:jc w:val="center"/>
            </w:pPr>
            <w:r w:rsidRPr="0076565F">
              <w:t>96</w:t>
            </w:r>
          </w:p>
        </w:tc>
      </w:tr>
      <w:tr w:rsidR="00816C37" w:rsidRPr="0076565F" w14:paraId="36C7D37F" w14:textId="77777777" w:rsidTr="009344C9">
        <w:trPr>
          <w:trHeight w:val="259"/>
        </w:trPr>
        <w:tc>
          <w:tcPr>
            <w:tcW w:w="4583" w:type="dxa"/>
            <w:tcBorders>
              <w:top w:val="nil"/>
              <w:bottom w:val="nil"/>
              <w:right w:val="nil"/>
            </w:tcBorders>
            <w:vAlign w:val="center"/>
          </w:tcPr>
          <w:p w14:paraId="266013E4" w14:textId="77777777" w:rsidR="00816C37" w:rsidRPr="00B06811" w:rsidRDefault="00816C37" w:rsidP="009344C9">
            <w:pPr>
              <w:ind w:left="0" w:firstLine="0"/>
              <w:contextualSpacing/>
              <w:rPr>
                <w:b/>
              </w:rPr>
            </w:pPr>
            <w:r w:rsidRPr="00B06811">
              <w:rPr>
                <w:b/>
              </w:rPr>
              <w:t>Sınav öncesi beklenen not</w:t>
            </w:r>
          </w:p>
        </w:tc>
        <w:tc>
          <w:tcPr>
            <w:tcW w:w="554" w:type="dxa"/>
            <w:tcBorders>
              <w:top w:val="nil"/>
              <w:left w:val="nil"/>
              <w:bottom w:val="nil"/>
              <w:right w:val="nil"/>
            </w:tcBorders>
            <w:vAlign w:val="center"/>
          </w:tcPr>
          <w:p w14:paraId="4EE7E91E" w14:textId="77777777" w:rsidR="00816C37" w:rsidRPr="0076565F" w:rsidRDefault="00816C37" w:rsidP="009344C9">
            <w:pPr>
              <w:contextualSpacing/>
              <w:jc w:val="center"/>
            </w:pPr>
            <w:r w:rsidRPr="0076565F">
              <w:t>76</w:t>
            </w:r>
          </w:p>
        </w:tc>
        <w:tc>
          <w:tcPr>
            <w:tcW w:w="971" w:type="dxa"/>
            <w:tcBorders>
              <w:top w:val="nil"/>
              <w:left w:val="nil"/>
              <w:bottom w:val="nil"/>
              <w:right w:val="nil"/>
            </w:tcBorders>
            <w:vAlign w:val="center"/>
          </w:tcPr>
          <w:p w14:paraId="31E71531" w14:textId="77777777" w:rsidR="00816C37" w:rsidRPr="0076565F" w:rsidRDefault="00816C37" w:rsidP="009344C9">
            <w:pPr>
              <w:ind w:left="0" w:firstLine="0"/>
              <w:contextualSpacing/>
              <w:jc w:val="center"/>
            </w:pPr>
            <w:r w:rsidRPr="0076565F">
              <w:t>74</w:t>
            </w:r>
            <w:r>
              <w:t>.</w:t>
            </w:r>
            <w:r w:rsidRPr="0076565F">
              <w:t>38</w:t>
            </w:r>
          </w:p>
        </w:tc>
        <w:tc>
          <w:tcPr>
            <w:tcW w:w="972" w:type="dxa"/>
            <w:tcBorders>
              <w:top w:val="nil"/>
              <w:left w:val="nil"/>
              <w:bottom w:val="nil"/>
              <w:right w:val="nil"/>
            </w:tcBorders>
            <w:vAlign w:val="center"/>
          </w:tcPr>
          <w:p w14:paraId="0924C4DB" w14:textId="77777777" w:rsidR="00816C37" w:rsidRPr="0076565F" w:rsidRDefault="00816C37" w:rsidP="009344C9">
            <w:pPr>
              <w:ind w:left="0" w:firstLine="0"/>
              <w:contextualSpacing/>
              <w:jc w:val="center"/>
            </w:pPr>
            <w:r w:rsidRPr="0076565F">
              <w:t>13</w:t>
            </w:r>
            <w:r>
              <w:t>.</w:t>
            </w:r>
            <w:r w:rsidRPr="0076565F">
              <w:t>50</w:t>
            </w:r>
          </w:p>
        </w:tc>
        <w:tc>
          <w:tcPr>
            <w:tcW w:w="832" w:type="dxa"/>
            <w:tcBorders>
              <w:top w:val="nil"/>
              <w:left w:val="nil"/>
              <w:bottom w:val="nil"/>
              <w:right w:val="nil"/>
            </w:tcBorders>
            <w:vAlign w:val="center"/>
          </w:tcPr>
          <w:p w14:paraId="62A0C70B" w14:textId="77777777" w:rsidR="00816C37" w:rsidRPr="0076565F" w:rsidRDefault="00816C37" w:rsidP="009344C9">
            <w:pPr>
              <w:ind w:left="0" w:firstLine="0"/>
              <w:contextualSpacing/>
              <w:jc w:val="center"/>
            </w:pPr>
            <w:r w:rsidRPr="0076565F">
              <w:t>25</w:t>
            </w:r>
          </w:p>
        </w:tc>
        <w:tc>
          <w:tcPr>
            <w:tcW w:w="1045" w:type="dxa"/>
            <w:tcBorders>
              <w:top w:val="nil"/>
              <w:left w:val="nil"/>
              <w:bottom w:val="nil"/>
            </w:tcBorders>
            <w:vAlign w:val="center"/>
          </w:tcPr>
          <w:p w14:paraId="4D00E7C2" w14:textId="77777777" w:rsidR="00816C37" w:rsidRPr="0076565F" w:rsidRDefault="00816C37" w:rsidP="009344C9">
            <w:pPr>
              <w:ind w:left="0" w:firstLine="0"/>
              <w:contextualSpacing/>
              <w:jc w:val="center"/>
            </w:pPr>
            <w:r w:rsidRPr="0076565F">
              <w:t>100</w:t>
            </w:r>
          </w:p>
        </w:tc>
      </w:tr>
      <w:tr w:rsidR="00816C37" w:rsidRPr="0076565F" w14:paraId="312762F9" w14:textId="77777777" w:rsidTr="009344C9">
        <w:trPr>
          <w:trHeight w:val="259"/>
        </w:trPr>
        <w:tc>
          <w:tcPr>
            <w:tcW w:w="4583" w:type="dxa"/>
            <w:tcBorders>
              <w:top w:val="nil"/>
              <w:bottom w:val="nil"/>
              <w:right w:val="nil"/>
            </w:tcBorders>
            <w:vAlign w:val="center"/>
          </w:tcPr>
          <w:p w14:paraId="2B0976B2" w14:textId="77777777" w:rsidR="00816C37" w:rsidRPr="00B06811" w:rsidRDefault="00816C37" w:rsidP="009344C9">
            <w:pPr>
              <w:ind w:left="0" w:firstLine="0"/>
              <w:contextualSpacing/>
              <w:rPr>
                <w:b/>
              </w:rPr>
            </w:pPr>
            <w:r w:rsidRPr="00B06811">
              <w:rPr>
                <w:b/>
              </w:rPr>
              <w:t>Kalibrasyon</w:t>
            </w:r>
          </w:p>
        </w:tc>
        <w:tc>
          <w:tcPr>
            <w:tcW w:w="554" w:type="dxa"/>
            <w:tcBorders>
              <w:top w:val="nil"/>
              <w:left w:val="nil"/>
              <w:bottom w:val="nil"/>
              <w:right w:val="nil"/>
            </w:tcBorders>
            <w:vAlign w:val="center"/>
          </w:tcPr>
          <w:p w14:paraId="251B500D" w14:textId="77777777" w:rsidR="00816C37" w:rsidRPr="0076565F" w:rsidRDefault="00816C37" w:rsidP="009344C9">
            <w:pPr>
              <w:contextualSpacing/>
              <w:jc w:val="center"/>
            </w:pPr>
            <w:r w:rsidRPr="0076565F">
              <w:t>76</w:t>
            </w:r>
          </w:p>
        </w:tc>
        <w:tc>
          <w:tcPr>
            <w:tcW w:w="971" w:type="dxa"/>
            <w:tcBorders>
              <w:top w:val="nil"/>
              <w:left w:val="nil"/>
              <w:bottom w:val="nil"/>
              <w:right w:val="nil"/>
            </w:tcBorders>
            <w:vAlign w:val="center"/>
          </w:tcPr>
          <w:p w14:paraId="23DABDD8" w14:textId="77777777" w:rsidR="00816C37" w:rsidRPr="0076565F" w:rsidRDefault="00816C37" w:rsidP="009344C9">
            <w:pPr>
              <w:ind w:left="0" w:firstLine="0"/>
              <w:contextualSpacing/>
              <w:jc w:val="center"/>
            </w:pPr>
            <w:r w:rsidRPr="0076565F">
              <w:t>13</w:t>
            </w:r>
            <w:r>
              <w:t>.</w:t>
            </w:r>
            <w:r w:rsidRPr="0076565F">
              <w:t>16</w:t>
            </w:r>
          </w:p>
        </w:tc>
        <w:tc>
          <w:tcPr>
            <w:tcW w:w="972" w:type="dxa"/>
            <w:tcBorders>
              <w:top w:val="nil"/>
              <w:left w:val="nil"/>
              <w:bottom w:val="nil"/>
              <w:right w:val="nil"/>
            </w:tcBorders>
            <w:vAlign w:val="center"/>
          </w:tcPr>
          <w:p w14:paraId="19B1C703" w14:textId="77777777" w:rsidR="00816C37" w:rsidRPr="0076565F" w:rsidRDefault="00816C37" w:rsidP="009344C9">
            <w:pPr>
              <w:ind w:left="0" w:firstLine="0"/>
              <w:contextualSpacing/>
              <w:jc w:val="center"/>
            </w:pPr>
            <w:r w:rsidRPr="0076565F">
              <w:t>11</w:t>
            </w:r>
            <w:r>
              <w:t>.</w:t>
            </w:r>
            <w:r w:rsidRPr="0076565F">
              <w:t>12</w:t>
            </w:r>
          </w:p>
        </w:tc>
        <w:tc>
          <w:tcPr>
            <w:tcW w:w="832" w:type="dxa"/>
            <w:tcBorders>
              <w:top w:val="nil"/>
              <w:left w:val="nil"/>
              <w:bottom w:val="nil"/>
              <w:right w:val="nil"/>
            </w:tcBorders>
            <w:vAlign w:val="center"/>
          </w:tcPr>
          <w:p w14:paraId="542C72C3" w14:textId="77777777" w:rsidR="00816C37" w:rsidRPr="0076565F" w:rsidRDefault="00816C37" w:rsidP="009344C9">
            <w:pPr>
              <w:ind w:left="0" w:firstLine="0"/>
              <w:contextualSpacing/>
              <w:jc w:val="center"/>
            </w:pPr>
            <w:r w:rsidRPr="0076565F">
              <w:t>1</w:t>
            </w:r>
          </w:p>
        </w:tc>
        <w:tc>
          <w:tcPr>
            <w:tcW w:w="1045" w:type="dxa"/>
            <w:tcBorders>
              <w:top w:val="nil"/>
              <w:left w:val="nil"/>
              <w:bottom w:val="nil"/>
            </w:tcBorders>
            <w:vAlign w:val="center"/>
          </w:tcPr>
          <w:p w14:paraId="483B9747" w14:textId="77777777" w:rsidR="00816C37" w:rsidRPr="0076565F" w:rsidRDefault="00816C37" w:rsidP="009344C9">
            <w:pPr>
              <w:ind w:left="0" w:firstLine="0"/>
              <w:contextualSpacing/>
              <w:jc w:val="center"/>
            </w:pPr>
            <w:r w:rsidRPr="0076565F">
              <w:t>44</w:t>
            </w:r>
          </w:p>
        </w:tc>
      </w:tr>
      <w:tr w:rsidR="00816C37" w:rsidRPr="0076565F" w14:paraId="2E3E11FA" w14:textId="77777777" w:rsidTr="009344C9">
        <w:trPr>
          <w:trHeight w:val="259"/>
        </w:trPr>
        <w:tc>
          <w:tcPr>
            <w:tcW w:w="4583" w:type="dxa"/>
            <w:tcBorders>
              <w:top w:val="nil"/>
              <w:bottom w:val="nil"/>
              <w:right w:val="nil"/>
            </w:tcBorders>
            <w:vAlign w:val="center"/>
          </w:tcPr>
          <w:p w14:paraId="4F0CBEAD" w14:textId="2B274096" w:rsidR="00816C37" w:rsidRPr="00B06811" w:rsidRDefault="00816C37" w:rsidP="009344C9">
            <w:pPr>
              <w:ind w:left="0" w:firstLine="0"/>
              <w:contextualSpacing/>
              <w:rPr>
                <w:b/>
              </w:rPr>
            </w:pPr>
            <w:r w:rsidRPr="00B06811">
              <w:rPr>
                <w:b/>
              </w:rPr>
              <w:t>Çaba düzenleme</w:t>
            </w:r>
            <w:r w:rsidR="00272C77">
              <w:rPr>
                <w:b/>
              </w:rPr>
              <w:t>si</w:t>
            </w:r>
          </w:p>
        </w:tc>
        <w:tc>
          <w:tcPr>
            <w:tcW w:w="554" w:type="dxa"/>
            <w:tcBorders>
              <w:top w:val="nil"/>
              <w:left w:val="nil"/>
              <w:bottom w:val="nil"/>
              <w:right w:val="nil"/>
            </w:tcBorders>
            <w:vAlign w:val="center"/>
          </w:tcPr>
          <w:p w14:paraId="36FBD2FB" w14:textId="77777777" w:rsidR="00816C37" w:rsidRPr="0076565F" w:rsidRDefault="00816C37" w:rsidP="009344C9">
            <w:pPr>
              <w:contextualSpacing/>
              <w:jc w:val="center"/>
            </w:pPr>
            <w:r w:rsidRPr="0076565F">
              <w:t>76</w:t>
            </w:r>
          </w:p>
        </w:tc>
        <w:tc>
          <w:tcPr>
            <w:tcW w:w="971" w:type="dxa"/>
            <w:tcBorders>
              <w:top w:val="nil"/>
              <w:left w:val="nil"/>
              <w:bottom w:val="nil"/>
              <w:right w:val="nil"/>
            </w:tcBorders>
            <w:vAlign w:val="center"/>
          </w:tcPr>
          <w:p w14:paraId="75D9C2BE" w14:textId="77777777" w:rsidR="00816C37" w:rsidRPr="0076565F" w:rsidRDefault="00816C37" w:rsidP="009344C9">
            <w:pPr>
              <w:ind w:left="0" w:firstLine="0"/>
              <w:contextualSpacing/>
              <w:jc w:val="center"/>
            </w:pPr>
            <w:r w:rsidRPr="0076565F">
              <w:t>5</w:t>
            </w:r>
            <w:r>
              <w:t>.</w:t>
            </w:r>
            <w:r w:rsidRPr="0076565F">
              <w:t>01</w:t>
            </w:r>
          </w:p>
        </w:tc>
        <w:tc>
          <w:tcPr>
            <w:tcW w:w="972" w:type="dxa"/>
            <w:tcBorders>
              <w:top w:val="nil"/>
              <w:left w:val="nil"/>
              <w:bottom w:val="nil"/>
              <w:right w:val="nil"/>
            </w:tcBorders>
            <w:vAlign w:val="center"/>
          </w:tcPr>
          <w:p w14:paraId="3E10F1E1" w14:textId="77777777" w:rsidR="00816C37" w:rsidRPr="0076565F" w:rsidRDefault="00816C37" w:rsidP="009344C9">
            <w:pPr>
              <w:ind w:left="0" w:firstLine="0"/>
              <w:contextualSpacing/>
              <w:jc w:val="center"/>
            </w:pPr>
            <w:r w:rsidRPr="0076565F">
              <w:t>1</w:t>
            </w:r>
            <w:r>
              <w:t>.</w:t>
            </w:r>
            <w:r w:rsidRPr="0076565F">
              <w:t>18</w:t>
            </w:r>
          </w:p>
        </w:tc>
        <w:tc>
          <w:tcPr>
            <w:tcW w:w="832" w:type="dxa"/>
            <w:tcBorders>
              <w:top w:val="nil"/>
              <w:left w:val="nil"/>
              <w:bottom w:val="nil"/>
              <w:right w:val="nil"/>
            </w:tcBorders>
            <w:vAlign w:val="center"/>
          </w:tcPr>
          <w:p w14:paraId="2B1C0C26" w14:textId="77777777" w:rsidR="00816C37" w:rsidRPr="0076565F" w:rsidRDefault="00816C37" w:rsidP="009344C9">
            <w:pPr>
              <w:ind w:left="0" w:firstLine="0"/>
              <w:contextualSpacing/>
              <w:jc w:val="center"/>
            </w:pPr>
            <w:r w:rsidRPr="0076565F">
              <w:t>2</w:t>
            </w:r>
            <w:r>
              <w:t>.</w:t>
            </w:r>
            <w:r w:rsidRPr="0076565F">
              <w:t>25</w:t>
            </w:r>
          </w:p>
        </w:tc>
        <w:tc>
          <w:tcPr>
            <w:tcW w:w="1045" w:type="dxa"/>
            <w:tcBorders>
              <w:top w:val="nil"/>
              <w:left w:val="nil"/>
              <w:bottom w:val="nil"/>
            </w:tcBorders>
            <w:vAlign w:val="center"/>
          </w:tcPr>
          <w:p w14:paraId="6E0AC540" w14:textId="77777777" w:rsidR="00816C37" w:rsidRPr="0076565F" w:rsidRDefault="00816C37" w:rsidP="009344C9">
            <w:pPr>
              <w:ind w:left="0" w:firstLine="0"/>
              <w:contextualSpacing/>
              <w:jc w:val="center"/>
            </w:pPr>
            <w:r w:rsidRPr="0076565F">
              <w:t>7</w:t>
            </w:r>
            <w:r>
              <w:t>.</w:t>
            </w:r>
            <w:r w:rsidRPr="0076565F">
              <w:t>00</w:t>
            </w:r>
          </w:p>
        </w:tc>
      </w:tr>
      <w:tr w:rsidR="00816C37" w:rsidRPr="0076565F" w14:paraId="263B664C" w14:textId="77777777" w:rsidTr="009344C9">
        <w:trPr>
          <w:trHeight w:val="259"/>
        </w:trPr>
        <w:tc>
          <w:tcPr>
            <w:tcW w:w="4583" w:type="dxa"/>
            <w:tcBorders>
              <w:top w:val="nil"/>
              <w:bottom w:val="nil"/>
              <w:right w:val="nil"/>
            </w:tcBorders>
            <w:vAlign w:val="center"/>
          </w:tcPr>
          <w:p w14:paraId="1E4462B0" w14:textId="4ED9F3C2" w:rsidR="00816C37" w:rsidRPr="00B06811" w:rsidRDefault="00816C37" w:rsidP="00272C77">
            <w:pPr>
              <w:ind w:left="0" w:firstLine="0"/>
              <w:contextualSpacing/>
              <w:rPr>
                <w:b/>
              </w:rPr>
            </w:pPr>
            <w:r w:rsidRPr="00B06811">
              <w:rPr>
                <w:b/>
              </w:rPr>
              <w:t>Biliş üstü stratejiler</w:t>
            </w:r>
          </w:p>
        </w:tc>
        <w:tc>
          <w:tcPr>
            <w:tcW w:w="554" w:type="dxa"/>
            <w:tcBorders>
              <w:top w:val="nil"/>
              <w:left w:val="nil"/>
              <w:bottom w:val="nil"/>
              <w:right w:val="nil"/>
            </w:tcBorders>
            <w:vAlign w:val="center"/>
          </w:tcPr>
          <w:p w14:paraId="408ABCA0" w14:textId="77777777" w:rsidR="00816C37" w:rsidRPr="0076565F" w:rsidRDefault="00816C37" w:rsidP="009344C9">
            <w:pPr>
              <w:contextualSpacing/>
              <w:jc w:val="center"/>
            </w:pPr>
            <w:r w:rsidRPr="0076565F">
              <w:t>76</w:t>
            </w:r>
          </w:p>
        </w:tc>
        <w:tc>
          <w:tcPr>
            <w:tcW w:w="971" w:type="dxa"/>
            <w:tcBorders>
              <w:top w:val="nil"/>
              <w:left w:val="nil"/>
              <w:bottom w:val="nil"/>
              <w:right w:val="nil"/>
            </w:tcBorders>
            <w:vAlign w:val="center"/>
          </w:tcPr>
          <w:p w14:paraId="257312EE" w14:textId="77777777" w:rsidR="00816C37" w:rsidRPr="0076565F" w:rsidRDefault="00816C37" w:rsidP="009344C9">
            <w:pPr>
              <w:ind w:left="0" w:firstLine="0"/>
              <w:contextualSpacing/>
              <w:jc w:val="center"/>
            </w:pPr>
            <w:r w:rsidRPr="0076565F">
              <w:t>5</w:t>
            </w:r>
            <w:r>
              <w:t>.</w:t>
            </w:r>
            <w:r w:rsidRPr="0076565F">
              <w:t>10</w:t>
            </w:r>
          </w:p>
        </w:tc>
        <w:tc>
          <w:tcPr>
            <w:tcW w:w="972" w:type="dxa"/>
            <w:tcBorders>
              <w:top w:val="nil"/>
              <w:left w:val="nil"/>
              <w:bottom w:val="nil"/>
              <w:right w:val="nil"/>
            </w:tcBorders>
            <w:vAlign w:val="center"/>
          </w:tcPr>
          <w:p w14:paraId="4AA9EEE8" w14:textId="77777777" w:rsidR="00816C37" w:rsidRPr="0076565F" w:rsidRDefault="00816C37" w:rsidP="009344C9">
            <w:pPr>
              <w:ind w:left="0" w:firstLine="0"/>
              <w:contextualSpacing/>
              <w:jc w:val="center"/>
            </w:pPr>
            <w:r w:rsidRPr="0076565F">
              <w:t>0</w:t>
            </w:r>
            <w:r>
              <w:t>.</w:t>
            </w:r>
            <w:r w:rsidRPr="0076565F">
              <w:t>79</w:t>
            </w:r>
          </w:p>
        </w:tc>
        <w:tc>
          <w:tcPr>
            <w:tcW w:w="832" w:type="dxa"/>
            <w:tcBorders>
              <w:top w:val="nil"/>
              <w:left w:val="nil"/>
              <w:bottom w:val="nil"/>
              <w:right w:val="nil"/>
            </w:tcBorders>
            <w:vAlign w:val="center"/>
          </w:tcPr>
          <w:p w14:paraId="743F07D4" w14:textId="77777777" w:rsidR="00816C37" w:rsidRPr="0076565F" w:rsidRDefault="00816C37" w:rsidP="009344C9">
            <w:pPr>
              <w:ind w:left="0" w:firstLine="0"/>
              <w:contextualSpacing/>
              <w:jc w:val="center"/>
            </w:pPr>
            <w:r w:rsidRPr="0076565F">
              <w:t>3</w:t>
            </w:r>
            <w:r>
              <w:t>.</w:t>
            </w:r>
            <w:r w:rsidRPr="0076565F">
              <w:t>08</w:t>
            </w:r>
          </w:p>
        </w:tc>
        <w:tc>
          <w:tcPr>
            <w:tcW w:w="1045" w:type="dxa"/>
            <w:tcBorders>
              <w:top w:val="nil"/>
              <w:left w:val="nil"/>
              <w:bottom w:val="nil"/>
            </w:tcBorders>
            <w:vAlign w:val="center"/>
          </w:tcPr>
          <w:p w14:paraId="311C5025" w14:textId="77777777" w:rsidR="00816C37" w:rsidRPr="0076565F" w:rsidRDefault="00816C37" w:rsidP="009344C9">
            <w:pPr>
              <w:ind w:left="0" w:firstLine="0"/>
              <w:contextualSpacing/>
              <w:jc w:val="center"/>
            </w:pPr>
            <w:r w:rsidRPr="0076565F">
              <w:t>6</w:t>
            </w:r>
            <w:r>
              <w:t>.</w:t>
            </w:r>
            <w:r w:rsidRPr="0076565F">
              <w:t>50</w:t>
            </w:r>
          </w:p>
        </w:tc>
      </w:tr>
      <w:tr w:rsidR="00816C37" w:rsidRPr="0076565F" w14:paraId="1C33E821" w14:textId="77777777" w:rsidTr="009344C9">
        <w:trPr>
          <w:trHeight w:val="259"/>
        </w:trPr>
        <w:tc>
          <w:tcPr>
            <w:tcW w:w="4583" w:type="dxa"/>
            <w:tcBorders>
              <w:top w:val="nil"/>
              <w:right w:val="nil"/>
            </w:tcBorders>
            <w:vAlign w:val="center"/>
          </w:tcPr>
          <w:p w14:paraId="4FD036B1" w14:textId="77777777" w:rsidR="00816C37" w:rsidRPr="00B06811" w:rsidRDefault="00816C37" w:rsidP="009344C9">
            <w:pPr>
              <w:ind w:left="0" w:firstLine="0"/>
              <w:contextualSpacing/>
              <w:rPr>
                <w:b/>
              </w:rPr>
            </w:pPr>
            <w:r w:rsidRPr="00B06811">
              <w:rPr>
                <w:b/>
              </w:rPr>
              <w:t>Öz yeterlik</w:t>
            </w:r>
          </w:p>
        </w:tc>
        <w:tc>
          <w:tcPr>
            <w:tcW w:w="554" w:type="dxa"/>
            <w:tcBorders>
              <w:top w:val="nil"/>
              <w:left w:val="nil"/>
              <w:right w:val="nil"/>
            </w:tcBorders>
            <w:vAlign w:val="center"/>
          </w:tcPr>
          <w:p w14:paraId="01CF1047" w14:textId="77777777" w:rsidR="00816C37" w:rsidRPr="0076565F" w:rsidRDefault="00816C37" w:rsidP="009344C9">
            <w:pPr>
              <w:contextualSpacing/>
              <w:jc w:val="center"/>
            </w:pPr>
            <w:r w:rsidRPr="0076565F">
              <w:t>76</w:t>
            </w:r>
          </w:p>
        </w:tc>
        <w:tc>
          <w:tcPr>
            <w:tcW w:w="971" w:type="dxa"/>
            <w:tcBorders>
              <w:top w:val="nil"/>
              <w:left w:val="nil"/>
              <w:right w:val="nil"/>
            </w:tcBorders>
            <w:vAlign w:val="center"/>
          </w:tcPr>
          <w:p w14:paraId="7FB01D73" w14:textId="77777777" w:rsidR="00816C37" w:rsidRPr="0076565F" w:rsidRDefault="00816C37" w:rsidP="009344C9">
            <w:pPr>
              <w:ind w:left="0" w:firstLine="0"/>
              <w:contextualSpacing/>
              <w:jc w:val="center"/>
            </w:pPr>
            <w:r w:rsidRPr="0076565F">
              <w:t>5</w:t>
            </w:r>
            <w:r>
              <w:t>.</w:t>
            </w:r>
            <w:r w:rsidRPr="0076565F">
              <w:t>05</w:t>
            </w:r>
          </w:p>
        </w:tc>
        <w:tc>
          <w:tcPr>
            <w:tcW w:w="972" w:type="dxa"/>
            <w:tcBorders>
              <w:top w:val="nil"/>
              <w:left w:val="nil"/>
              <w:right w:val="nil"/>
            </w:tcBorders>
            <w:vAlign w:val="center"/>
          </w:tcPr>
          <w:p w14:paraId="2266C4AF" w14:textId="77777777" w:rsidR="00816C37" w:rsidRPr="0076565F" w:rsidRDefault="00816C37" w:rsidP="009344C9">
            <w:pPr>
              <w:ind w:left="0" w:firstLine="0"/>
              <w:contextualSpacing/>
              <w:jc w:val="center"/>
            </w:pPr>
            <w:r w:rsidRPr="0076565F">
              <w:t>1</w:t>
            </w:r>
            <w:r>
              <w:t>.</w:t>
            </w:r>
            <w:r w:rsidRPr="0076565F">
              <w:t>10</w:t>
            </w:r>
          </w:p>
        </w:tc>
        <w:tc>
          <w:tcPr>
            <w:tcW w:w="832" w:type="dxa"/>
            <w:tcBorders>
              <w:top w:val="nil"/>
              <w:left w:val="nil"/>
              <w:right w:val="nil"/>
            </w:tcBorders>
            <w:vAlign w:val="center"/>
          </w:tcPr>
          <w:p w14:paraId="5B943A60" w14:textId="77777777" w:rsidR="00816C37" w:rsidRPr="0076565F" w:rsidRDefault="00816C37" w:rsidP="009344C9">
            <w:pPr>
              <w:ind w:left="0" w:firstLine="0"/>
              <w:contextualSpacing/>
              <w:jc w:val="center"/>
            </w:pPr>
            <w:r w:rsidRPr="0076565F">
              <w:t>2</w:t>
            </w:r>
            <w:r>
              <w:t>.</w:t>
            </w:r>
            <w:r w:rsidRPr="0076565F">
              <w:t>00</w:t>
            </w:r>
          </w:p>
        </w:tc>
        <w:tc>
          <w:tcPr>
            <w:tcW w:w="1045" w:type="dxa"/>
            <w:tcBorders>
              <w:top w:val="nil"/>
              <w:left w:val="nil"/>
            </w:tcBorders>
            <w:vAlign w:val="center"/>
          </w:tcPr>
          <w:p w14:paraId="609055AE" w14:textId="77777777" w:rsidR="00816C37" w:rsidRPr="0076565F" w:rsidRDefault="00816C37" w:rsidP="009344C9">
            <w:pPr>
              <w:ind w:left="0" w:firstLine="0"/>
              <w:contextualSpacing/>
              <w:jc w:val="center"/>
            </w:pPr>
            <w:r w:rsidRPr="0076565F">
              <w:t>7</w:t>
            </w:r>
            <w:r>
              <w:t>.</w:t>
            </w:r>
            <w:r w:rsidRPr="0076565F">
              <w:t>00</w:t>
            </w:r>
          </w:p>
        </w:tc>
      </w:tr>
    </w:tbl>
    <w:p w14:paraId="724340DE" w14:textId="77777777" w:rsidR="00816C37" w:rsidRDefault="00816C37" w:rsidP="004D51BC">
      <w:pPr>
        <w:ind w:left="0" w:firstLine="0"/>
        <w:jc w:val="both"/>
      </w:pPr>
    </w:p>
    <w:p w14:paraId="3891C771" w14:textId="4082387B" w:rsidR="00236F44" w:rsidRDefault="004718A8" w:rsidP="004D51BC">
      <w:pPr>
        <w:ind w:left="0" w:firstLine="0"/>
        <w:jc w:val="both"/>
      </w:pPr>
      <w:r>
        <w:lastRenderedPageBreak/>
        <w:t>Tablo 1’de k</w:t>
      </w:r>
      <w:r w:rsidR="0087051C" w:rsidRPr="0076565F">
        <w:t>atılımcıların çaba düzenlemesi</w:t>
      </w:r>
      <w:r w:rsidR="00920134" w:rsidRPr="0076565F">
        <w:t xml:space="preserve"> puanı ortalaması </w:t>
      </w:r>
      <m:oMath>
        <m:acc>
          <m:accPr>
            <m:chr m:val="̅"/>
            <m:ctrlPr>
              <w:rPr>
                <w:rFonts w:ascii="Cambria Math" w:hAnsi="Cambria Math"/>
                <w:i/>
              </w:rPr>
            </m:ctrlPr>
          </m:accPr>
          <m:e>
            <m:r>
              <w:rPr>
                <w:rFonts w:ascii="Cambria Math" w:hAnsi="Cambria Math"/>
              </w:rPr>
              <m:t>X</m:t>
            </m:r>
          </m:e>
        </m:acc>
      </m:oMath>
      <w:r w:rsidR="00920134" w:rsidRPr="0076565F">
        <w:t xml:space="preserve"> = 5</w:t>
      </w:r>
      <w:r w:rsidR="002234B3">
        <w:t>.</w:t>
      </w:r>
      <w:r w:rsidR="00920134" w:rsidRPr="0076565F">
        <w:t>0</w:t>
      </w:r>
      <w:r w:rsidR="00905A2A" w:rsidRPr="0076565F">
        <w:t>1</w:t>
      </w:r>
      <w:r w:rsidR="009C2C70" w:rsidRPr="0076565F">
        <w:t xml:space="preserve"> (</w:t>
      </w:r>
      <w:proofErr w:type="spellStart"/>
      <w:r w:rsidR="009C2C70" w:rsidRPr="008E20BC">
        <w:rPr>
          <w:i/>
        </w:rPr>
        <w:t>Sd</w:t>
      </w:r>
      <w:proofErr w:type="spellEnd"/>
      <w:r w:rsidR="009C2C70" w:rsidRPr="0076565F">
        <w:t xml:space="preserve"> =1</w:t>
      </w:r>
      <w:r w:rsidR="002234B3">
        <w:t>.</w:t>
      </w:r>
      <w:r w:rsidR="009C2C70" w:rsidRPr="0076565F">
        <w:t>1</w:t>
      </w:r>
      <w:r w:rsidR="00905A2A" w:rsidRPr="0076565F">
        <w:t>8</w:t>
      </w:r>
      <w:r w:rsidR="009C2C70" w:rsidRPr="0076565F">
        <w:t>)</w:t>
      </w:r>
      <w:r w:rsidR="00920134" w:rsidRPr="0076565F">
        <w:t>,</w:t>
      </w:r>
      <w:r w:rsidR="0087051C" w:rsidRPr="0076565F">
        <w:t xml:space="preserve"> </w:t>
      </w:r>
      <w:r w:rsidR="00452287" w:rsidRPr="0076565F">
        <w:t>biliş</w:t>
      </w:r>
      <w:r w:rsidR="00452287">
        <w:t xml:space="preserve"> üstü stratejileri</w:t>
      </w:r>
      <w:r w:rsidR="00452287" w:rsidRPr="0076565F">
        <w:t xml:space="preserve"> </w:t>
      </w:r>
      <w:r w:rsidR="00920134" w:rsidRPr="0076565F">
        <w:t xml:space="preserve">ortalaması </w:t>
      </w:r>
      <m:oMath>
        <m:acc>
          <m:accPr>
            <m:chr m:val="̅"/>
            <m:ctrlPr>
              <w:rPr>
                <w:rFonts w:ascii="Cambria Math" w:hAnsi="Cambria Math"/>
                <w:i/>
              </w:rPr>
            </m:ctrlPr>
          </m:accPr>
          <m:e>
            <m:r>
              <w:rPr>
                <w:rFonts w:ascii="Cambria Math" w:hAnsi="Cambria Math"/>
              </w:rPr>
              <m:t>X</m:t>
            </m:r>
          </m:e>
        </m:acc>
      </m:oMath>
      <w:r w:rsidR="00920134" w:rsidRPr="0076565F">
        <w:t xml:space="preserve"> = 5</w:t>
      </w:r>
      <w:r w:rsidR="002234B3">
        <w:t>.</w:t>
      </w:r>
      <w:r w:rsidR="00920134" w:rsidRPr="0076565F">
        <w:t>1</w:t>
      </w:r>
      <w:r w:rsidR="00905A2A" w:rsidRPr="0076565F">
        <w:t>0</w:t>
      </w:r>
      <w:r w:rsidR="00920134" w:rsidRPr="0076565F">
        <w:t xml:space="preserve"> </w:t>
      </w:r>
      <w:r w:rsidR="009C2C70" w:rsidRPr="0076565F">
        <w:t>(</w:t>
      </w:r>
      <w:proofErr w:type="spellStart"/>
      <w:r w:rsidR="009C2C70" w:rsidRPr="008E20BC">
        <w:rPr>
          <w:i/>
        </w:rPr>
        <w:t>Sd</w:t>
      </w:r>
      <w:proofErr w:type="spellEnd"/>
      <w:r w:rsidR="009C2C70" w:rsidRPr="0076565F">
        <w:t xml:space="preserve"> =</w:t>
      </w:r>
      <w:r w:rsidR="002234B3">
        <w:t>.</w:t>
      </w:r>
      <w:r w:rsidR="00905A2A" w:rsidRPr="0076565F">
        <w:t>79</w:t>
      </w:r>
      <w:r w:rsidR="009C2C70" w:rsidRPr="0076565F">
        <w:t xml:space="preserve">) </w:t>
      </w:r>
      <w:r w:rsidR="0087051C" w:rsidRPr="0076565F">
        <w:t xml:space="preserve">ve öz yeterlik puanlarının ortalaması </w:t>
      </w:r>
      <m:oMath>
        <m:acc>
          <m:accPr>
            <m:chr m:val="̅"/>
            <m:ctrlPr>
              <w:rPr>
                <w:rFonts w:ascii="Cambria Math" w:hAnsi="Cambria Math"/>
                <w:i/>
              </w:rPr>
            </m:ctrlPr>
          </m:accPr>
          <m:e>
            <m:r>
              <w:rPr>
                <w:rFonts w:ascii="Cambria Math" w:hAnsi="Cambria Math"/>
              </w:rPr>
              <m:t>X</m:t>
            </m:r>
          </m:e>
        </m:acc>
      </m:oMath>
      <w:r w:rsidR="00920134" w:rsidRPr="0076565F">
        <w:t xml:space="preserve"> = 5</w:t>
      </w:r>
      <w:r w:rsidR="002234B3">
        <w:t>.</w:t>
      </w:r>
      <w:r w:rsidR="00920134" w:rsidRPr="0076565F">
        <w:t>05</w:t>
      </w:r>
      <w:r w:rsidR="009C2C70" w:rsidRPr="0076565F">
        <w:t xml:space="preserve"> (</w:t>
      </w:r>
      <w:proofErr w:type="spellStart"/>
      <w:r w:rsidR="009C2C70" w:rsidRPr="008E20BC">
        <w:rPr>
          <w:i/>
        </w:rPr>
        <w:t>Sd</w:t>
      </w:r>
      <w:proofErr w:type="spellEnd"/>
      <w:r w:rsidR="009C2C70" w:rsidRPr="0076565F">
        <w:t xml:space="preserve"> =1</w:t>
      </w:r>
      <w:r w:rsidR="002234B3">
        <w:t>.</w:t>
      </w:r>
      <w:r w:rsidR="009C2C70" w:rsidRPr="0076565F">
        <w:t>1</w:t>
      </w:r>
      <w:r w:rsidR="00905A2A" w:rsidRPr="0076565F">
        <w:t>0</w:t>
      </w:r>
      <w:r w:rsidR="009C2C70" w:rsidRPr="0076565F">
        <w:t>)</w:t>
      </w:r>
      <w:r w:rsidR="00920134" w:rsidRPr="0076565F">
        <w:t xml:space="preserve"> olarak bulunmuştur. Öğrencilerin </w:t>
      </w:r>
      <w:r w:rsidR="00C45240" w:rsidRPr="0076565F">
        <w:t xml:space="preserve">motivasyon ve </w:t>
      </w:r>
      <w:proofErr w:type="spellStart"/>
      <w:r w:rsidR="00920134" w:rsidRPr="0076565F">
        <w:t>güdüsel</w:t>
      </w:r>
      <w:proofErr w:type="spellEnd"/>
      <w:r w:rsidR="00920134" w:rsidRPr="0076565F">
        <w:t xml:space="preserve"> stratejiler olarak nitelendirilen bu </w:t>
      </w:r>
      <w:r w:rsidR="00C45240" w:rsidRPr="0076565F">
        <w:t>değişkenler</w:t>
      </w:r>
      <w:r w:rsidR="00920134" w:rsidRPr="0076565F">
        <w:t xml:space="preserve">de puan ortalamalarının birbirine yakın olduğu </w:t>
      </w:r>
      <w:r w:rsidR="009C2C70" w:rsidRPr="0076565F">
        <w:t xml:space="preserve">ve beş puan ortalaması bölgesinde olduğu </w:t>
      </w:r>
      <w:r w:rsidR="00920134" w:rsidRPr="0076565F">
        <w:t xml:space="preserve">görülmektedir. </w:t>
      </w:r>
      <w:r w:rsidR="009C2C70" w:rsidRPr="0076565F">
        <w:t xml:space="preserve">Bu bakımdan öğrencilerin </w:t>
      </w:r>
      <w:r w:rsidR="00CC4F16" w:rsidRPr="0076565F">
        <w:t xml:space="preserve">motivasyon ve </w:t>
      </w:r>
      <w:proofErr w:type="spellStart"/>
      <w:r w:rsidR="009C2C70" w:rsidRPr="0076565F">
        <w:t>güdüsel</w:t>
      </w:r>
      <w:proofErr w:type="spellEnd"/>
      <w:r w:rsidR="009C2C70" w:rsidRPr="0076565F">
        <w:t xml:space="preserve"> strateji puanlarının yükseğe yakın olduğu ifade edilebilir.</w:t>
      </w:r>
      <w:r w:rsidR="00AD3393" w:rsidRPr="0076565F">
        <w:t xml:space="preserve"> Katılımcıların kalibrasyon puanları organik kimya dersi </w:t>
      </w:r>
      <w:r w:rsidR="001902B5">
        <w:t>yarıyıl</w:t>
      </w:r>
      <w:r w:rsidR="00C13414" w:rsidRPr="0076565F">
        <w:t xml:space="preserve"> sonu</w:t>
      </w:r>
      <w:r w:rsidR="00AD3393" w:rsidRPr="0076565F">
        <w:t xml:space="preserve"> sınavlarından aldıkları notlardan, sınav öncesi alacaklarını düşündükleri puanların farkının mutlak değeri alınarak hesaplanmıştır. Sınavdan alınabilecek en yüksek not 100 olduğundan teorik olarak bir katılımcının kalibrasyon puanı en çok 100 en az da 0 olabilir. Kalibrasyon puanları</w:t>
      </w:r>
      <w:r w:rsidR="001F55F0" w:rsidRPr="0076565F">
        <w:t>nda gerçek notlarla ters bir durum söz konusudur. Bir katılımcı, sınavdan alacağı notu doğruya yakın veya doğru tahmin ederse kalibras</w:t>
      </w:r>
      <w:r w:rsidR="00151E1C" w:rsidRPr="0076565F">
        <w:t>yon puanı düşük olacak, doğru tahminden</w:t>
      </w:r>
      <w:r w:rsidR="001F55F0" w:rsidRPr="0076565F">
        <w:t xml:space="preserve"> uzaklaşan </w:t>
      </w:r>
      <w:r w:rsidR="00151E1C" w:rsidRPr="0076565F">
        <w:t>durumlarda</w:t>
      </w:r>
      <w:r w:rsidR="001F55F0" w:rsidRPr="0076565F">
        <w:t xml:space="preserve"> kalibrasyon puanı yüksek olacaktır. </w:t>
      </w:r>
      <w:r w:rsidR="00622545" w:rsidRPr="0076565F">
        <w:t xml:space="preserve">Mevcut çalışmada </w:t>
      </w:r>
      <w:r w:rsidR="00551768" w:rsidRPr="0076565F">
        <w:t xml:space="preserve">katılımcıların kalibrasyon puanı ortalaması </w:t>
      </w:r>
      <m:oMath>
        <m:acc>
          <m:accPr>
            <m:chr m:val="̅"/>
            <m:ctrlPr>
              <w:rPr>
                <w:rFonts w:ascii="Cambria Math" w:hAnsi="Cambria Math"/>
                <w:i/>
              </w:rPr>
            </m:ctrlPr>
          </m:accPr>
          <m:e>
            <m:r>
              <w:rPr>
                <w:rFonts w:ascii="Cambria Math" w:hAnsi="Cambria Math"/>
              </w:rPr>
              <m:t>X</m:t>
            </m:r>
          </m:e>
        </m:acc>
      </m:oMath>
      <w:r w:rsidR="00551768" w:rsidRPr="0076565F">
        <w:t xml:space="preserve"> = 13</w:t>
      </w:r>
      <w:r w:rsidR="002234B3">
        <w:t>.</w:t>
      </w:r>
      <w:r w:rsidR="00905A2A" w:rsidRPr="0076565F">
        <w:t>16</w:t>
      </w:r>
      <w:r w:rsidR="00551768" w:rsidRPr="0076565F">
        <w:t xml:space="preserve"> (</w:t>
      </w:r>
      <w:proofErr w:type="spellStart"/>
      <w:r w:rsidR="00551768" w:rsidRPr="008E20BC">
        <w:rPr>
          <w:i/>
        </w:rPr>
        <w:t>Sd</w:t>
      </w:r>
      <w:proofErr w:type="spellEnd"/>
      <w:r w:rsidR="00551768" w:rsidRPr="0076565F">
        <w:t xml:space="preserve"> =1</w:t>
      </w:r>
      <w:r w:rsidR="00905A2A" w:rsidRPr="0076565F">
        <w:t>1</w:t>
      </w:r>
      <w:r w:rsidR="002234B3">
        <w:t>.</w:t>
      </w:r>
      <w:r w:rsidR="00905A2A" w:rsidRPr="0076565F">
        <w:t>12</w:t>
      </w:r>
      <w:r w:rsidR="00551768" w:rsidRPr="0076565F">
        <w:t>) olarak bulunmuştur.</w:t>
      </w:r>
    </w:p>
    <w:p w14:paraId="4434292C" w14:textId="77777777" w:rsidR="00A84BFC" w:rsidRDefault="00FE3DFA" w:rsidP="004D51BC">
      <w:pPr>
        <w:ind w:left="0" w:firstLine="0"/>
        <w:jc w:val="both"/>
      </w:pPr>
      <w:r w:rsidRPr="0076565F">
        <w:tab/>
      </w:r>
      <w:r w:rsidR="00551768" w:rsidRPr="0076565F">
        <w:t xml:space="preserve">Katılımcıların </w:t>
      </w:r>
      <w:r w:rsidR="00D0437D" w:rsidRPr="0076565F">
        <w:t xml:space="preserve">organik kimya </w:t>
      </w:r>
      <w:r w:rsidR="001902B5">
        <w:t>yarıyıl</w:t>
      </w:r>
      <w:r w:rsidR="00C13414" w:rsidRPr="0076565F">
        <w:t xml:space="preserve"> sonu </w:t>
      </w:r>
      <w:r w:rsidR="00D0437D" w:rsidRPr="0076565F">
        <w:t>sınavı puanları, kal</w:t>
      </w:r>
      <w:r w:rsidR="008E79BF" w:rsidRPr="0076565F">
        <w:t>i</w:t>
      </w:r>
      <w:r w:rsidR="00D0437D" w:rsidRPr="0076565F">
        <w:t>brasyonları</w:t>
      </w:r>
      <w:r w:rsidR="00EE04E4" w:rsidRPr="00EE04E4">
        <w:t xml:space="preserve"> </w:t>
      </w:r>
      <w:r w:rsidR="00EE04E4" w:rsidRPr="0076565F">
        <w:t>biliş</w:t>
      </w:r>
      <w:r w:rsidR="00EE04E4">
        <w:t xml:space="preserve"> üstü stratejileri,</w:t>
      </w:r>
      <w:r w:rsidR="00D0437D" w:rsidRPr="0076565F">
        <w:t xml:space="preserve"> çaba düzenlemesi ve öz yeterlikleri arasındaki ilişkiler </w:t>
      </w:r>
      <w:proofErr w:type="spellStart"/>
      <w:r w:rsidR="00D0437D" w:rsidRPr="0076565F">
        <w:t>Pearson</w:t>
      </w:r>
      <w:proofErr w:type="spellEnd"/>
      <w:r w:rsidR="00D0437D" w:rsidRPr="0076565F">
        <w:t xml:space="preserve"> korelasyon katsayısı olarak hesaplanmıştır. </w:t>
      </w:r>
    </w:p>
    <w:p w14:paraId="059101A5" w14:textId="77777777" w:rsidR="00A84BFC" w:rsidRDefault="00A84BFC" w:rsidP="004D51BC">
      <w:pPr>
        <w:ind w:left="0" w:firstLine="0"/>
        <w:jc w:val="both"/>
      </w:pPr>
    </w:p>
    <w:p w14:paraId="0EF163BC" w14:textId="77777777" w:rsidR="00A84BFC" w:rsidRPr="00B06811" w:rsidRDefault="00A84BFC" w:rsidP="00A84BFC">
      <w:pPr>
        <w:ind w:left="0" w:firstLine="0"/>
        <w:jc w:val="both"/>
      </w:pPr>
      <w:r w:rsidRPr="00B06811">
        <w:t>Tablo 2</w:t>
      </w:r>
    </w:p>
    <w:p w14:paraId="5D8BD233" w14:textId="77777777" w:rsidR="00A84BFC" w:rsidRPr="00B06811" w:rsidRDefault="00A84BFC" w:rsidP="00A84BFC">
      <w:pPr>
        <w:ind w:left="0" w:firstLine="0"/>
        <w:jc w:val="both"/>
        <w:rPr>
          <w:b/>
          <w:i/>
        </w:rPr>
      </w:pPr>
      <w:r w:rsidRPr="00B06811">
        <w:rPr>
          <w:i/>
        </w:rPr>
        <w:t xml:space="preserve">Çalışma Değişkenleri </w:t>
      </w:r>
      <w:proofErr w:type="spellStart"/>
      <w:r w:rsidRPr="00B06811">
        <w:rPr>
          <w:i/>
        </w:rPr>
        <w:t>Pearson</w:t>
      </w:r>
      <w:proofErr w:type="spellEnd"/>
      <w:r w:rsidRPr="00B06811">
        <w:rPr>
          <w:i/>
        </w:rPr>
        <w:t xml:space="preserve"> Korelasyon Değerleri</w:t>
      </w:r>
    </w:p>
    <w:tbl>
      <w:tblPr>
        <w:tblW w:w="9025"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2694"/>
        <w:gridCol w:w="708"/>
        <w:gridCol w:w="1560"/>
        <w:gridCol w:w="1559"/>
        <w:gridCol w:w="1559"/>
        <w:gridCol w:w="945"/>
      </w:tblGrid>
      <w:tr w:rsidR="00A84BFC" w:rsidRPr="0076565F" w14:paraId="408364FE" w14:textId="77777777" w:rsidTr="009344C9">
        <w:trPr>
          <w:cantSplit/>
          <w:trHeight w:val="385"/>
        </w:trPr>
        <w:tc>
          <w:tcPr>
            <w:tcW w:w="2694" w:type="dxa"/>
            <w:tcBorders>
              <w:left w:val="nil"/>
              <w:bottom w:val="single" w:sz="4" w:space="0" w:color="auto"/>
              <w:right w:val="nil"/>
            </w:tcBorders>
            <w:shd w:val="clear" w:color="auto" w:fill="FFFFFF" w:themeFill="background1"/>
            <w:vAlign w:val="bottom"/>
          </w:tcPr>
          <w:p w14:paraId="580BE37D" w14:textId="77777777" w:rsidR="00A84BFC" w:rsidRPr="0076565F" w:rsidRDefault="00A84BFC" w:rsidP="009344C9">
            <w:pPr>
              <w:autoSpaceDE w:val="0"/>
              <w:autoSpaceDN w:val="0"/>
              <w:adjustRightInd w:val="0"/>
              <w:spacing w:line="240" w:lineRule="auto"/>
              <w:rPr>
                <w:color w:val="000000" w:themeColor="text1"/>
                <w:szCs w:val="24"/>
              </w:rPr>
            </w:pPr>
          </w:p>
        </w:tc>
        <w:tc>
          <w:tcPr>
            <w:tcW w:w="708" w:type="dxa"/>
            <w:tcBorders>
              <w:left w:val="nil"/>
              <w:bottom w:val="single" w:sz="4" w:space="0" w:color="auto"/>
              <w:right w:val="nil"/>
            </w:tcBorders>
            <w:shd w:val="clear" w:color="auto" w:fill="FFFFFF" w:themeFill="background1"/>
            <w:vAlign w:val="bottom"/>
          </w:tcPr>
          <w:p w14:paraId="5B232101" w14:textId="77777777" w:rsidR="00A84BFC" w:rsidRPr="0076565F" w:rsidRDefault="00A84BFC" w:rsidP="009344C9">
            <w:pPr>
              <w:autoSpaceDE w:val="0"/>
              <w:autoSpaceDN w:val="0"/>
              <w:adjustRightInd w:val="0"/>
              <w:spacing w:line="320" w:lineRule="atLeast"/>
              <w:ind w:left="60" w:right="60"/>
              <w:jc w:val="center"/>
              <w:rPr>
                <w:color w:val="000000" w:themeColor="text1"/>
                <w:szCs w:val="18"/>
              </w:rPr>
            </w:pPr>
          </w:p>
        </w:tc>
        <w:tc>
          <w:tcPr>
            <w:tcW w:w="1560" w:type="dxa"/>
            <w:tcBorders>
              <w:left w:val="nil"/>
              <w:bottom w:val="single" w:sz="4" w:space="0" w:color="auto"/>
              <w:right w:val="nil"/>
            </w:tcBorders>
            <w:shd w:val="clear" w:color="auto" w:fill="FFFFFF" w:themeFill="background1"/>
            <w:vAlign w:val="bottom"/>
          </w:tcPr>
          <w:p w14:paraId="6DB60119" w14:textId="77777777" w:rsidR="00A84BFC" w:rsidRPr="0076565F" w:rsidRDefault="00A84BFC" w:rsidP="009344C9">
            <w:pPr>
              <w:autoSpaceDE w:val="0"/>
              <w:autoSpaceDN w:val="0"/>
              <w:adjustRightInd w:val="0"/>
              <w:spacing w:line="320" w:lineRule="atLeast"/>
              <w:ind w:left="0" w:right="60" w:firstLine="1"/>
              <w:jc w:val="center"/>
              <w:rPr>
                <w:b/>
                <w:color w:val="000000" w:themeColor="text1"/>
                <w:szCs w:val="18"/>
              </w:rPr>
            </w:pPr>
            <w:r w:rsidRPr="0076565F">
              <w:rPr>
                <w:b/>
                <w:color w:val="000000" w:themeColor="text1"/>
                <w:szCs w:val="18"/>
              </w:rPr>
              <w:t>Kalibrasyon</w:t>
            </w:r>
          </w:p>
        </w:tc>
        <w:tc>
          <w:tcPr>
            <w:tcW w:w="1559" w:type="dxa"/>
            <w:tcBorders>
              <w:left w:val="nil"/>
              <w:bottom w:val="single" w:sz="4" w:space="0" w:color="auto"/>
              <w:right w:val="nil"/>
            </w:tcBorders>
            <w:shd w:val="clear" w:color="auto" w:fill="FFFFFF" w:themeFill="background1"/>
            <w:vAlign w:val="bottom"/>
          </w:tcPr>
          <w:p w14:paraId="7A54FED6" w14:textId="77777777" w:rsidR="00A84BFC" w:rsidRPr="0076565F" w:rsidRDefault="00A84BFC" w:rsidP="009344C9">
            <w:pPr>
              <w:autoSpaceDE w:val="0"/>
              <w:autoSpaceDN w:val="0"/>
              <w:adjustRightInd w:val="0"/>
              <w:spacing w:line="320" w:lineRule="atLeast"/>
              <w:ind w:left="0" w:right="60" w:firstLine="0"/>
              <w:jc w:val="center"/>
              <w:rPr>
                <w:b/>
                <w:color w:val="000000" w:themeColor="text1"/>
                <w:szCs w:val="18"/>
              </w:rPr>
            </w:pPr>
            <w:r w:rsidRPr="0076565F">
              <w:rPr>
                <w:b/>
                <w:color w:val="000000" w:themeColor="text1"/>
                <w:szCs w:val="18"/>
              </w:rPr>
              <w:t>Çaba Düzenlemesi</w:t>
            </w:r>
          </w:p>
        </w:tc>
        <w:tc>
          <w:tcPr>
            <w:tcW w:w="1559" w:type="dxa"/>
            <w:tcBorders>
              <w:left w:val="nil"/>
              <w:bottom w:val="single" w:sz="4" w:space="0" w:color="auto"/>
              <w:right w:val="nil"/>
            </w:tcBorders>
            <w:shd w:val="clear" w:color="auto" w:fill="FFFFFF" w:themeFill="background1"/>
            <w:vAlign w:val="bottom"/>
          </w:tcPr>
          <w:p w14:paraId="29C1412B" w14:textId="77777777" w:rsidR="00A84BFC" w:rsidRPr="00452287" w:rsidRDefault="00A84BFC" w:rsidP="009344C9">
            <w:pPr>
              <w:autoSpaceDE w:val="0"/>
              <w:autoSpaceDN w:val="0"/>
              <w:adjustRightInd w:val="0"/>
              <w:spacing w:line="320" w:lineRule="atLeast"/>
              <w:ind w:left="5" w:right="60" w:firstLine="0"/>
              <w:jc w:val="center"/>
              <w:rPr>
                <w:b/>
                <w:color w:val="000000" w:themeColor="text1"/>
                <w:szCs w:val="18"/>
              </w:rPr>
            </w:pPr>
            <w:r>
              <w:rPr>
                <w:b/>
              </w:rPr>
              <w:t>B</w:t>
            </w:r>
            <w:r w:rsidRPr="00452287">
              <w:rPr>
                <w:b/>
              </w:rPr>
              <w:t>iliş üstü stratejileri</w:t>
            </w:r>
          </w:p>
        </w:tc>
        <w:tc>
          <w:tcPr>
            <w:tcW w:w="945" w:type="dxa"/>
            <w:tcBorders>
              <w:left w:val="nil"/>
              <w:bottom w:val="single" w:sz="4" w:space="0" w:color="auto"/>
              <w:right w:val="nil"/>
            </w:tcBorders>
            <w:shd w:val="clear" w:color="auto" w:fill="FFFFFF" w:themeFill="background1"/>
            <w:vAlign w:val="bottom"/>
          </w:tcPr>
          <w:p w14:paraId="75EDD7F9" w14:textId="77777777" w:rsidR="00A84BFC" w:rsidRPr="0076565F" w:rsidRDefault="00A84BFC" w:rsidP="009344C9">
            <w:pPr>
              <w:autoSpaceDE w:val="0"/>
              <w:autoSpaceDN w:val="0"/>
              <w:adjustRightInd w:val="0"/>
              <w:spacing w:line="320" w:lineRule="atLeast"/>
              <w:ind w:left="6" w:right="60" w:firstLine="0"/>
              <w:jc w:val="center"/>
              <w:rPr>
                <w:b/>
                <w:color w:val="000000" w:themeColor="text1"/>
                <w:szCs w:val="18"/>
              </w:rPr>
            </w:pPr>
            <w:r w:rsidRPr="0076565F">
              <w:rPr>
                <w:b/>
                <w:color w:val="000000" w:themeColor="text1"/>
                <w:szCs w:val="18"/>
              </w:rPr>
              <w:t>Öz yeterlik</w:t>
            </w:r>
          </w:p>
        </w:tc>
      </w:tr>
      <w:tr w:rsidR="00A84BFC" w:rsidRPr="0076565F" w14:paraId="218493D1" w14:textId="77777777" w:rsidTr="009344C9">
        <w:trPr>
          <w:cantSplit/>
          <w:trHeight w:val="192"/>
        </w:trPr>
        <w:tc>
          <w:tcPr>
            <w:tcW w:w="3402" w:type="dxa"/>
            <w:gridSpan w:val="2"/>
            <w:tcBorders>
              <w:top w:val="single" w:sz="4" w:space="0" w:color="auto"/>
              <w:left w:val="nil"/>
              <w:bottom w:val="nil"/>
              <w:right w:val="nil"/>
            </w:tcBorders>
            <w:shd w:val="clear" w:color="auto" w:fill="FFFFFF" w:themeFill="background1"/>
            <w:vAlign w:val="bottom"/>
          </w:tcPr>
          <w:p w14:paraId="0BC62FBB" w14:textId="77777777" w:rsidR="00A84BFC" w:rsidRPr="0076565F" w:rsidRDefault="00A84BFC" w:rsidP="009344C9">
            <w:pPr>
              <w:autoSpaceDE w:val="0"/>
              <w:autoSpaceDN w:val="0"/>
              <w:adjustRightInd w:val="0"/>
              <w:spacing w:line="320" w:lineRule="atLeast"/>
              <w:ind w:left="60" w:right="60" w:hanging="60"/>
              <w:rPr>
                <w:color w:val="000000" w:themeColor="text1"/>
                <w:szCs w:val="18"/>
              </w:rPr>
            </w:pPr>
            <w:r>
              <w:rPr>
                <w:b/>
              </w:rPr>
              <w:t>Yarıyıl</w:t>
            </w:r>
            <w:r w:rsidRPr="0076565F">
              <w:rPr>
                <w:b/>
              </w:rPr>
              <w:t xml:space="preserve"> Sonu Sınavı</w:t>
            </w:r>
            <w:r w:rsidRPr="0076565F">
              <w:rPr>
                <w:b/>
                <w:color w:val="000000" w:themeColor="text1"/>
                <w:szCs w:val="18"/>
              </w:rPr>
              <w:t xml:space="preserve"> Puanı</w:t>
            </w:r>
          </w:p>
        </w:tc>
        <w:tc>
          <w:tcPr>
            <w:tcW w:w="1560" w:type="dxa"/>
            <w:tcBorders>
              <w:top w:val="single" w:sz="4" w:space="0" w:color="auto"/>
              <w:left w:val="nil"/>
              <w:bottom w:val="nil"/>
              <w:right w:val="nil"/>
            </w:tcBorders>
            <w:shd w:val="clear" w:color="auto" w:fill="FFFFFF" w:themeFill="background1"/>
          </w:tcPr>
          <w:p w14:paraId="4D21C909" w14:textId="77777777" w:rsidR="00A84BFC" w:rsidRPr="0076565F" w:rsidRDefault="00A84BFC" w:rsidP="009344C9">
            <w:pPr>
              <w:autoSpaceDE w:val="0"/>
              <w:autoSpaceDN w:val="0"/>
              <w:adjustRightInd w:val="0"/>
              <w:spacing w:line="320" w:lineRule="atLeast"/>
              <w:ind w:left="60" w:right="60"/>
              <w:jc w:val="center"/>
              <w:rPr>
                <w:b/>
                <w:color w:val="000000" w:themeColor="text1"/>
                <w:szCs w:val="18"/>
              </w:rPr>
            </w:pPr>
            <w:r w:rsidRPr="0076565F">
              <w:rPr>
                <w:b/>
                <w:color w:val="000000" w:themeColor="text1"/>
                <w:szCs w:val="18"/>
              </w:rPr>
              <w:t>-</w:t>
            </w:r>
            <w:r>
              <w:rPr>
                <w:b/>
                <w:color w:val="000000" w:themeColor="text1"/>
                <w:szCs w:val="18"/>
              </w:rPr>
              <w:t>.</w:t>
            </w:r>
            <w:r w:rsidRPr="0076565F">
              <w:rPr>
                <w:b/>
                <w:color w:val="000000" w:themeColor="text1"/>
                <w:szCs w:val="18"/>
              </w:rPr>
              <w:t>57</w:t>
            </w:r>
            <w:r w:rsidRPr="0076565F">
              <w:rPr>
                <w:b/>
                <w:color w:val="000000" w:themeColor="text1"/>
                <w:szCs w:val="18"/>
                <w:vertAlign w:val="superscript"/>
              </w:rPr>
              <w:t>*</w:t>
            </w:r>
          </w:p>
        </w:tc>
        <w:tc>
          <w:tcPr>
            <w:tcW w:w="1559" w:type="dxa"/>
            <w:tcBorders>
              <w:top w:val="single" w:sz="4" w:space="0" w:color="auto"/>
              <w:left w:val="nil"/>
              <w:bottom w:val="nil"/>
              <w:right w:val="nil"/>
            </w:tcBorders>
            <w:shd w:val="clear" w:color="auto" w:fill="FFFFFF" w:themeFill="background1"/>
          </w:tcPr>
          <w:p w14:paraId="242A4FA3" w14:textId="77777777" w:rsidR="00A84BFC" w:rsidRPr="0076565F" w:rsidRDefault="00A84BFC" w:rsidP="009344C9">
            <w:pPr>
              <w:autoSpaceDE w:val="0"/>
              <w:autoSpaceDN w:val="0"/>
              <w:adjustRightInd w:val="0"/>
              <w:spacing w:line="320" w:lineRule="atLeast"/>
              <w:ind w:left="60" w:right="60"/>
              <w:jc w:val="center"/>
              <w:rPr>
                <w:b/>
                <w:color w:val="000000" w:themeColor="text1"/>
                <w:szCs w:val="18"/>
              </w:rPr>
            </w:pPr>
            <w:r>
              <w:rPr>
                <w:b/>
                <w:color w:val="000000" w:themeColor="text1"/>
                <w:szCs w:val="18"/>
              </w:rPr>
              <w:t>.</w:t>
            </w:r>
            <w:r w:rsidRPr="0076565F">
              <w:rPr>
                <w:b/>
                <w:color w:val="000000" w:themeColor="text1"/>
                <w:szCs w:val="18"/>
              </w:rPr>
              <w:t>43</w:t>
            </w:r>
            <w:r w:rsidRPr="0076565F">
              <w:rPr>
                <w:b/>
                <w:color w:val="000000" w:themeColor="text1"/>
                <w:szCs w:val="18"/>
                <w:vertAlign w:val="superscript"/>
              </w:rPr>
              <w:t>*</w:t>
            </w:r>
          </w:p>
        </w:tc>
        <w:tc>
          <w:tcPr>
            <w:tcW w:w="1559" w:type="dxa"/>
            <w:tcBorders>
              <w:top w:val="single" w:sz="4" w:space="0" w:color="auto"/>
              <w:left w:val="nil"/>
              <w:bottom w:val="nil"/>
              <w:right w:val="nil"/>
            </w:tcBorders>
            <w:shd w:val="clear" w:color="auto" w:fill="FFFFFF" w:themeFill="background1"/>
          </w:tcPr>
          <w:p w14:paraId="063DF33D" w14:textId="77777777" w:rsidR="00A84BFC" w:rsidRPr="0076565F" w:rsidRDefault="00A84BFC" w:rsidP="009344C9">
            <w:pPr>
              <w:autoSpaceDE w:val="0"/>
              <w:autoSpaceDN w:val="0"/>
              <w:adjustRightInd w:val="0"/>
              <w:spacing w:line="320" w:lineRule="atLeast"/>
              <w:ind w:left="60" w:right="60"/>
              <w:jc w:val="center"/>
              <w:rPr>
                <w:b/>
                <w:color w:val="000000" w:themeColor="text1"/>
                <w:szCs w:val="18"/>
              </w:rPr>
            </w:pPr>
            <w:r>
              <w:rPr>
                <w:b/>
                <w:color w:val="000000" w:themeColor="text1"/>
                <w:szCs w:val="18"/>
              </w:rPr>
              <w:t>.</w:t>
            </w:r>
            <w:r w:rsidRPr="0076565F">
              <w:rPr>
                <w:b/>
                <w:color w:val="000000" w:themeColor="text1"/>
                <w:szCs w:val="18"/>
              </w:rPr>
              <w:t>29</w:t>
            </w:r>
            <w:r w:rsidRPr="0076565F">
              <w:rPr>
                <w:b/>
                <w:color w:val="000000" w:themeColor="text1"/>
                <w:szCs w:val="18"/>
                <w:vertAlign w:val="superscript"/>
              </w:rPr>
              <w:t>*</w:t>
            </w:r>
          </w:p>
        </w:tc>
        <w:tc>
          <w:tcPr>
            <w:tcW w:w="945" w:type="dxa"/>
            <w:tcBorders>
              <w:top w:val="single" w:sz="4" w:space="0" w:color="auto"/>
              <w:left w:val="nil"/>
              <w:bottom w:val="nil"/>
              <w:right w:val="nil"/>
            </w:tcBorders>
            <w:shd w:val="clear" w:color="auto" w:fill="FFFFFF" w:themeFill="background1"/>
          </w:tcPr>
          <w:p w14:paraId="11A92888" w14:textId="77777777" w:rsidR="00A84BFC" w:rsidRPr="0076565F" w:rsidRDefault="00A84BFC" w:rsidP="009344C9">
            <w:pPr>
              <w:autoSpaceDE w:val="0"/>
              <w:autoSpaceDN w:val="0"/>
              <w:adjustRightInd w:val="0"/>
              <w:spacing w:line="320" w:lineRule="atLeast"/>
              <w:ind w:left="60" w:right="60"/>
              <w:jc w:val="center"/>
              <w:rPr>
                <w:b/>
                <w:color w:val="000000" w:themeColor="text1"/>
                <w:szCs w:val="18"/>
              </w:rPr>
            </w:pPr>
            <w:r>
              <w:rPr>
                <w:b/>
                <w:color w:val="000000" w:themeColor="text1"/>
                <w:szCs w:val="18"/>
              </w:rPr>
              <w:t>.</w:t>
            </w:r>
            <w:r w:rsidRPr="0076565F">
              <w:rPr>
                <w:b/>
                <w:color w:val="000000" w:themeColor="text1"/>
                <w:szCs w:val="18"/>
              </w:rPr>
              <w:t>37</w:t>
            </w:r>
            <w:r w:rsidRPr="0076565F">
              <w:rPr>
                <w:b/>
                <w:color w:val="000000" w:themeColor="text1"/>
                <w:szCs w:val="18"/>
                <w:vertAlign w:val="superscript"/>
              </w:rPr>
              <w:t>*</w:t>
            </w:r>
          </w:p>
        </w:tc>
      </w:tr>
      <w:tr w:rsidR="00A84BFC" w:rsidRPr="0076565F" w14:paraId="0B61C1E8" w14:textId="77777777" w:rsidTr="009344C9">
        <w:trPr>
          <w:cantSplit/>
          <w:trHeight w:val="192"/>
        </w:trPr>
        <w:tc>
          <w:tcPr>
            <w:tcW w:w="2694" w:type="dxa"/>
            <w:tcBorders>
              <w:top w:val="nil"/>
              <w:left w:val="nil"/>
              <w:bottom w:val="nil"/>
              <w:right w:val="nil"/>
            </w:tcBorders>
            <w:shd w:val="clear" w:color="auto" w:fill="FFFFFF" w:themeFill="background1"/>
            <w:vAlign w:val="bottom"/>
          </w:tcPr>
          <w:p w14:paraId="76278B6B" w14:textId="77777777" w:rsidR="00A84BFC" w:rsidRPr="0076565F" w:rsidRDefault="00A84BFC" w:rsidP="009344C9">
            <w:pPr>
              <w:autoSpaceDE w:val="0"/>
              <w:autoSpaceDN w:val="0"/>
              <w:adjustRightInd w:val="0"/>
              <w:spacing w:line="320" w:lineRule="atLeast"/>
              <w:ind w:left="0" w:right="60" w:firstLine="0"/>
              <w:rPr>
                <w:b/>
                <w:color w:val="000000" w:themeColor="text1"/>
                <w:szCs w:val="18"/>
              </w:rPr>
            </w:pPr>
            <w:r w:rsidRPr="0076565F">
              <w:rPr>
                <w:b/>
                <w:color w:val="000000" w:themeColor="text1"/>
                <w:szCs w:val="18"/>
              </w:rPr>
              <w:t>Kalibrasyon</w:t>
            </w:r>
          </w:p>
        </w:tc>
        <w:tc>
          <w:tcPr>
            <w:tcW w:w="708" w:type="dxa"/>
            <w:tcBorders>
              <w:top w:val="nil"/>
              <w:left w:val="nil"/>
              <w:bottom w:val="nil"/>
              <w:right w:val="nil"/>
            </w:tcBorders>
            <w:shd w:val="clear" w:color="auto" w:fill="FFFFFF" w:themeFill="background1"/>
          </w:tcPr>
          <w:p w14:paraId="661C878C" w14:textId="77777777" w:rsidR="00A84BFC" w:rsidRPr="0076565F" w:rsidRDefault="00A84BFC" w:rsidP="009344C9">
            <w:pPr>
              <w:autoSpaceDE w:val="0"/>
              <w:autoSpaceDN w:val="0"/>
              <w:adjustRightInd w:val="0"/>
              <w:spacing w:line="320" w:lineRule="atLeast"/>
              <w:ind w:left="60" w:right="60"/>
              <w:jc w:val="right"/>
              <w:rPr>
                <w:color w:val="000000" w:themeColor="text1"/>
                <w:szCs w:val="18"/>
              </w:rPr>
            </w:pPr>
          </w:p>
        </w:tc>
        <w:tc>
          <w:tcPr>
            <w:tcW w:w="1560" w:type="dxa"/>
            <w:tcBorders>
              <w:top w:val="nil"/>
              <w:left w:val="nil"/>
              <w:bottom w:val="nil"/>
              <w:right w:val="nil"/>
            </w:tcBorders>
            <w:shd w:val="clear" w:color="auto" w:fill="FFFFFF" w:themeFill="background1"/>
          </w:tcPr>
          <w:p w14:paraId="6F88F37A" w14:textId="77777777" w:rsidR="00A84BFC" w:rsidRPr="0076565F" w:rsidRDefault="00A84BFC" w:rsidP="009344C9">
            <w:pPr>
              <w:autoSpaceDE w:val="0"/>
              <w:autoSpaceDN w:val="0"/>
              <w:adjustRightInd w:val="0"/>
              <w:spacing w:line="320" w:lineRule="atLeast"/>
              <w:ind w:left="60" w:right="60"/>
              <w:jc w:val="center"/>
              <w:rPr>
                <w:color w:val="000000" w:themeColor="text1"/>
                <w:szCs w:val="18"/>
              </w:rPr>
            </w:pPr>
          </w:p>
        </w:tc>
        <w:tc>
          <w:tcPr>
            <w:tcW w:w="1559" w:type="dxa"/>
            <w:tcBorders>
              <w:top w:val="nil"/>
              <w:left w:val="nil"/>
              <w:bottom w:val="nil"/>
              <w:right w:val="nil"/>
            </w:tcBorders>
            <w:shd w:val="clear" w:color="auto" w:fill="FFFFFF" w:themeFill="background1"/>
          </w:tcPr>
          <w:p w14:paraId="73F1858E" w14:textId="77777777" w:rsidR="00A84BFC" w:rsidRPr="0076565F" w:rsidRDefault="00A84BFC" w:rsidP="009344C9">
            <w:pPr>
              <w:autoSpaceDE w:val="0"/>
              <w:autoSpaceDN w:val="0"/>
              <w:adjustRightInd w:val="0"/>
              <w:spacing w:line="320" w:lineRule="atLeast"/>
              <w:ind w:left="60" w:right="60"/>
              <w:jc w:val="center"/>
              <w:rPr>
                <w:b/>
                <w:color w:val="000000" w:themeColor="text1"/>
                <w:szCs w:val="18"/>
              </w:rPr>
            </w:pPr>
            <w:r w:rsidRPr="0076565F">
              <w:rPr>
                <w:b/>
                <w:color w:val="000000" w:themeColor="text1"/>
                <w:szCs w:val="18"/>
              </w:rPr>
              <w:t>-</w:t>
            </w:r>
            <w:r>
              <w:rPr>
                <w:b/>
                <w:color w:val="000000" w:themeColor="text1"/>
                <w:szCs w:val="18"/>
              </w:rPr>
              <w:t>.</w:t>
            </w:r>
            <w:r w:rsidRPr="0076565F">
              <w:rPr>
                <w:b/>
                <w:color w:val="000000" w:themeColor="text1"/>
                <w:szCs w:val="18"/>
              </w:rPr>
              <w:t>28</w:t>
            </w:r>
            <w:r w:rsidRPr="0076565F">
              <w:rPr>
                <w:b/>
                <w:color w:val="000000" w:themeColor="text1"/>
                <w:szCs w:val="18"/>
                <w:vertAlign w:val="superscript"/>
              </w:rPr>
              <w:t>*</w:t>
            </w:r>
          </w:p>
        </w:tc>
        <w:tc>
          <w:tcPr>
            <w:tcW w:w="1559" w:type="dxa"/>
            <w:tcBorders>
              <w:top w:val="nil"/>
              <w:left w:val="nil"/>
              <w:bottom w:val="nil"/>
              <w:right w:val="nil"/>
            </w:tcBorders>
            <w:shd w:val="clear" w:color="auto" w:fill="FFFFFF" w:themeFill="background1"/>
          </w:tcPr>
          <w:p w14:paraId="139D8AB4" w14:textId="77777777" w:rsidR="00A84BFC" w:rsidRPr="0076565F" w:rsidRDefault="00A84BFC" w:rsidP="009344C9">
            <w:pPr>
              <w:autoSpaceDE w:val="0"/>
              <w:autoSpaceDN w:val="0"/>
              <w:adjustRightInd w:val="0"/>
              <w:spacing w:line="320" w:lineRule="atLeast"/>
              <w:ind w:left="60" w:right="60"/>
              <w:jc w:val="center"/>
              <w:rPr>
                <w:color w:val="000000" w:themeColor="text1"/>
                <w:szCs w:val="18"/>
              </w:rPr>
            </w:pPr>
            <w:r w:rsidRPr="0076565F">
              <w:rPr>
                <w:color w:val="000000" w:themeColor="text1"/>
                <w:szCs w:val="18"/>
              </w:rPr>
              <w:t>-</w:t>
            </w:r>
            <w:r>
              <w:rPr>
                <w:color w:val="000000" w:themeColor="text1"/>
                <w:szCs w:val="18"/>
              </w:rPr>
              <w:t>.</w:t>
            </w:r>
            <w:r w:rsidRPr="0076565F">
              <w:rPr>
                <w:color w:val="000000" w:themeColor="text1"/>
                <w:szCs w:val="18"/>
              </w:rPr>
              <w:t>17</w:t>
            </w:r>
          </w:p>
        </w:tc>
        <w:tc>
          <w:tcPr>
            <w:tcW w:w="945" w:type="dxa"/>
            <w:tcBorders>
              <w:top w:val="nil"/>
              <w:left w:val="nil"/>
              <w:bottom w:val="nil"/>
              <w:right w:val="nil"/>
            </w:tcBorders>
            <w:shd w:val="clear" w:color="auto" w:fill="FFFFFF" w:themeFill="background1"/>
          </w:tcPr>
          <w:p w14:paraId="1DDEE772" w14:textId="77777777" w:rsidR="00A84BFC" w:rsidRPr="0076565F" w:rsidRDefault="00A84BFC" w:rsidP="009344C9">
            <w:pPr>
              <w:autoSpaceDE w:val="0"/>
              <w:autoSpaceDN w:val="0"/>
              <w:adjustRightInd w:val="0"/>
              <w:spacing w:line="320" w:lineRule="atLeast"/>
              <w:ind w:left="60" w:right="60"/>
              <w:jc w:val="center"/>
              <w:rPr>
                <w:b/>
                <w:color w:val="000000" w:themeColor="text1"/>
                <w:szCs w:val="18"/>
              </w:rPr>
            </w:pPr>
            <w:r w:rsidRPr="0076565F">
              <w:rPr>
                <w:b/>
                <w:color w:val="000000" w:themeColor="text1"/>
                <w:szCs w:val="18"/>
              </w:rPr>
              <w:t>-</w:t>
            </w:r>
            <w:r>
              <w:rPr>
                <w:b/>
                <w:color w:val="000000" w:themeColor="text1"/>
                <w:szCs w:val="18"/>
              </w:rPr>
              <w:t>.</w:t>
            </w:r>
            <w:r w:rsidRPr="0076565F">
              <w:rPr>
                <w:b/>
                <w:color w:val="000000" w:themeColor="text1"/>
                <w:szCs w:val="18"/>
              </w:rPr>
              <w:t>26</w:t>
            </w:r>
            <w:r w:rsidRPr="0076565F">
              <w:rPr>
                <w:b/>
                <w:color w:val="000000" w:themeColor="text1"/>
                <w:szCs w:val="18"/>
                <w:vertAlign w:val="superscript"/>
              </w:rPr>
              <w:t>*</w:t>
            </w:r>
          </w:p>
        </w:tc>
      </w:tr>
      <w:tr w:rsidR="00A84BFC" w:rsidRPr="0076565F" w14:paraId="39EA9BBB" w14:textId="77777777" w:rsidTr="009344C9">
        <w:trPr>
          <w:cantSplit/>
          <w:trHeight w:val="96"/>
        </w:trPr>
        <w:tc>
          <w:tcPr>
            <w:tcW w:w="2694" w:type="dxa"/>
            <w:tcBorders>
              <w:top w:val="nil"/>
              <w:left w:val="nil"/>
              <w:bottom w:val="nil"/>
              <w:right w:val="nil"/>
            </w:tcBorders>
            <w:shd w:val="clear" w:color="auto" w:fill="FFFFFF" w:themeFill="background1"/>
            <w:vAlign w:val="bottom"/>
          </w:tcPr>
          <w:p w14:paraId="40588B51" w14:textId="77777777" w:rsidR="00A84BFC" w:rsidRPr="0076565F" w:rsidRDefault="00A84BFC" w:rsidP="009344C9">
            <w:pPr>
              <w:autoSpaceDE w:val="0"/>
              <w:autoSpaceDN w:val="0"/>
              <w:adjustRightInd w:val="0"/>
              <w:spacing w:line="320" w:lineRule="atLeast"/>
              <w:ind w:left="0" w:right="60" w:firstLine="0"/>
              <w:rPr>
                <w:b/>
                <w:color w:val="000000" w:themeColor="text1"/>
                <w:szCs w:val="18"/>
              </w:rPr>
            </w:pPr>
            <w:r w:rsidRPr="0076565F">
              <w:rPr>
                <w:b/>
                <w:color w:val="000000" w:themeColor="text1"/>
                <w:szCs w:val="18"/>
              </w:rPr>
              <w:t>Çaba Düzenlemesi</w:t>
            </w:r>
          </w:p>
        </w:tc>
        <w:tc>
          <w:tcPr>
            <w:tcW w:w="708" w:type="dxa"/>
            <w:tcBorders>
              <w:top w:val="nil"/>
              <w:left w:val="nil"/>
              <w:bottom w:val="nil"/>
              <w:right w:val="nil"/>
            </w:tcBorders>
            <w:shd w:val="clear" w:color="auto" w:fill="FFFFFF" w:themeFill="background1"/>
          </w:tcPr>
          <w:p w14:paraId="1FE57872" w14:textId="77777777" w:rsidR="00A84BFC" w:rsidRPr="0076565F" w:rsidRDefault="00A84BFC" w:rsidP="009344C9">
            <w:pPr>
              <w:autoSpaceDE w:val="0"/>
              <w:autoSpaceDN w:val="0"/>
              <w:adjustRightInd w:val="0"/>
              <w:spacing w:line="320" w:lineRule="atLeast"/>
              <w:ind w:left="60" w:right="60"/>
              <w:jc w:val="right"/>
              <w:rPr>
                <w:color w:val="000000" w:themeColor="text1"/>
                <w:szCs w:val="18"/>
              </w:rPr>
            </w:pPr>
          </w:p>
        </w:tc>
        <w:tc>
          <w:tcPr>
            <w:tcW w:w="1560" w:type="dxa"/>
            <w:tcBorders>
              <w:top w:val="nil"/>
              <w:left w:val="nil"/>
              <w:bottom w:val="nil"/>
              <w:right w:val="nil"/>
            </w:tcBorders>
            <w:shd w:val="clear" w:color="auto" w:fill="FFFFFF" w:themeFill="background1"/>
          </w:tcPr>
          <w:p w14:paraId="414A74F9" w14:textId="77777777" w:rsidR="00A84BFC" w:rsidRPr="0076565F" w:rsidRDefault="00A84BFC" w:rsidP="009344C9">
            <w:pPr>
              <w:autoSpaceDE w:val="0"/>
              <w:autoSpaceDN w:val="0"/>
              <w:adjustRightInd w:val="0"/>
              <w:spacing w:line="320" w:lineRule="atLeast"/>
              <w:ind w:left="60" w:right="60"/>
              <w:jc w:val="center"/>
              <w:rPr>
                <w:color w:val="000000" w:themeColor="text1"/>
                <w:szCs w:val="18"/>
              </w:rPr>
            </w:pPr>
          </w:p>
        </w:tc>
        <w:tc>
          <w:tcPr>
            <w:tcW w:w="1559" w:type="dxa"/>
            <w:tcBorders>
              <w:top w:val="nil"/>
              <w:left w:val="nil"/>
              <w:bottom w:val="nil"/>
              <w:right w:val="nil"/>
            </w:tcBorders>
            <w:shd w:val="clear" w:color="auto" w:fill="FFFFFF" w:themeFill="background1"/>
          </w:tcPr>
          <w:p w14:paraId="607639D7" w14:textId="77777777" w:rsidR="00A84BFC" w:rsidRPr="0076565F" w:rsidRDefault="00A84BFC" w:rsidP="009344C9">
            <w:pPr>
              <w:autoSpaceDE w:val="0"/>
              <w:autoSpaceDN w:val="0"/>
              <w:adjustRightInd w:val="0"/>
              <w:spacing w:line="320" w:lineRule="atLeast"/>
              <w:ind w:left="60" w:right="60"/>
              <w:jc w:val="center"/>
              <w:rPr>
                <w:color w:val="000000" w:themeColor="text1"/>
                <w:szCs w:val="18"/>
              </w:rPr>
            </w:pPr>
          </w:p>
        </w:tc>
        <w:tc>
          <w:tcPr>
            <w:tcW w:w="1559" w:type="dxa"/>
            <w:tcBorders>
              <w:top w:val="nil"/>
              <w:left w:val="nil"/>
              <w:bottom w:val="nil"/>
              <w:right w:val="nil"/>
            </w:tcBorders>
            <w:shd w:val="clear" w:color="auto" w:fill="FFFFFF" w:themeFill="background1"/>
          </w:tcPr>
          <w:p w14:paraId="3295CE97" w14:textId="77777777" w:rsidR="00A84BFC" w:rsidRPr="0076565F" w:rsidRDefault="00A84BFC" w:rsidP="009344C9">
            <w:pPr>
              <w:autoSpaceDE w:val="0"/>
              <w:autoSpaceDN w:val="0"/>
              <w:adjustRightInd w:val="0"/>
              <w:spacing w:line="320" w:lineRule="atLeast"/>
              <w:ind w:left="60" w:right="60"/>
              <w:jc w:val="center"/>
              <w:rPr>
                <w:b/>
                <w:color w:val="000000" w:themeColor="text1"/>
                <w:szCs w:val="18"/>
              </w:rPr>
            </w:pPr>
            <w:r>
              <w:rPr>
                <w:b/>
                <w:color w:val="000000" w:themeColor="text1"/>
                <w:szCs w:val="18"/>
              </w:rPr>
              <w:t>.</w:t>
            </w:r>
            <w:r w:rsidRPr="0076565F">
              <w:rPr>
                <w:b/>
                <w:color w:val="000000" w:themeColor="text1"/>
                <w:szCs w:val="18"/>
              </w:rPr>
              <w:t>61</w:t>
            </w:r>
            <w:r w:rsidRPr="0076565F">
              <w:rPr>
                <w:b/>
                <w:color w:val="000000" w:themeColor="text1"/>
                <w:szCs w:val="18"/>
                <w:vertAlign w:val="superscript"/>
              </w:rPr>
              <w:t>*</w:t>
            </w:r>
          </w:p>
        </w:tc>
        <w:tc>
          <w:tcPr>
            <w:tcW w:w="945" w:type="dxa"/>
            <w:tcBorders>
              <w:top w:val="nil"/>
              <w:left w:val="nil"/>
              <w:bottom w:val="nil"/>
              <w:right w:val="nil"/>
            </w:tcBorders>
            <w:shd w:val="clear" w:color="auto" w:fill="FFFFFF" w:themeFill="background1"/>
          </w:tcPr>
          <w:p w14:paraId="38233665" w14:textId="77777777" w:rsidR="00A84BFC" w:rsidRPr="0076565F" w:rsidRDefault="00A84BFC" w:rsidP="009344C9">
            <w:pPr>
              <w:autoSpaceDE w:val="0"/>
              <w:autoSpaceDN w:val="0"/>
              <w:adjustRightInd w:val="0"/>
              <w:spacing w:line="320" w:lineRule="atLeast"/>
              <w:ind w:left="60" w:right="60"/>
              <w:jc w:val="center"/>
              <w:rPr>
                <w:b/>
                <w:color w:val="000000" w:themeColor="text1"/>
                <w:szCs w:val="18"/>
              </w:rPr>
            </w:pPr>
            <w:r>
              <w:rPr>
                <w:b/>
                <w:color w:val="000000" w:themeColor="text1"/>
                <w:szCs w:val="18"/>
              </w:rPr>
              <w:t>.</w:t>
            </w:r>
            <w:r w:rsidRPr="0076565F">
              <w:rPr>
                <w:b/>
                <w:color w:val="000000" w:themeColor="text1"/>
                <w:szCs w:val="18"/>
              </w:rPr>
              <w:t>56</w:t>
            </w:r>
            <w:r w:rsidRPr="0076565F">
              <w:rPr>
                <w:b/>
                <w:color w:val="000000" w:themeColor="text1"/>
                <w:szCs w:val="18"/>
                <w:vertAlign w:val="superscript"/>
              </w:rPr>
              <w:t>*</w:t>
            </w:r>
          </w:p>
        </w:tc>
      </w:tr>
      <w:tr w:rsidR="00A84BFC" w:rsidRPr="0076565F" w14:paraId="437A78B3" w14:textId="77777777" w:rsidTr="009344C9">
        <w:trPr>
          <w:cantSplit/>
          <w:trHeight w:val="192"/>
        </w:trPr>
        <w:tc>
          <w:tcPr>
            <w:tcW w:w="2694" w:type="dxa"/>
            <w:tcBorders>
              <w:top w:val="nil"/>
              <w:left w:val="nil"/>
              <w:bottom w:val="nil"/>
              <w:right w:val="nil"/>
            </w:tcBorders>
            <w:shd w:val="clear" w:color="auto" w:fill="FFFFFF" w:themeFill="background1"/>
            <w:vAlign w:val="bottom"/>
          </w:tcPr>
          <w:p w14:paraId="78652301" w14:textId="77777777" w:rsidR="00A84BFC" w:rsidRPr="00452287" w:rsidRDefault="00A84BFC" w:rsidP="009344C9">
            <w:pPr>
              <w:autoSpaceDE w:val="0"/>
              <w:autoSpaceDN w:val="0"/>
              <w:adjustRightInd w:val="0"/>
              <w:spacing w:line="320" w:lineRule="atLeast"/>
              <w:ind w:left="0" w:right="60" w:firstLine="0"/>
              <w:rPr>
                <w:b/>
                <w:color w:val="000000" w:themeColor="text1"/>
                <w:szCs w:val="18"/>
              </w:rPr>
            </w:pPr>
            <w:r w:rsidRPr="00452287">
              <w:rPr>
                <w:b/>
              </w:rPr>
              <w:t>Biliş üstü stratejileri</w:t>
            </w:r>
          </w:p>
        </w:tc>
        <w:tc>
          <w:tcPr>
            <w:tcW w:w="708" w:type="dxa"/>
            <w:tcBorders>
              <w:top w:val="nil"/>
              <w:left w:val="nil"/>
              <w:bottom w:val="nil"/>
              <w:right w:val="nil"/>
            </w:tcBorders>
            <w:shd w:val="clear" w:color="auto" w:fill="FFFFFF" w:themeFill="background1"/>
          </w:tcPr>
          <w:p w14:paraId="5AFCE7E8" w14:textId="77777777" w:rsidR="00A84BFC" w:rsidRPr="0076565F" w:rsidRDefault="00A84BFC" w:rsidP="009344C9">
            <w:pPr>
              <w:autoSpaceDE w:val="0"/>
              <w:autoSpaceDN w:val="0"/>
              <w:adjustRightInd w:val="0"/>
              <w:spacing w:line="320" w:lineRule="atLeast"/>
              <w:ind w:left="60" w:right="60"/>
              <w:jc w:val="right"/>
              <w:rPr>
                <w:color w:val="000000" w:themeColor="text1"/>
                <w:szCs w:val="18"/>
              </w:rPr>
            </w:pPr>
          </w:p>
        </w:tc>
        <w:tc>
          <w:tcPr>
            <w:tcW w:w="1560" w:type="dxa"/>
            <w:tcBorders>
              <w:top w:val="nil"/>
              <w:left w:val="nil"/>
              <w:bottom w:val="nil"/>
              <w:right w:val="nil"/>
            </w:tcBorders>
            <w:shd w:val="clear" w:color="auto" w:fill="FFFFFF" w:themeFill="background1"/>
          </w:tcPr>
          <w:p w14:paraId="33598394" w14:textId="77777777" w:rsidR="00A84BFC" w:rsidRPr="0076565F" w:rsidRDefault="00A84BFC" w:rsidP="009344C9">
            <w:pPr>
              <w:autoSpaceDE w:val="0"/>
              <w:autoSpaceDN w:val="0"/>
              <w:adjustRightInd w:val="0"/>
              <w:spacing w:line="320" w:lineRule="atLeast"/>
              <w:ind w:left="60" w:right="60"/>
              <w:jc w:val="center"/>
              <w:rPr>
                <w:color w:val="000000" w:themeColor="text1"/>
                <w:szCs w:val="18"/>
              </w:rPr>
            </w:pPr>
          </w:p>
        </w:tc>
        <w:tc>
          <w:tcPr>
            <w:tcW w:w="1559" w:type="dxa"/>
            <w:tcBorders>
              <w:top w:val="nil"/>
              <w:left w:val="nil"/>
              <w:bottom w:val="nil"/>
              <w:right w:val="nil"/>
            </w:tcBorders>
            <w:shd w:val="clear" w:color="auto" w:fill="FFFFFF" w:themeFill="background1"/>
          </w:tcPr>
          <w:p w14:paraId="0C198582" w14:textId="77777777" w:rsidR="00A84BFC" w:rsidRPr="0076565F" w:rsidRDefault="00A84BFC" w:rsidP="009344C9">
            <w:pPr>
              <w:autoSpaceDE w:val="0"/>
              <w:autoSpaceDN w:val="0"/>
              <w:adjustRightInd w:val="0"/>
              <w:spacing w:line="320" w:lineRule="atLeast"/>
              <w:ind w:left="60" w:right="60"/>
              <w:jc w:val="center"/>
              <w:rPr>
                <w:color w:val="000000" w:themeColor="text1"/>
                <w:szCs w:val="18"/>
              </w:rPr>
            </w:pPr>
          </w:p>
        </w:tc>
        <w:tc>
          <w:tcPr>
            <w:tcW w:w="1559" w:type="dxa"/>
            <w:tcBorders>
              <w:top w:val="nil"/>
              <w:left w:val="nil"/>
              <w:bottom w:val="nil"/>
              <w:right w:val="nil"/>
            </w:tcBorders>
            <w:shd w:val="clear" w:color="auto" w:fill="FFFFFF" w:themeFill="background1"/>
          </w:tcPr>
          <w:p w14:paraId="4A237D4E" w14:textId="77777777" w:rsidR="00A84BFC" w:rsidRPr="0076565F" w:rsidRDefault="00A84BFC" w:rsidP="009344C9">
            <w:pPr>
              <w:autoSpaceDE w:val="0"/>
              <w:autoSpaceDN w:val="0"/>
              <w:adjustRightInd w:val="0"/>
              <w:spacing w:line="320" w:lineRule="atLeast"/>
              <w:ind w:left="60" w:right="60"/>
              <w:jc w:val="center"/>
              <w:rPr>
                <w:color w:val="000000" w:themeColor="text1"/>
                <w:szCs w:val="18"/>
              </w:rPr>
            </w:pPr>
          </w:p>
        </w:tc>
        <w:tc>
          <w:tcPr>
            <w:tcW w:w="945" w:type="dxa"/>
            <w:tcBorders>
              <w:top w:val="nil"/>
              <w:left w:val="nil"/>
              <w:bottom w:val="nil"/>
              <w:right w:val="nil"/>
            </w:tcBorders>
            <w:shd w:val="clear" w:color="auto" w:fill="FFFFFF" w:themeFill="background1"/>
          </w:tcPr>
          <w:p w14:paraId="4E8AF233" w14:textId="77777777" w:rsidR="00A84BFC" w:rsidRPr="0076565F" w:rsidRDefault="00A84BFC" w:rsidP="009344C9">
            <w:pPr>
              <w:autoSpaceDE w:val="0"/>
              <w:autoSpaceDN w:val="0"/>
              <w:adjustRightInd w:val="0"/>
              <w:spacing w:line="320" w:lineRule="atLeast"/>
              <w:ind w:left="60" w:right="60"/>
              <w:jc w:val="center"/>
              <w:rPr>
                <w:b/>
                <w:color w:val="000000" w:themeColor="text1"/>
                <w:szCs w:val="18"/>
              </w:rPr>
            </w:pPr>
            <w:r>
              <w:rPr>
                <w:b/>
                <w:color w:val="000000" w:themeColor="text1"/>
                <w:szCs w:val="18"/>
              </w:rPr>
              <w:t>.</w:t>
            </w:r>
            <w:r w:rsidRPr="0076565F">
              <w:rPr>
                <w:b/>
                <w:color w:val="000000" w:themeColor="text1"/>
                <w:szCs w:val="18"/>
              </w:rPr>
              <w:t>56</w:t>
            </w:r>
            <w:r w:rsidRPr="0076565F">
              <w:rPr>
                <w:b/>
                <w:color w:val="000000" w:themeColor="text1"/>
                <w:szCs w:val="18"/>
                <w:vertAlign w:val="superscript"/>
              </w:rPr>
              <w:t>*</w:t>
            </w:r>
          </w:p>
        </w:tc>
      </w:tr>
      <w:tr w:rsidR="00A84BFC" w:rsidRPr="0076565F" w14:paraId="4C1610D8" w14:textId="77777777" w:rsidTr="009344C9">
        <w:trPr>
          <w:cantSplit/>
          <w:trHeight w:val="182"/>
        </w:trPr>
        <w:tc>
          <w:tcPr>
            <w:tcW w:w="9025" w:type="dxa"/>
            <w:gridSpan w:val="6"/>
            <w:tcBorders>
              <w:left w:val="nil"/>
              <w:bottom w:val="nil"/>
              <w:right w:val="nil"/>
            </w:tcBorders>
            <w:shd w:val="clear" w:color="auto" w:fill="FFFFFF" w:themeFill="background1"/>
          </w:tcPr>
          <w:p w14:paraId="4C7553A0" w14:textId="77777777" w:rsidR="00A84BFC" w:rsidRPr="0076565F" w:rsidRDefault="00A84BFC" w:rsidP="009344C9">
            <w:pPr>
              <w:autoSpaceDE w:val="0"/>
              <w:autoSpaceDN w:val="0"/>
              <w:adjustRightInd w:val="0"/>
              <w:spacing w:line="320" w:lineRule="atLeast"/>
              <w:ind w:left="0" w:right="60" w:firstLine="0"/>
              <w:rPr>
                <w:color w:val="000000" w:themeColor="text1"/>
                <w:szCs w:val="18"/>
              </w:rPr>
            </w:pPr>
            <w:r w:rsidRPr="0076565F">
              <w:rPr>
                <w:color w:val="000000" w:themeColor="text1"/>
                <w:szCs w:val="18"/>
              </w:rPr>
              <w:t xml:space="preserve">* </w:t>
            </w:r>
            <w:r w:rsidRPr="0076565F">
              <w:rPr>
                <w:i/>
                <w:color w:val="000000" w:themeColor="text1"/>
                <w:szCs w:val="18"/>
              </w:rPr>
              <w:t>p</w:t>
            </w:r>
            <w:r w:rsidRPr="0076565F">
              <w:rPr>
                <w:color w:val="000000" w:themeColor="text1"/>
                <w:szCs w:val="18"/>
              </w:rPr>
              <w:t xml:space="preserve"> &lt; .05</w:t>
            </w:r>
          </w:p>
        </w:tc>
      </w:tr>
    </w:tbl>
    <w:p w14:paraId="79A3552D" w14:textId="77777777" w:rsidR="00A84BFC" w:rsidRDefault="00A84BFC" w:rsidP="004D51BC">
      <w:pPr>
        <w:ind w:left="0" w:firstLine="0"/>
        <w:jc w:val="both"/>
      </w:pPr>
    </w:p>
    <w:p w14:paraId="77834FA6" w14:textId="3311D9B6" w:rsidR="00551768" w:rsidRDefault="00FC6855" w:rsidP="004D51BC">
      <w:pPr>
        <w:ind w:left="0" w:firstLine="0"/>
        <w:jc w:val="both"/>
      </w:pPr>
      <w:r>
        <w:t>Tablo 2’de k</w:t>
      </w:r>
      <w:r w:rsidR="00195117" w:rsidRPr="0076565F">
        <w:t xml:space="preserve">atılımcıların organik kimya </w:t>
      </w:r>
      <w:r w:rsidR="001902B5">
        <w:t>yarıyıl</w:t>
      </w:r>
      <w:r w:rsidR="00C13414" w:rsidRPr="0076565F">
        <w:t xml:space="preserve"> sonu </w:t>
      </w:r>
      <w:r w:rsidR="00195117" w:rsidRPr="0076565F">
        <w:t xml:space="preserve">puanları ile </w:t>
      </w:r>
      <w:proofErr w:type="gramStart"/>
      <w:r w:rsidR="00195117" w:rsidRPr="0076565F">
        <w:t>kalibrasyon</w:t>
      </w:r>
      <w:proofErr w:type="gramEnd"/>
      <w:r w:rsidR="00195117" w:rsidRPr="0076565F">
        <w:t xml:space="preserve"> puanları arasında negatif yönde</w:t>
      </w:r>
      <w:r w:rsidR="00B02468" w:rsidRPr="0076565F">
        <w:t xml:space="preserve"> ve istatistiksel olarak</w:t>
      </w:r>
      <w:r w:rsidR="00195117" w:rsidRPr="0076565F">
        <w:t xml:space="preserve"> anlamlı bir ilişki</w:t>
      </w:r>
      <w:r w:rsidR="00B02468" w:rsidRPr="0076565F">
        <w:t xml:space="preserve"> (</w:t>
      </w:r>
      <w:r w:rsidR="00B02468" w:rsidRPr="008E20BC">
        <w:rPr>
          <w:i/>
        </w:rPr>
        <w:t>r</w:t>
      </w:r>
      <w:r w:rsidR="00B02468" w:rsidRPr="0076565F">
        <w:t xml:space="preserve"> =</w:t>
      </w:r>
      <w:r w:rsidR="00195117" w:rsidRPr="0076565F">
        <w:t xml:space="preserve"> </w:t>
      </w:r>
      <w:r w:rsidR="00B02468" w:rsidRPr="0076565F">
        <w:t>-</w:t>
      </w:r>
      <w:r w:rsidR="00737584">
        <w:t>.</w:t>
      </w:r>
      <w:r w:rsidR="00B02468" w:rsidRPr="0076565F">
        <w:t xml:space="preserve">57, </w:t>
      </w:r>
      <w:r w:rsidR="00B02468" w:rsidRPr="0076565F">
        <w:rPr>
          <w:i/>
        </w:rPr>
        <w:t>p</w:t>
      </w:r>
      <w:r w:rsidR="00B02468" w:rsidRPr="0076565F">
        <w:t>&lt;</w:t>
      </w:r>
      <w:r w:rsidR="00737584">
        <w:t>.</w:t>
      </w:r>
      <w:r w:rsidR="00B02468" w:rsidRPr="0076565F">
        <w:t>05)</w:t>
      </w:r>
      <w:r w:rsidR="001E15B9" w:rsidRPr="0076565F">
        <w:t xml:space="preserve"> </w:t>
      </w:r>
      <w:r w:rsidR="00195117" w:rsidRPr="0076565F">
        <w:t>bulunmuştur</w:t>
      </w:r>
      <w:r w:rsidR="00B02468" w:rsidRPr="0076565F">
        <w:t>. Başarı ile kalibrasyonun doğası gereği</w:t>
      </w:r>
      <w:r w:rsidR="00E25577" w:rsidRPr="0076565F">
        <w:t xml:space="preserve"> </w:t>
      </w:r>
      <w:r w:rsidR="00B02468" w:rsidRPr="0076565F">
        <w:t>negatif bir ilişki vermesi doğaldır çünkü kalibrasyon</w:t>
      </w:r>
      <w:r w:rsidR="006B72B5" w:rsidRPr="0076565F">
        <w:t>un</w:t>
      </w:r>
      <w:r w:rsidR="00B02468" w:rsidRPr="0076565F">
        <w:t xml:space="preserve"> mutlak değer</w:t>
      </w:r>
      <w:r w:rsidR="006B72B5" w:rsidRPr="0076565F">
        <w:t>i</w:t>
      </w:r>
      <w:r w:rsidR="00B02468" w:rsidRPr="0076565F">
        <w:t xml:space="preserve"> azaldıkça iyi kalibre olunabildiğini göster</w:t>
      </w:r>
      <w:r w:rsidR="006B72B5" w:rsidRPr="0076565F">
        <w:t>mektedir</w:t>
      </w:r>
      <w:r w:rsidR="00B02468" w:rsidRPr="0076565F">
        <w:t xml:space="preserve">. Burada da başarılı öğrencilerin aynı zamanda iyi kalibrasyona sahip bireyler olduğu anlaşılmaktadır. </w:t>
      </w:r>
      <w:r w:rsidR="00944972" w:rsidRPr="0076565F">
        <w:t xml:space="preserve">Hesaplanan </w:t>
      </w:r>
      <w:r w:rsidR="006B72B5" w:rsidRPr="008E20BC">
        <w:rPr>
          <w:i/>
        </w:rPr>
        <w:t>r</w:t>
      </w:r>
      <w:r w:rsidR="006B72B5" w:rsidRPr="0076565F">
        <w:t xml:space="preserve">= </w:t>
      </w:r>
      <w:r w:rsidR="00944972" w:rsidRPr="0076565F">
        <w:t>-</w:t>
      </w:r>
      <w:r w:rsidR="00737584">
        <w:t>.</w:t>
      </w:r>
      <w:r w:rsidR="00944972" w:rsidRPr="0076565F">
        <w:t xml:space="preserve">57 </w:t>
      </w:r>
      <w:proofErr w:type="gramStart"/>
      <w:r w:rsidR="00944972" w:rsidRPr="0076565F">
        <w:t>korelasyon</w:t>
      </w:r>
      <w:proofErr w:type="gramEnd"/>
      <w:r w:rsidR="00944972" w:rsidRPr="0076565F">
        <w:t xml:space="preserve"> değeri organik kimya </w:t>
      </w:r>
      <w:r w:rsidR="001902B5">
        <w:t>yarıyıl</w:t>
      </w:r>
      <w:r w:rsidR="00C13414" w:rsidRPr="0076565F">
        <w:t xml:space="preserve"> sonu sınav </w:t>
      </w:r>
      <w:r w:rsidR="00944972" w:rsidRPr="0076565F">
        <w:t>notu başarısı ile kalibrasyon arsında güçlü bir ilişki olduğunu göstermektedir (</w:t>
      </w:r>
      <w:proofErr w:type="spellStart"/>
      <w:r w:rsidR="00500870" w:rsidRPr="0076565F">
        <w:t>Pallant</w:t>
      </w:r>
      <w:proofErr w:type="spellEnd"/>
      <w:r w:rsidR="00500870" w:rsidRPr="0076565F">
        <w:t>, 2016</w:t>
      </w:r>
      <w:r w:rsidR="00944972" w:rsidRPr="0076565F">
        <w:t xml:space="preserve">). Diğer yandan katılımcıların organik kimya </w:t>
      </w:r>
      <w:r w:rsidR="001902B5">
        <w:t>yarıyıl</w:t>
      </w:r>
      <w:r w:rsidR="00C13414" w:rsidRPr="0076565F">
        <w:t xml:space="preserve"> </w:t>
      </w:r>
      <w:r w:rsidR="00C13414" w:rsidRPr="0076565F">
        <w:lastRenderedPageBreak/>
        <w:t>sonu sınavındaki</w:t>
      </w:r>
      <w:r w:rsidR="00944972" w:rsidRPr="0076565F">
        <w:t xml:space="preserve"> başarısı çaba düzenlemesi, </w:t>
      </w:r>
      <w:r w:rsidR="00452287" w:rsidRPr="0076565F">
        <w:t>biliş</w:t>
      </w:r>
      <w:r w:rsidR="00452287">
        <w:t xml:space="preserve"> üstü stratejiler</w:t>
      </w:r>
      <w:r w:rsidR="00452287" w:rsidRPr="0076565F">
        <w:t xml:space="preserve"> </w:t>
      </w:r>
      <w:r w:rsidR="00944972" w:rsidRPr="0076565F">
        <w:t xml:space="preserve">ve öz yeterlik ile pozitif yönde istatistiksel olarak anlamlıdır. </w:t>
      </w:r>
      <w:r w:rsidR="00A03F35" w:rsidRPr="0076565F">
        <w:t xml:space="preserve">Organik kimya dersinde </w:t>
      </w:r>
      <w:proofErr w:type="gramStart"/>
      <w:r w:rsidR="00A03F35" w:rsidRPr="0076565F">
        <w:t>kalibrasyon</w:t>
      </w:r>
      <w:proofErr w:type="gramEnd"/>
      <w:r w:rsidR="00A03F35" w:rsidRPr="0076565F">
        <w:t xml:space="preserve"> ise </w:t>
      </w:r>
      <w:r w:rsidR="001E15B9" w:rsidRPr="0076565F">
        <w:t>çaba düzenlemesi (</w:t>
      </w:r>
      <w:r w:rsidR="001E15B9" w:rsidRPr="008E20BC">
        <w:rPr>
          <w:i/>
        </w:rPr>
        <w:t>r</w:t>
      </w:r>
      <w:r w:rsidR="001E15B9" w:rsidRPr="0076565F">
        <w:t xml:space="preserve"> = -</w:t>
      </w:r>
      <w:r w:rsidR="00737584">
        <w:t>.</w:t>
      </w:r>
      <w:r w:rsidR="001E15B9" w:rsidRPr="0076565F">
        <w:t xml:space="preserve">28, </w:t>
      </w:r>
      <w:r w:rsidR="001E15B9" w:rsidRPr="0076565F">
        <w:rPr>
          <w:i/>
        </w:rPr>
        <w:t>p</w:t>
      </w:r>
      <w:r w:rsidR="001E15B9" w:rsidRPr="0076565F">
        <w:t>&lt;</w:t>
      </w:r>
      <w:r w:rsidR="00737584">
        <w:t>.</w:t>
      </w:r>
      <w:r w:rsidR="001E15B9" w:rsidRPr="0076565F">
        <w:t xml:space="preserve">05 ) ve öz yeterlik </w:t>
      </w:r>
      <w:r w:rsidR="006B72B5" w:rsidRPr="0076565F">
        <w:t>(</w:t>
      </w:r>
      <w:r w:rsidR="006B72B5" w:rsidRPr="008E20BC">
        <w:rPr>
          <w:i/>
        </w:rPr>
        <w:t>r</w:t>
      </w:r>
      <w:r w:rsidR="006B72B5" w:rsidRPr="0076565F">
        <w:t xml:space="preserve"> = -</w:t>
      </w:r>
      <w:r w:rsidR="00737584">
        <w:t>.</w:t>
      </w:r>
      <w:r w:rsidR="006B72B5" w:rsidRPr="0076565F">
        <w:t xml:space="preserve">26, </w:t>
      </w:r>
      <w:r w:rsidR="006B72B5" w:rsidRPr="0076565F">
        <w:rPr>
          <w:i/>
        </w:rPr>
        <w:t>p</w:t>
      </w:r>
      <w:r w:rsidR="006B72B5" w:rsidRPr="0076565F">
        <w:t>&lt;</w:t>
      </w:r>
      <w:r w:rsidR="00737584">
        <w:t>.</w:t>
      </w:r>
      <w:r w:rsidR="006B72B5" w:rsidRPr="0076565F">
        <w:t xml:space="preserve">05 ) </w:t>
      </w:r>
      <w:r w:rsidR="001E15B9" w:rsidRPr="0076565F">
        <w:t xml:space="preserve">ile negatif yönde istatistiksel olarak anlamlı bir ilişki sunarken </w:t>
      </w:r>
      <w:r w:rsidR="00452287" w:rsidRPr="0076565F">
        <w:t>biliş</w:t>
      </w:r>
      <w:r w:rsidR="00452287">
        <w:t xml:space="preserve"> üstü stratejileri</w:t>
      </w:r>
      <w:r w:rsidR="00452287" w:rsidRPr="0076565F">
        <w:t xml:space="preserve"> </w:t>
      </w:r>
      <w:r w:rsidR="001E15B9" w:rsidRPr="0076565F">
        <w:t>ile anlamlı bir ilişki sunmamaktadır (</w:t>
      </w:r>
      <w:r w:rsidR="001E15B9" w:rsidRPr="008E20BC">
        <w:rPr>
          <w:i/>
        </w:rPr>
        <w:t>r</w:t>
      </w:r>
      <w:r w:rsidR="001E15B9" w:rsidRPr="0076565F">
        <w:t xml:space="preserve"> = -</w:t>
      </w:r>
      <w:r w:rsidR="00737584">
        <w:t>.</w:t>
      </w:r>
      <w:r w:rsidR="001E15B9" w:rsidRPr="0076565F">
        <w:t xml:space="preserve">17, </w:t>
      </w:r>
      <w:r w:rsidR="001E15B9" w:rsidRPr="0076565F">
        <w:rPr>
          <w:i/>
        </w:rPr>
        <w:t>p</w:t>
      </w:r>
      <w:r w:rsidR="006B72B5" w:rsidRPr="0076565F">
        <w:t>&gt;</w:t>
      </w:r>
      <w:r w:rsidR="00737584">
        <w:t>.</w:t>
      </w:r>
      <w:r w:rsidR="001E15B9" w:rsidRPr="0076565F">
        <w:t>05 )</w:t>
      </w:r>
      <w:r w:rsidR="00676AA0">
        <w:t>.</w:t>
      </w:r>
      <w:r w:rsidR="001E15B9" w:rsidRPr="0076565F">
        <w:t xml:space="preserve"> </w:t>
      </w:r>
    </w:p>
    <w:p w14:paraId="26F8BBE2" w14:textId="77777777" w:rsidR="00A84BFC" w:rsidRDefault="00FE3DFA" w:rsidP="004D51BC">
      <w:pPr>
        <w:ind w:left="0" w:firstLine="0"/>
        <w:jc w:val="both"/>
      </w:pPr>
      <w:r w:rsidRPr="0076565F">
        <w:tab/>
      </w:r>
      <w:r w:rsidR="006160D7" w:rsidRPr="0076565F">
        <w:t xml:space="preserve">Katılımcıların organik kimya </w:t>
      </w:r>
      <w:r w:rsidR="001902B5">
        <w:t>yarıyıl</w:t>
      </w:r>
      <w:r w:rsidR="00031F15" w:rsidRPr="0076565F">
        <w:t xml:space="preserve"> sonu sınavı </w:t>
      </w:r>
      <w:r w:rsidR="006160D7" w:rsidRPr="0076565F">
        <w:t xml:space="preserve">notları ile kalibrasyon puanları arasında bir fark bulunup bulunmadığını test etmek için </w:t>
      </w:r>
      <w:r w:rsidR="00B25C11" w:rsidRPr="0076565F">
        <w:t>katılımcı</w:t>
      </w:r>
      <w:r w:rsidR="006160D7" w:rsidRPr="0076565F">
        <w:t xml:space="preserve"> grubu organik kimya </w:t>
      </w:r>
      <w:r w:rsidR="001902B5">
        <w:t>yarıyıl</w:t>
      </w:r>
      <w:r w:rsidR="00031F15" w:rsidRPr="0076565F">
        <w:t xml:space="preserve"> sonu sınav </w:t>
      </w:r>
      <w:r w:rsidR="006160D7" w:rsidRPr="0076565F">
        <w:t xml:space="preserve">puanına göre üç başarı grubuna bölünmüştür. </w:t>
      </w:r>
    </w:p>
    <w:p w14:paraId="28153B19" w14:textId="77777777" w:rsidR="00A84BFC" w:rsidRDefault="00A84BFC" w:rsidP="004D51BC">
      <w:pPr>
        <w:ind w:left="0" w:firstLine="0"/>
        <w:jc w:val="both"/>
      </w:pPr>
    </w:p>
    <w:p w14:paraId="25A7BA17" w14:textId="77777777" w:rsidR="00A84BFC" w:rsidRPr="00B06811" w:rsidRDefault="00A84BFC" w:rsidP="00A84BFC">
      <w:pPr>
        <w:ind w:left="0" w:firstLine="0"/>
        <w:jc w:val="both"/>
      </w:pPr>
      <w:r w:rsidRPr="00B06811">
        <w:t>Tablo 3</w:t>
      </w:r>
    </w:p>
    <w:p w14:paraId="2E9ACF83" w14:textId="77777777" w:rsidR="00A84BFC" w:rsidRPr="00B06811" w:rsidRDefault="00A84BFC" w:rsidP="00A84BFC">
      <w:pPr>
        <w:ind w:left="0" w:firstLine="0"/>
        <w:jc w:val="both"/>
        <w:rPr>
          <w:b/>
          <w:i/>
        </w:rPr>
      </w:pPr>
      <w:r w:rsidRPr="00B06811">
        <w:rPr>
          <w:i/>
        </w:rPr>
        <w:t>Çalışma Değişkenleri</w:t>
      </w:r>
      <w:r w:rsidRPr="00B06811">
        <w:rPr>
          <w:b/>
          <w:i/>
        </w:rPr>
        <w:t xml:space="preserve"> </w:t>
      </w:r>
      <w:r w:rsidRPr="00B06811">
        <w:rPr>
          <w:i/>
        </w:rPr>
        <w:t>Basıklık ve Çarpıklık Değerleri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0"/>
        <w:gridCol w:w="3544"/>
        <w:gridCol w:w="850"/>
        <w:gridCol w:w="1418"/>
        <w:gridCol w:w="1270"/>
      </w:tblGrid>
      <w:tr w:rsidR="00A84BFC" w:rsidRPr="0076565F" w14:paraId="19923D02" w14:textId="77777777" w:rsidTr="009344C9">
        <w:tc>
          <w:tcPr>
            <w:tcW w:w="1980" w:type="dxa"/>
            <w:tcBorders>
              <w:bottom w:val="single" w:sz="4" w:space="0" w:color="auto"/>
            </w:tcBorders>
          </w:tcPr>
          <w:p w14:paraId="04178F30" w14:textId="77777777" w:rsidR="00A84BFC" w:rsidRPr="0076565F" w:rsidRDefault="00A84BFC" w:rsidP="009344C9">
            <w:pPr>
              <w:ind w:left="0" w:firstLine="0"/>
              <w:jc w:val="both"/>
              <w:rPr>
                <w:b/>
              </w:rPr>
            </w:pPr>
          </w:p>
        </w:tc>
        <w:tc>
          <w:tcPr>
            <w:tcW w:w="3544" w:type="dxa"/>
            <w:tcBorders>
              <w:bottom w:val="single" w:sz="4" w:space="0" w:color="auto"/>
            </w:tcBorders>
          </w:tcPr>
          <w:p w14:paraId="16DCD991" w14:textId="77777777" w:rsidR="00A84BFC" w:rsidRPr="0076565F" w:rsidRDefault="00A84BFC" w:rsidP="009344C9">
            <w:pPr>
              <w:ind w:left="0" w:firstLine="0"/>
              <w:jc w:val="both"/>
              <w:rPr>
                <w:b/>
              </w:rPr>
            </w:pPr>
          </w:p>
        </w:tc>
        <w:tc>
          <w:tcPr>
            <w:tcW w:w="850" w:type="dxa"/>
            <w:tcBorders>
              <w:bottom w:val="single" w:sz="4" w:space="0" w:color="auto"/>
            </w:tcBorders>
            <w:vAlign w:val="center"/>
          </w:tcPr>
          <w:p w14:paraId="31933AD6" w14:textId="77777777" w:rsidR="00A84BFC" w:rsidRPr="0076565F" w:rsidRDefault="00A84BFC" w:rsidP="009344C9">
            <w:pPr>
              <w:ind w:left="0" w:firstLine="0"/>
              <w:jc w:val="center"/>
              <w:rPr>
                <w:b/>
              </w:rPr>
            </w:pPr>
            <w:r w:rsidRPr="0076565F">
              <w:rPr>
                <w:b/>
              </w:rPr>
              <w:t>N</w:t>
            </w:r>
          </w:p>
        </w:tc>
        <w:tc>
          <w:tcPr>
            <w:tcW w:w="1418" w:type="dxa"/>
            <w:tcBorders>
              <w:bottom w:val="single" w:sz="4" w:space="0" w:color="auto"/>
            </w:tcBorders>
            <w:vAlign w:val="center"/>
          </w:tcPr>
          <w:p w14:paraId="7844EF31" w14:textId="77777777" w:rsidR="00A84BFC" w:rsidRPr="0076565F" w:rsidRDefault="00A84BFC" w:rsidP="009344C9">
            <w:pPr>
              <w:ind w:left="0" w:firstLine="0"/>
              <w:jc w:val="center"/>
              <w:rPr>
                <w:b/>
              </w:rPr>
            </w:pPr>
            <w:r w:rsidRPr="0076565F">
              <w:rPr>
                <w:b/>
              </w:rPr>
              <w:t>Çarpıklık değeri</w:t>
            </w:r>
          </w:p>
        </w:tc>
        <w:tc>
          <w:tcPr>
            <w:tcW w:w="1270" w:type="dxa"/>
            <w:tcBorders>
              <w:bottom w:val="single" w:sz="4" w:space="0" w:color="auto"/>
            </w:tcBorders>
            <w:vAlign w:val="center"/>
          </w:tcPr>
          <w:p w14:paraId="079927A3" w14:textId="77777777" w:rsidR="00A84BFC" w:rsidRPr="0076565F" w:rsidRDefault="00A84BFC" w:rsidP="009344C9">
            <w:pPr>
              <w:ind w:left="0" w:firstLine="0"/>
              <w:jc w:val="center"/>
              <w:rPr>
                <w:b/>
              </w:rPr>
            </w:pPr>
            <w:r w:rsidRPr="0076565F">
              <w:rPr>
                <w:b/>
              </w:rPr>
              <w:t>Basıklık değeri</w:t>
            </w:r>
          </w:p>
        </w:tc>
      </w:tr>
      <w:tr w:rsidR="00A84BFC" w:rsidRPr="0076565F" w14:paraId="2BAE1E42" w14:textId="77777777" w:rsidTr="009344C9">
        <w:trPr>
          <w:trHeight w:val="141"/>
        </w:trPr>
        <w:tc>
          <w:tcPr>
            <w:tcW w:w="1980" w:type="dxa"/>
            <w:vMerge w:val="restart"/>
            <w:tcBorders>
              <w:bottom w:val="nil"/>
              <w:right w:val="nil"/>
            </w:tcBorders>
            <w:vAlign w:val="center"/>
          </w:tcPr>
          <w:p w14:paraId="1A3B3053" w14:textId="77777777" w:rsidR="00A84BFC" w:rsidRPr="0076565F" w:rsidRDefault="00A84BFC" w:rsidP="009344C9">
            <w:pPr>
              <w:ind w:left="0" w:firstLine="0"/>
              <w:rPr>
                <w:b/>
              </w:rPr>
            </w:pPr>
            <w:r w:rsidRPr="0076565F">
              <w:rPr>
                <w:b/>
              </w:rPr>
              <w:t>Düşük Başarı Grubu</w:t>
            </w:r>
          </w:p>
        </w:tc>
        <w:tc>
          <w:tcPr>
            <w:tcW w:w="3544" w:type="dxa"/>
            <w:tcBorders>
              <w:left w:val="nil"/>
              <w:bottom w:val="nil"/>
              <w:right w:val="nil"/>
            </w:tcBorders>
          </w:tcPr>
          <w:p w14:paraId="6BB99546" w14:textId="77777777" w:rsidR="00A84BFC" w:rsidRPr="0076565F" w:rsidRDefault="00A84BFC" w:rsidP="009344C9">
            <w:pPr>
              <w:ind w:left="0" w:firstLine="0"/>
              <w:jc w:val="both"/>
            </w:pPr>
            <w:r w:rsidRPr="0076565F">
              <w:t>Kalibrasyon</w:t>
            </w:r>
          </w:p>
        </w:tc>
        <w:tc>
          <w:tcPr>
            <w:tcW w:w="850" w:type="dxa"/>
            <w:tcBorders>
              <w:left w:val="nil"/>
              <w:bottom w:val="nil"/>
              <w:right w:val="nil"/>
            </w:tcBorders>
            <w:vAlign w:val="center"/>
          </w:tcPr>
          <w:p w14:paraId="49A09651" w14:textId="77777777" w:rsidR="00A84BFC" w:rsidRPr="0076565F" w:rsidRDefault="00A84BFC" w:rsidP="009344C9">
            <w:pPr>
              <w:ind w:left="0" w:firstLine="0"/>
              <w:jc w:val="center"/>
            </w:pPr>
            <w:r w:rsidRPr="0076565F">
              <w:t>24</w:t>
            </w:r>
          </w:p>
        </w:tc>
        <w:tc>
          <w:tcPr>
            <w:tcW w:w="1418" w:type="dxa"/>
            <w:tcBorders>
              <w:left w:val="nil"/>
              <w:bottom w:val="nil"/>
              <w:right w:val="nil"/>
            </w:tcBorders>
            <w:vAlign w:val="center"/>
          </w:tcPr>
          <w:p w14:paraId="30B36CE1" w14:textId="77777777" w:rsidR="00A84BFC" w:rsidRPr="0076565F" w:rsidRDefault="00A84BFC" w:rsidP="009344C9">
            <w:pPr>
              <w:ind w:left="0" w:firstLine="0"/>
              <w:jc w:val="center"/>
            </w:pPr>
            <w:r>
              <w:t>.</w:t>
            </w:r>
            <w:r w:rsidRPr="0076565F">
              <w:t>02</w:t>
            </w:r>
          </w:p>
        </w:tc>
        <w:tc>
          <w:tcPr>
            <w:tcW w:w="1270" w:type="dxa"/>
            <w:tcBorders>
              <w:left w:val="nil"/>
              <w:bottom w:val="nil"/>
            </w:tcBorders>
            <w:vAlign w:val="center"/>
          </w:tcPr>
          <w:p w14:paraId="6E64CA34" w14:textId="77777777" w:rsidR="00A84BFC" w:rsidRPr="0076565F" w:rsidRDefault="00A84BFC" w:rsidP="009344C9">
            <w:pPr>
              <w:ind w:left="0" w:firstLine="0"/>
              <w:jc w:val="center"/>
            </w:pPr>
            <w:r w:rsidRPr="0076565F">
              <w:t>-</w:t>
            </w:r>
            <w:r>
              <w:t>.</w:t>
            </w:r>
            <w:r w:rsidRPr="0076565F">
              <w:t>62</w:t>
            </w:r>
          </w:p>
        </w:tc>
      </w:tr>
      <w:tr w:rsidR="00A84BFC" w:rsidRPr="0076565F" w14:paraId="185053A8" w14:textId="77777777" w:rsidTr="009344C9">
        <w:trPr>
          <w:trHeight w:val="138"/>
        </w:trPr>
        <w:tc>
          <w:tcPr>
            <w:tcW w:w="1980" w:type="dxa"/>
            <w:vMerge/>
            <w:tcBorders>
              <w:top w:val="nil"/>
              <w:bottom w:val="nil"/>
              <w:right w:val="nil"/>
            </w:tcBorders>
            <w:vAlign w:val="center"/>
          </w:tcPr>
          <w:p w14:paraId="51CB9D12" w14:textId="77777777" w:rsidR="00A84BFC" w:rsidRPr="0076565F" w:rsidRDefault="00A84BFC" w:rsidP="009344C9">
            <w:pPr>
              <w:ind w:left="0" w:firstLine="0"/>
              <w:rPr>
                <w:b/>
              </w:rPr>
            </w:pPr>
          </w:p>
        </w:tc>
        <w:tc>
          <w:tcPr>
            <w:tcW w:w="3544" w:type="dxa"/>
            <w:tcBorders>
              <w:top w:val="nil"/>
              <w:left w:val="nil"/>
              <w:bottom w:val="nil"/>
              <w:right w:val="nil"/>
            </w:tcBorders>
          </w:tcPr>
          <w:p w14:paraId="0B55A63E" w14:textId="77777777" w:rsidR="00A84BFC" w:rsidRPr="0076565F" w:rsidRDefault="00A84BFC" w:rsidP="009344C9">
            <w:pPr>
              <w:ind w:left="0" w:firstLine="0"/>
              <w:jc w:val="both"/>
            </w:pPr>
            <w:r w:rsidRPr="0076565F">
              <w:t>Çaba düzenlemesi</w:t>
            </w:r>
          </w:p>
        </w:tc>
        <w:tc>
          <w:tcPr>
            <w:tcW w:w="850" w:type="dxa"/>
            <w:tcBorders>
              <w:top w:val="nil"/>
              <w:left w:val="nil"/>
              <w:bottom w:val="nil"/>
              <w:right w:val="nil"/>
            </w:tcBorders>
          </w:tcPr>
          <w:p w14:paraId="6FD73ECF" w14:textId="77777777" w:rsidR="00A84BFC" w:rsidRPr="0076565F" w:rsidRDefault="00A84BFC" w:rsidP="009344C9">
            <w:pPr>
              <w:jc w:val="center"/>
            </w:pPr>
            <w:r w:rsidRPr="0076565F">
              <w:t>24</w:t>
            </w:r>
          </w:p>
        </w:tc>
        <w:tc>
          <w:tcPr>
            <w:tcW w:w="1418" w:type="dxa"/>
            <w:tcBorders>
              <w:top w:val="nil"/>
              <w:left w:val="nil"/>
              <w:bottom w:val="nil"/>
              <w:right w:val="nil"/>
            </w:tcBorders>
            <w:vAlign w:val="center"/>
          </w:tcPr>
          <w:p w14:paraId="2F91846F" w14:textId="77777777" w:rsidR="00A84BFC" w:rsidRPr="0076565F" w:rsidRDefault="00A84BFC" w:rsidP="009344C9">
            <w:pPr>
              <w:ind w:left="0" w:firstLine="0"/>
              <w:jc w:val="center"/>
            </w:pPr>
            <w:r w:rsidRPr="0076565F">
              <w:t>-</w:t>
            </w:r>
            <w:r>
              <w:t>.</w:t>
            </w:r>
            <w:r w:rsidRPr="0076565F">
              <w:t>54</w:t>
            </w:r>
          </w:p>
        </w:tc>
        <w:tc>
          <w:tcPr>
            <w:tcW w:w="1270" w:type="dxa"/>
            <w:tcBorders>
              <w:top w:val="nil"/>
              <w:left w:val="nil"/>
              <w:bottom w:val="nil"/>
            </w:tcBorders>
            <w:vAlign w:val="center"/>
          </w:tcPr>
          <w:p w14:paraId="7C926C43" w14:textId="77777777" w:rsidR="00A84BFC" w:rsidRPr="0076565F" w:rsidRDefault="00A84BFC" w:rsidP="009344C9">
            <w:pPr>
              <w:ind w:left="0" w:firstLine="0"/>
              <w:jc w:val="center"/>
            </w:pPr>
            <w:r w:rsidRPr="0076565F">
              <w:t>-</w:t>
            </w:r>
            <w:r>
              <w:t>.</w:t>
            </w:r>
            <w:r w:rsidRPr="0076565F">
              <w:t>74</w:t>
            </w:r>
          </w:p>
        </w:tc>
      </w:tr>
      <w:tr w:rsidR="00A84BFC" w:rsidRPr="0076565F" w14:paraId="5174268D" w14:textId="77777777" w:rsidTr="009344C9">
        <w:trPr>
          <w:trHeight w:val="138"/>
        </w:trPr>
        <w:tc>
          <w:tcPr>
            <w:tcW w:w="1980" w:type="dxa"/>
            <w:vMerge/>
            <w:tcBorders>
              <w:top w:val="nil"/>
              <w:bottom w:val="nil"/>
              <w:right w:val="nil"/>
            </w:tcBorders>
            <w:vAlign w:val="center"/>
          </w:tcPr>
          <w:p w14:paraId="5CA61DAF" w14:textId="77777777" w:rsidR="00A84BFC" w:rsidRPr="0076565F" w:rsidRDefault="00A84BFC" w:rsidP="009344C9">
            <w:pPr>
              <w:ind w:left="0" w:firstLine="0"/>
              <w:rPr>
                <w:b/>
              </w:rPr>
            </w:pPr>
          </w:p>
        </w:tc>
        <w:tc>
          <w:tcPr>
            <w:tcW w:w="3544" w:type="dxa"/>
            <w:tcBorders>
              <w:top w:val="nil"/>
              <w:left w:val="nil"/>
              <w:bottom w:val="nil"/>
              <w:right w:val="nil"/>
            </w:tcBorders>
          </w:tcPr>
          <w:p w14:paraId="6BCDB19E" w14:textId="77777777" w:rsidR="00A84BFC" w:rsidRPr="0076565F" w:rsidRDefault="00A84BFC" w:rsidP="009344C9">
            <w:pPr>
              <w:ind w:left="0" w:firstLine="0"/>
              <w:jc w:val="both"/>
            </w:pPr>
            <w:proofErr w:type="spellStart"/>
            <w:r w:rsidRPr="0076565F">
              <w:t>Bilişüstü</w:t>
            </w:r>
            <w:proofErr w:type="spellEnd"/>
            <w:r w:rsidRPr="0076565F">
              <w:t xml:space="preserve"> Stratejiler</w:t>
            </w:r>
          </w:p>
        </w:tc>
        <w:tc>
          <w:tcPr>
            <w:tcW w:w="850" w:type="dxa"/>
            <w:tcBorders>
              <w:top w:val="nil"/>
              <w:left w:val="nil"/>
              <w:bottom w:val="nil"/>
              <w:right w:val="nil"/>
            </w:tcBorders>
          </w:tcPr>
          <w:p w14:paraId="4D23DB94" w14:textId="77777777" w:rsidR="00A84BFC" w:rsidRPr="0076565F" w:rsidRDefault="00A84BFC" w:rsidP="009344C9">
            <w:pPr>
              <w:jc w:val="center"/>
            </w:pPr>
            <w:r w:rsidRPr="0076565F">
              <w:t>24</w:t>
            </w:r>
          </w:p>
        </w:tc>
        <w:tc>
          <w:tcPr>
            <w:tcW w:w="1418" w:type="dxa"/>
            <w:tcBorders>
              <w:top w:val="nil"/>
              <w:left w:val="nil"/>
              <w:bottom w:val="nil"/>
              <w:right w:val="nil"/>
            </w:tcBorders>
            <w:vAlign w:val="center"/>
          </w:tcPr>
          <w:p w14:paraId="73ABAD3B" w14:textId="77777777" w:rsidR="00A84BFC" w:rsidRPr="0076565F" w:rsidRDefault="00A84BFC" w:rsidP="009344C9">
            <w:pPr>
              <w:ind w:left="0" w:firstLine="0"/>
              <w:jc w:val="center"/>
            </w:pPr>
            <w:r w:rsidRPr="0076565F">
              <w:t>-</w:t>
            </w:r>
            <w:r>
              <w:t>.</w:t>
            </w:r>
            <w:r w:rsidRPr="0076565F">
              <w:t>96</w:t>
            </w:r>
          </w:p>
        </w:tc>
        <w:tc>
          <w:tcPr>
            <w:tcW w:w="1270" w:type="dxa"/>
            <w:tcBorders>
              <w:top w:val="nil"/>
              <w:left w:val="nil"/>
              <w:bottom w:val="nil"/>
            </w:tcBorders>
            <w:vAlign w:val="center"/>
          </w:tcPr>
          <w:p w14:paraId="1C21A2ED" w14:textId="77777777" w:rsidR="00A84BFC" w:rsidRPr="0076565F" w:rsidRDefault="00A84BFC" w:rsidP="009344C9">
            <w:pPr>
              <w:ind w:left="0" w:firstLine="0"/>
              <w:jc w:val="center"/>
            </w:pPr>
            <w:r>
              <w:t>.</w:t>
            </w:r>
            <w:r w:rsidRPr="0076565F">
              <w:t>75</w:t>
            </w:r>
          </w:p>
        </w:tc>
      </w:tr>
      <w:tr w:rsidR="00A84BFC" w:rsidRPr="0076565F" w14:paraId="55CDAB0D" w14:textId="77777777" w:rsidTr="009344C9">
        <w:trPr>
          <w:trHeight w:val="138"/>
        </w:trPr>
        <w:tc>
          <w:tcPr>
            <w:tcW w:w="1980" w:type="dxa"/>
            <w:vMerge/>
            <w:tcBorders>
              <w:top w:val="nil"/>
              <w:bottom w:val="nil"/>
              <w:right w:val="nil"/>
            </w:tcBorders>
            <w:vAlign w:val="center"/>
          </w:tcPr>
          <w:p w14:paraId="6FF7E1DC" w14:textId="77777777" w:rsidR="00A84BFC" w:rsidRPr="0076565F" w:rsidRDefault="00A84BFC" w:rsidP="009344C9">
            <w:pPr>
              <w:ind w:left="0" w:firstLine="0"/>
              <w:rPr>
                <w:b/>
              </w:rPr>
            </w:pPr>
          </w:p>
        </w:tc>
        <w:tc>
          <w:tcPr>
            <w:tcW w:w="3544" w:type="dxa"/>
            <w:tcBorders>
              <w:top w:val="nil"/>
              <w:left w:val="nil"/>
              <w:bottom w:val="nil"/>
              <w:right w:val="nil"/>
            </w:tcBorders>
          </w:tcPr>
          <w:p w14:paraId="13A0B1AE" w14:textId="77777777" w:rsidR="00A84BFC" w:rsidRPr="0076565F" w:rsidRDefault="00A84BFC" w:rsidP="009344C9">
            <w:pPr>
              <w:ind w:left="0" w:firstLine="0"/>
              <w:jc w:val="both"/>
            </w:pPr>
            <w:r w:rsidRPr="0076565F">
              <w:t>Öz yeterlik</w:t>
            </w:r>
          </w:p>
        </w:tc>
        <w:tc>
          <w:tcPr>
            <w:tcW w:w="850" w:type="dxa"/>
            <w:tcBorders>
              <w:top w:val="nil"/>
              <w:left w:val="nil"/>
              <w:bottom w:val="nil"/>
              <w:right w:val="nil"/>
            </w:tcBorders>
          </w:tcPr>
          <w:p w14:paraId="16CD2453" w14:textId="77777777" w:rsidR="00A84BFC" w:rsidRPr="0076565F" w:rsidRDefault="00A84BFC" w:rsidP="009344C9">
            <w:pPr>
              <w:jc w:val="center"/>
            </w:pPr>
            <w:r w:rsidRPr="0076565F">
              <w:t>24</w:t>
            </w:r>
          </w:p>
        </w:tc>
        <w:tc>
          <w:tcPr>
            <w:tcW w:w="1418" w:type="dxa"/>
            <w:tcBorders>
              <w:top w:val="nil"/>
              <w:left w:val="nil"/>
              <w:bottom w:val="nil"/>
              <w:right w:val="nil"/>
            </w:tcBorders>
            <w:vAlign w:val="center"/>
          </w:tcPr>
          <w:p w14:paraId="56F73BE6" w14:textId="77777777" w:rsidR="00A84BFC" w:rsidRPr="0076565F" w:rsidRDefault="00A84BFC" w:rsidP="009344C9">
            <w:pPr>
              <w:ind w:left="0" w:firstLine="0"/>
              <w:jc w:val="center"/>
            </w:pPr>
            <w:r>
              <w:t>.</w:t>
            </w:r>
            <w:r w:rsidRPr="0076565F">
              <w:t>47</w:t>
            </w:r>
          </w:p>
        </w:tc>
        <w:tc>
          <w:tcPr>
            <w:tcW w:w="1270" w:type="dxa"/>
            <w:tcBorders>
              <w:top w:val="nil"/>
              <w:left w:val="nil"/>
              <w:bottom w:val="nil"/>
            </w:tcBorders>
            <w:vAlign w:val="center"/>
          </w:tcPr>
          <w:p w14:paraId="65C1C5C9" w14:textId="77777777" w:rsidR="00A84BFC" w:rsidRPr="0076565F" w:rsidRDefault="00A84BFC" w:rsidP="009344C9">
            <w:pPr>
              <w:ind w:left="0" w:firstLine="0"/>
              <w:jc w:val="center"/>
            </w:pPr>
            <w:r w:rsidRPr="0076565F">
              <w:t>1</w:t>
            </w:r>
            <w:r>
              <w:t>.</w:t>
            </w:r>
            <w:r w:rsidRPr="0076565F">
              <w:t>98</w:t>
            </w:r>
          </w:p>
        </w:tc>
      </w:tr>
      <w:tr w:rsidR="00A84BFC" w:rsidRPr="0076565F" w14:paraId="67632D0B" w14:textId="77777777" w:rsidTr="009344C9">
        <w:trPr>
          <w:trHeight w:val="141"/>
        </w:trPr>
        <w:tc>
          <w:tcPr>
            <w:tcW w:w="1980" w:type="dxa"/>
            <w:vMerge w:val="restart"/>
            <w:tcBorders>
              <w:top w:val="nil"/>
              <w:bottom w:val="nil"/>
              <w:right w:val="nil"/>
            </w:tcBorders>
            <w:vAlign w:val="center"/>
          </w:tcPr>
          <w:p w14:paraId="4E27F54D" w14:textId="77777777" w:rsidR="00A84BFC" w:rsidRPr="0076565F" w:rsidRDefault="00A84BFC" w:rsidP="009344C9">
            <w:pPr>
              <w:ind w:left="0" w:firstLine="0"/>
              <w:rPr>
                <w:b/>
              </w:rPr>
            </w:pPr>
            <w:r w:rsidRPr="0076565F">
              <w:rPr>
                <w:b/>
              </w:rPr>
              <w:t>Orta Başarı Grubu</w:t>
            </w:r>
          </w:p>
        </w:tc>
        <w:tc>
          <w:tcPr>
            <w:tcW w:w="3544" w:type="dxa"/>
            <w:tcBorders>
              <w:top w:val="nil"/>
              <w:left w:val="nil"/>
              <w:bottom w:val="nil"/>
              <w:right w:val="nil"/>
            </w:tcBorders>
          </w:tcPr>
          <w:p w14:paraId="6DFA742B" w14:textId="77777777" w:rsidR="00A84BFC" w:rsidRPr="0076565F" w:rsidRDefault="00A84BFC" w:rsidP="009344C9">
            <w:pPr>
              <w:ind w:left="0" w:firstLine="0"/>
              <w:jc w:val="both"/>
            </w:pPr>
            <w:r w:rsidRPr="0076565F">
              <w:t>Kalibrasyon</w:t>
            </w:r>
          </w:p>
        </w:tc>
        <w:tc>
          <w:tcPr>
            <w:tcW w:w="850" w:type="dxa"/>
            <w:tcBorders>
              <w:top w:val="nil"/>
              <w:left w:val="nil"/>
              <w:bottom w:val="nil"/>
              <w:right w:val="nil"/>
            </w:tcBorders>
            <w:vAlign w:val="center"/>
          </w:tcPr>
          <w:p w14:paraId="3C4796B9" w14:textId="77777777" w:rsidR="00A84BFC" w:rsidRPr="0076565F" w:rsidRDefault="00A84BFC" w:rsidP="009344C9">
            <w:pPr>
              <w:jc w:val="center"/>
            </w:pPr>
            <w:r w:rsidRPr="0076565F">
              <w:t>27</w:t>
            </w:r>
          </w:p>
        </w:tc>
        <w:tc>
          <w:tcPr>
            <w:tcW w:w="1418" w:type="dxa"/>
            <w:tcBorders>
              <w:top w:val="nil"/>
              <w:left w:val="nil"/>
              <w:bottom w:val="nil"/>
              <w:right w:val="nil"/>
            </w:tcBorders>
            <w:vAlign w:val="center"/>
          </w:tcPr>
          <w:p w14:paraId="216E0FD9" w14:textId="77777777" w:rsidR="00A84BFC" w:rsidRPr="0076565F" w:rsidRDefault="00A84BFC" w:rsidP="009344C9">
            <w:pPr>
              <w:ind w:left="0" w:firstLine="0"/>
              <w:jc w:val="center"/>
            </w:pPr>
            <w:r w:rsidRPr="0076565F">
              <w:t>1</w:t>
            </w:r>
            <w:r>
              <w:t>.</w:t>
            </w:r>
            <w:r w:rsidRPr="0076565F">
              <w:t>40</w:t>
            </w:r>
          </w:p>
        </w:tc>
        <w:tc>
          <w:tcPr>
            <w:tcW w:w="1270" w:type="dxa"/>
            <w:tcBorders>
              <w:top w:val="nil"/>
              <w:left w:val="nil"/>
              <w:bottom w:val="nil"/>
            </w:tcBorders>
            <w:vAlign w:val="center"/>
          </w:tcPr>
          <w:p w14:paraId="1662CD1A" w14:textId="77777777" w:rsidR="00A84BFC" w:rsidRPr="0076565F" w:rsidRDefault="00A84BFC" w:rsidP="009344C9">
            <w:pPr>
              <w:ind w:left="0" w:firstLine="0"/>
              <w:jc w:val="center"/>
            </w:pPr>
            <w:r w:rsidRPr="0076565F">
              <w:t>1</w:t>
            </w:r>
            <w:r>
              <w:t>.</w:t>
            </w:r>
            <w:r w:rsidRPr="0076565F">
              <w:t>49</w:t>
            </w:r>
          </w:p>
        </w:tc>
      </w:tr>
      <w:tr w:rsidR="00A84BFC" w:rsidRPr="0076565F" w14:paraId="2E034035" w14:textId="77777777" w:rsidTr="009344C9">
        <w:trPr>
          <w:trHeight w:val="138"/>
        </w:trPr>
        <w:tc>
          <w:tcPr>
            <w:tcW w:w="1980" w:type="dxa"/>
            <w:vMerge/>
            <w:tcBorders>
              <w:top w:val="nil"/>
              <w:bottom w:val="nil"/>
              <w:right w:val="nil"/>
            </w:tcBorders>
            <w:vAlign w:val="center"/>
          </w:tcPr>
          <w:p w14:paraId="62C3ED97" w14:textId="77777777" w:rsidR="00A84BFC" w:rsidRPr="0076565F" w:rsidRDefault="00A84BFC" w:rsidP="009344C9">
            <w:pPr>
              <w:ind w:left="0" w:firstLine="0"/>
              <w:rPr>
                <w:b/>
              </w:rPr>
            </w:pPr>
          </w:p>
        </w:tc>
        <w:tc>
          <w:tcPr>
            <w:tcW w:w="3544" w:type="dxa"/>
            <w:tcBorders>
              <w:top w:val="nil"/>
              <w:left w:val="nil"/>
              <w:bottom w:val="nil"/>
              <w:right w:val="nil"/>
            </w:tcBorders>
          </w:tcPr>
          <w:p w14:paraId="117E9798" w14:textId="77777777" w:rsidR="00A84BFC" w:rsidRPr="0076565F" w:rsidRDefault="00A84BFC" w:rsidP="009344C9">
            <w:pPr>
              <w:ind w:left="0" w:firstLine="0"/>
              <w:jc w:val="both"/>
            </w:pPr>
            <w:r w:rsidRPr="0076565F">
              <w:t>Çaba düzenlemesi</w:t>
            </w:r>
          </w:p>
        </w:tc>
        <w:tc>
          <w:tcPr>
            <w:tcW w:w="850" w:type="dxa"/>
            <w:tcBorders>
              <w:top w:val="nil"/>
              <w:left w:val="nil"/>
              <w:bottom w:val="nil"/>
              <w:right w:val="nil"/>
            </w:tcBorders>
          </w:tcPr>
          <w:p w14:paraId="408A5E9C" w14:textId="77777777" w:rsidR="00A84BFC" w:rsidRPr="0076565F" w:rsidRDefault="00A84BFC" w:rsidP="009344C9">
            <w:pPr>
              <w:jc w:val="center"/>
            </w:pPr>
            <w:r w:rsidRPr="0076565F">
              <w:t>27</w:t>
            </w:r>
          </w:p>
        </w:tc>
        <w:tc>
          <w:tcPr>
            <w:tcW w:w="1418" w:type="dxa"/>
            <w:tcBorders>
              <w:top w:val="nil"/>
              <w:left w:val="nil"/>
              <w:bottom w:val="nil"/>
              <w:right w:val="nil"/>
            </w:tcBorders>
            <w:vAlign w:val="center"/>
          </w:tcPr>
          <w:p w14:paraId="175C6FF3" w14:textId="77777777" w:rsidR="00A84BFC" w:rsidRPr="0076565F" w:rsidRDefault="00A84BFC" w:rsidP="009344C9">
            <w:pPr>
              <w:ind w:left="0" w:firstLine="0"/>
              <w:jc w:val="center"/>
            </w:pPr>
            <w:r>
              <w:t>.</w:t>
            </w:r>
            <w:r w:rsidRPr="0076565F">
              <w:t>14</w:t>
            </w:r>
          </w:p>
        </w:tc>
        <w:tc>
          <w:tcPr>
            <w:tcW w:w="1270" w:type="dxa"/>
            <w:tcBorders>
              <w:top w:val="nil"/>
              <w:left w:val="nil"/>
              <w:bottom w:val="nil"/>
            </w:tcBorders>
            <w:vAlign w:val="center"/>
          </w:tcPr>
          <w:p w14:paraId="503F789F" w14:textId="77777777" w:rsidR="00A84BFC" w:rsidRPr="0076565F" w:rsidRDefault="00A84BFC" w:rsidP="009344C9">
            <w:pPr>
              <w:ind w:left="0" w:firstLine="0"/>
              <w:jc w:val="center"/>
            </w:pPr>
            <w:r w:rsidRPr="0076565F">
              <w:t>-</w:t>
            </w:r>
            <w:r>
              <w:t>.</w:t>
            </w:r>
            <w:r w:rsidRPr="0076565F">
              <w:t>77</w:t>
            </w:r>
          </w:p>
        </w:tc>
      </w:tr>
      <w:tr w:rsidR="00A84BFC" w:rsidRPr="0076565F" w14:paraId="15E0C90A" w14:textId="77777777" w:rsidTr="009344C9">
        <w:trPr>
          <w:trHeight w:val="138"/>
        </w:trPr>
        <w:tc>
          <w:tcPr>
            <w:tcW w:w="1980" w:type="dxa"/>
            <w:vMerge/>
            <w:tcBorders>
              <w:top w:val="nil"/>
              <w:bottom w:val="nil"/>
              <w:right w:val="nil"/>
            </w:tcBorders>
            <w:vAlign w:val="center"/>
          </w:tcPr>
          <w:p w14:paraId="4DC2FFEE" w14:textId="77777777" w:rsidR="00A84BFC" w:rsidRPr="0076565F" w:rsidRDefault="00A84BFC" w:rsidP="009344C9">
            <w:pPr>
              <w:ind w:left="0" w:firstLine="0"/>
              <w:rPr>
                <w:b/>
              </w:rPr>
            </w:pPr>
          </w:p>
        </w:tc>
        <w:tc>
          <w:tcPr>
            <w:tcW w:w="3544" w:type="dxa"/>
            <w:tcBorders>
              <w:top w:val="nil"/>
              <w:left w:val="nil"/>
              <w:bottom w:val="nil"/>
              <w:right w:val="nil"/>
            </w:tcBorders>
          </w:tcPr>
          <w:p w14:paraId="4CE11CA9" w14:textId="77777777" w:rsidR="00A84BFC" w:rsidRPr="0076565F" w:rsidRDefault="00A84BFC" w:rsidP="009344C9">
            <w:pPr>
              <w:ind w:left="0" w:firstLine="0"/>
              <w:jc w:val="both"/>
            </w:pPr>
            <w:proofErr w:type="spellStart"/>
            <w:r w:rsidRPr="0076565F">
              <w:t>Bilişüstü</w:t>
            </w:r>
            <w:proofErr w:type="spellEnd"/>
            <w:r w:rsidRPr="0076565F">
              <w:t xml:space="preserve"> Stratejiler</w:t>
            </w:r>
          </w:p>
        </w:tc>
        <w:tc>
          <w:tcPr>
            <w:tcW w:w="850" w:type="dxa"/>
            <w:tcBorders>
              <w:top w:val="nil"/>
              <w:left w:val="nil"/>
              <w:bottom w:val="nil"/>
              <w:right w:val="nil"/>
            </w:tcBorders>
          </w:tcPr>
          <w:p w14:paraId="73155902" w14:textId="77777777" w:rsidR="00A84BFC" w:rsidRPr="0076565F" w:rsidRDefault="00A84BFC" w:rsidP="009344C9">
            <w:pPr>
              <w:jc w:val="center"/>
            </w:pPr>
            <w:r w:rsidRPr="0076565F">
              <w:t>27</w:t>
            </w:r>
          </w:p>
        </w:tc>
        <w:tc>
          <w:tcPr>
            <w:tcW w:w="1418" w:type="dxa"/>
            <w:tcBorders>
              <w:top w:val="nil"/>
              <w:left w:val="nil"/>
              <w:bottom w:val="nil"/>
              <w:right w:val="nil"/>
            </w:tcBorders>
            <w:vAlign w:val="center"/>
          </w:tcPr>
          <w:p w14:paraId="150484DC" w14:textId="77777777" w:rsidR="00A84BFC" w:rsidRPr="0076565F" w:rsidRDefault="00A84BFC" w:rsidP="009344C9">
            <w:pPr>
              <w:ind w:left="0" w:firstLine="0"/>
              <w:jc w:val="center"/>
            </w:pPr>
            <w:r w:rsidRPr="0076565F">
              <w:t>-</w:t>
            </w:r>
            <w:r>
              <w:t>.</w:t>
            </w:r>
            <w:r w:rsidRPr="0076565F">
              <w:t>49</w:t>
            </w:r>
          </w:p>
        </w:tc>
        <w:tc>
          <w:tcPr>
            <w:tcW w:w="1270" w:type="dxa"/>
            <w:tcBorders>
              <w:top w:val="nil"/>
              <w:left w:val="nil"/>
              <w:bottom w:val="nil"/>
            </w:tcBorders>
            <w:vAlign w:val="center"/>
          </w:tcPr>
          <w:p w14:paraId="6969AB62" w14:textId="77777777" w:rsidR="00A84BFC" w:rsidRPr="0076565F" w:rsidRDefault="00A84BFC" w:rsidP="009344C9">
            <w:pPr>
              <w:ind w:left="0" w:firstLine="0"/>
              <w:jc w:val="center"/>
            </w:pPr>
            <w:r w:rsidRPr="0076565F">
              <w:t>-</w:t>
            </w:r>
            <w:r>
              <w:t>.</w:t>
            </w:r>
            <w:r w:rsidRPr="0076565F">
              <w:t>12</w:t>
            </w:r>
          </w:p>
        </w:tc>
      </w:tr>
      <w:tr w:rsidR="00A84BFC" w:rsidRPr="0076565F" w14:paraId="0A96E579" w14:textId="77777777" w:rsidTr="009344C9">
        <w:trPr>
          <w:trHeight w:val="138"/>
        </w:trPr>
        <w:tc>
          <w:tcPr>
            <w:tcW w:w="1980" w:type="dxa"/>
            <w:vMerge/>
            <w:tcBorders>
              <w:top w:val="nil"/>
              <w:bottom w:val="nil"/>
              <w:right w:val="nil"/>
            </w:tcBorders>
            <w:vAlign w:val="center"/>
          </w:tcPr>
          <w:p w14:paraId="6B8D3077" w14:textId="77777777" w:rsidR="00A84BFC" w:rsidRPr="0076565F" w:rsidRDefault="00A84BFC" w:rsidP="009344C9">
            <w:pPr>
              <w:ind w:left="0" w:firstLine="0"/>
              <w:rPr>
                <w:b/>
              </w:rPr>
            </w:pPr>
          </w:p>
        </w:tc>
        <w:tc>
          <w:tcPr>
            <w:tcW w:w="3544" w:type="dxa"/>
            <w:tcBorders>
              <w:top w:val="nil"/>
              <w:left w:val="nil"/>
              <w:bottom w:val="nil"/>
              <w:right w:val="nil"/>
            </w:tcBorders>
          </w:tcPr>
          <w:p w14:paraId="22892909" w14:textId="77777777" w:rsidR="00A84BFC" w:rsidRPr="0076565F" w:rsidRDefault="00A84BFC" w:rsidP="009344C9">
            <w:pPr>
              <w:ind w:left="0" w:firstLine="0"/>
              <w:jc w:val="both"/>
            </w:pPr>
            <w:r w:rsidRPr="0076565F">
              <w:t>Öz yeterlik</w:t>
            </w:r>
          </w:p>
        </w:tc>
        <w:tc>
          <w:tcPr>
            <w:tcW w:w="850" w:type="dxa"/>
            <w:tcBorders>
              <w:top w:val="nil"/>
              <w:left w:val="nil"/>
              <w:bottom w:val="nil"/>
              <w:right w:val="nil"/>
            </w:tcBorders>
          </w:tcPr>
          <w:p w14:paraId="02F81604" w14:textId="77777777" w:rsidR="00A84BFC" w:rsidRPr="0076565F" w:rsidRDefault="00A84BFC" w:rsidP="009344C9">
            <w:pPr>
              <w:jc w:val="center"/>
            </w:pPr>
            <w:r w:rsidRPr="0076565F">
              <w:t>27</w:t>
            </w:r>
          </w:p>
        </w:tc>
        <w:tc>
          <w:tcPr>
            <w:tcW w:w="1418" w:type="dxa"/>
            <w:tcBorders>
              <w:top w:val="nil"/>
              <w:left w:val="nil"/>
              <w:bottom w:val="nil"/>
              <w:right w:val="nil"/>
            </w:tcBorders>
            <w:vAlign w:val="center"/>
          </w:tcPr>
          <w:p w14:paraId="02713F78" w14:textId="77777777" w:rsidR="00A84BFC" w:rsidRPr="0076565F" w:rsidRDefault="00A84BFC" w:rsidP="009344C9">
            <w:pPr>
              <w:ind w:left="0" w:firstLine="0"/>
              <w:jc w:val="center"/>
            </w:pPr>
            <w:r w:rsidRPr="0076565F">
              <w:t>-</w:t>
            </w:r>
            <w:r>
              <w:t>.</w:t>
            </w:r>
            <w:r w:rsidRPr="0076565F">
              <w:t>67</w:t>
            </w:r>
          </w:p>
        </w:tc>
        <w:tc>
          <w:tcPr>
            <w:tcW w:w="1270" w:type="dxa"/>
            <w:tcBorders>
              <w:top w:val="nil"/>
              <w:left w:val="nil"/>
              <w:bottom w:val="nil"/>
            </w:tcBorders>
            <w:vAlign w:val="center"/>
          </w:tcPr>
          <w:p w14:paraId="4D9C91EC" w14:textId="77777777" w:rsidR="00A84BFC" w:rsidRPr="0076565F" w:rsidRDefault="00A84BFC" w:rsidP="009344C9">
            <w:pPr>
              <w:ind w:left="0" w:firstLine="0"/>
              <w:jc w:val="center"/>
            </w:pPr>
            <w:r w:rsidRPr="0076565F">
              <w:t>-</w:t>
            </w:r>
            <w:r>
              <w:t>.</w:t>
            </w:r>
            <w:r w:rsidRPr="0076565F">
              <w:t>70</w:t>
            </w:r>
          </w:p>
        </w:tc>
      </w:tr>
      <w:tr w:rsidR="00A84BFC" w:rsidRPr="0076565F" w14:paraId="525A53E6" w14:textId="77777777" w:rsidTr="009344C9">
        <w:trPr>
          <w:trHeight w:val="141"/>
        </w:trPr>
        <w:tc>
          <w:tcPr>
            <w:tcW w:w="1980" w:type="dxa"/>
            <w:vMerge w:val="restart"/>
            <w:tcBorders>
              <w:top w:val="nil"/>
              <w:bottom w:val="nil"/>
              <w:right w:val="nil"/>
            </w:tcBorders>
            <w:vAlign w:val="center"/>
          </w:tcPr>
          <w:p w14:paraId="59EDFD84" w14:textId="77777777" w:rsidR="00A84BFC" w:rsidRPr="0076565F" w:rsidRDefault="00A84BFC" w:rsidP="009344C9">
            <w:pPr>
              <w:ind w:left="0" w:firstLine="0"/>
              <w:rPr>
                <w:b/>
              </w:rPr>
            </w:pPr>
            <w:r w:rsidRPr="0076565F">
              <w:rPr>
                <w:b/>
              </w:rPr>
              <w:t>Yüksek Başarı Grubu</w:t>
            </w:r>
          </w:p>
        </w:tc>
        <w:tc>
          <w:tcPr>
            <w:tcW w:w="3544" w:type="dxa"/>
            <w:tcBorders>
              <w:top w:val="nil"/>
              <w:left w:val="nil"/>
              <w:bottom w:val="nil"/>
              <w:right w:val="nil"/>
            </w:tcBorders>
          </w:tcPr>
          <w:p w14:paraId="1A239163" w14:textId="77777777" w:rsidR="00A84BFC" w:rsidRPr="0076565F" w:rsidRDefault="00A84BFC" w:rsidP="009344C9">
            <w:pPr>
              <w:ind w:left="0" w:firstLine="0"/>
              <w:jc w:val="both"/>
            </w:pPr>
            <w:r w:rsidRPr="0076565F">
              <w:t>Kalibrasyon</w:t>
            </w:r>
          </w:p>
        </w:tc>
        <w:tc>
          <w:tcPr>
            <w:tcW w:w="850" w:type="dxa"/>
            <w:tcBorders>
              <w:top w:val="nil"/>
              <w:left w:val="nil"/>
              <w:bottom w:val="nil"/>
              <w:right w:val="nil"/>
            </w:tcBorders>
            <w:vAlign w:val="center"/>
          </w:tcPr>
          <w:p w14:paraId="618D5409" w14:textId="77777777" w:rsidR="00A84BFC" w:rsidRPr="0076565F" w:rsidRDefault="00A84BFC" w:rsidP="009344C9">
            <w:pPr>
              <w:jc w:val="center"/>
            </w:pPr>
            <w:r w:rsidRPr="0076565F">
              <w:t>25</w:t>
            </w:r>
          </w:p>
        </w:tc>
        <w:tc>
          <w:tcPr>
            <w:tcW w:w="1418" w:type="dxa"/>
            <w:tcBorders>
              <w:top w:val="nil"/>
              <w:left w:val="nil"/>
              <w:bottom w:val="nil"/>
              <w:right w:val="nil"/>
            </w:tcBorders>
            <w:vAlign w:val="center"/>
          </w:tcPr>
          <w:p w14:paraId="05DDCBA5" w14:textId="77777777" w:rsidR="00A84BFC" w:rsidRPr="0076565F" w:rsidRDefault="00A84BFC" w:rsidP="009344C9">
            <w:pPr>
              <w:ind w:left="0" w:firstLine="0"/>
              <w:jc w:val="center"/>
            </w:pPr>
            <w:r>
              <w:t>.</w:t>
            </w:r>
            <w:r w:rsidRPr="0076565F">
              <w:t>90</w:t>
            </w:r>
          </w:p>
        </w:tc>
        <w:tc>
          <w:tcPr>
            <w:tcW w:w="1270" w:type="dxa"/>
            <w:tcBorders>
              <w:top w:val="nil"/>
              <w:left w:val="nil"/>
              <w:bottom w:val="nil"/>
            </w:tcBorders>
            <w:vAlign w:val="center"/>
          </w:tcPr>
          <w:p w14:paraId="28DA1B69" w14:textId="77777777" w:rsidR="00A84BFC" w:rsidRPr="0076565F" w:rsidRDefault="00A84BFC" w:rsidP="009344C9">
            <w:pPr>
              <w:ind w:left="0" w:firstLine="0"/>
              <w:jc w:val="center"/>
            </w:pPr>
            <w:r>
              <w:t>.</w:t>
            </w:r>
            <w:r w:rsidRPr="0076565F">
              <w:t>11</w:t>
            </w:r>
          </w:p>
        </w:tc>
      </w:tr>
      <w:tr w:rsidR="00A84BFC" w:rsidRPr="0076565F" w14:paraId="5470D1D7" w14:textId="77777777" w:rsidTr="009344C9">
        <w:trPr>
          <w:trHeight w:val="138"/>
        </w:trPr>
        <w:tc>
          <w:tcPr>
            <w:tcW w:w="1980" w:type="dxa"/>
            <w:vMerge/>
            <w:tcBorders>
              <w:top w:val="nil"/>
              <w:bottom w:val="nil"/>
              <w:right w:val="nil"/>
            </w:tcBorders>
          </w:tcPr>
          <w:p w14:paraId="6E5186B4" w14:textId="77777777" w:rsidR="00A84BFC" w:rsidRPr="0076565F" w:rsidRDefault="00A84BFC" w:rsidP="009344C9">
            <w:pPr>
              <w:ind w:left="0" w:firstLine="0"/>
              <w:jc w:val="both"/>
              <w:rPr>
                <w:b/>
              </w:rPr>
            </w:pPr>
          </w:p>
        </w:tc>
        <w:tc>
          <w:tcPr>
            <w:tcW w:w="3544" w:type="dxa"/>
            <w:tcBorders>
              <w:top w:val="nil"/>
              <w:left w:val="nil"/>
              <w:bottom w:val="nil"/>
              <w:right w:val="nil"/>
            </w:tcBorders>
          </w:tcPr>
          <w:p w14:paraId="48A993A9" w14:textId="77777777" w:rsidR="00A84BFC" w:rsidRPr="0076565F" w:rsidRDefault="00A84BFC" w:rsidP="009344C9">
            <w:pPr>
              <w:ind w:left="0" w:firstLine="0"/>
              <w:jc w:val="both"/>
            </w:pPr>
            <w:r w:rsidRPr="0076565F">
              <w:t>Çaba düzenlemesi</w:t>
            </w:r>
          </w:p>
        </w:tc>
        <w:tc>
          <w:tcPr>
            <w:tcW w:w="850" w:type="dxa"/>
            <w:tcBorders>
              <w:top w:val="nil"/>
              <w:left w:val="nil"/>
              <w:bottom w:val="nil"/>
              <w:right w:val="nil"/>
            </w:tcBorders>
          </w:tcPr>
          <w:p w14:paraId="2C92A65E" w14:textId="77777777" w:rsidR="00A84BFC" w:rsidRPr="0076565F" w:rsidRDefault="00A84BFC" w:rsidP="009344C9">
            <w:pPr>
              <w:jc w:val="center"/>
            </w:pPr>
            <w:r w:rsidRPr="0076565F">
              <w:t>25</w:t>
            </w:r>
          </w:p>
        </w:tc>
        <w:tc>
          <w:tcPr>
            <w:tcW w:w="1418" w:type="dxa"/>
            <w:tcBorders>
              <w:top w:val="nil"/>
              <w:left w:val="nil"/>
              <w:bottom w:val="nil"/>
              <w:right w:val="nil"/>
            </w:tcBorders>
            <w:vAlign w:val="center"/>
          </w:tcPr>
          <w:p w14:paraId="1105342D" w14:textId="77777777" w:rsidR="00A84BFC" w:rsidRPr="0076565F" w:rsidRDefault="00A84BFC" w:rsidP="009344C9">
            <w:pPr>
              <w:ind w:left="0" w:firstLine="0"/>
              <w:jc w:val="center"/>
            </w:pPr>
            <w:r w:rsidRPr="0076565F">
              <w:t>-</w:t>
            </w:r>
            <w:r>
              <w:t>.</w:t>
            </w:r>
            <w:r w:rsidRPr="0076565F">
              <w:t>02</w:t>
            </w:r>
          </w:p>
        </w:tc>
        <w:tc>
          <w:tcPr>
            <w:tcW w:w="1270" w:type="dxa"/>
            <w:tcBorders>
              <w:top w:val="nil"/>
              <w:left w:val="nil"/>
              <w:bottom w:val="nil"/>
            </w:tcBorders>
            <w:vAlign w:val="center"/>
          </w:tcPr>
          <w:p w14:paraId="0FAF5587" w14:textId="77777777" w:rsidR="00A84BFC" w:rsidRPr="0076565F" w:rsidRDefault="00A84BFC" w:rsidP="009344C9">
            <w:pPr>
              <w:ind w:left="0" w:firstLine="0"/>
              <w:jc w:val="center"/>
            </w:pPr>
            <w:r w:rsidRPr="0076565F">
              <w:t>-1</w:t>
            </w:r>
            <w:r>
              <w:t>.</w:t>
            </w:r>
            <w:r w:rsidRPr="0076565F">
              <w:t>12</w:t>
            </w:r>
          </w:p>
        </w:tc>
      </w:tr>
      <w:tr w:rsidR="00A84BFC" w:rsidRPr="0076565F" w14:paraId="470FA119" w14:textId="77777777" w:rsidTr="009344C9">
        <w:trPr>
          <w:trHeight w:val="138"/>
        </w:trPr>
        <w:tc>
          <w:tcPr>
            <w:tcW w:w="1980" w:type="dxa"/>
            <w:vMerge/>
            <w:tcBorders>
              <w:top w:val="nil"/>
              <w:bottom w:val="nil"/>
              <w:right w:val="nil"/>
            </w:tcBorders>
          </w:tcPr>
          <w:p w14:paraId="072F0EFC" w14:textId="77777777" w:rsidR="00A84BFC" w:rsidRPr="0076565F" w:rsidRDefault="00A84BFC" w:rsidP="009344C9">
            <w:pPr>
              <w:ind w:left="0" w:firstLine="0"/>
              <w:jc w:val="both"/>
              <w:rPr>
                <w:b/>
              </w:rPr>
            </w:pPr>
          </w:p>
        </w:tc>
        <w:tc>
          <w:tcPr>
            <w:tcW w:w="3544" w:type="dxa"/>
            <w:tcBorders>
              <w:top w:val="nil"/>
              <w:left w:val="nil"/>
              <w:bottom w:val="nil"/>
              <w:right w:val="nil"/>
            </w:tcBorders>
          </w:tcPr>
          <w:p w14:paraId="335E7FE9" w14:textId="77777777" w:rsidR="00A84BFC" w:rsidRPr="0076565F" w:rsidRDefault="00A84BFC" w:rsidP="009344C9">
            <w:pPr>
              <w:ind w:left="0" w:firstLine="0"/>
              <w:jc w:val="both"/>
            </w:pPr>
            <w:proofErr w:type="spellStart"/>
            <w:r w:rsidRPr="0076565F">
              <w:t>Bilişüstü</w:t>
            </w:r>
            <w:proofErr w:type="spellEnd"/>
            <w:r w:rsidRPr="0076565F">
              <w:t xml:space="preserve"> Stratejiler</w:t>
            </w:r>
          </w:p>
        </w:tc>
        <w:tc>
          <w:tcPr>
            <w:tcW w:w="850" w:type="dxa"/>
            <w:tcBorders>
              <w:top w:val="nil"/>
              <w:left w:val="nil"/>
              <w:bottom w:val="nil"/>
              <w:right w:val="nil"/>
            </w:tcBorders>
          </w:tcPr>
          <w:p w14:paraId="4B5DE77C" w14:textId="77777777" w:rsidR="00A84BFC" w:rsidRPr="0076565F" w:rsidRDefault="00A84BFC" w:rsidP="009344C9">
            <w:pPr>
              <w:jc w:val="center"/>
            </w:pPr>
            <w:r w:rsidRPr="0076565F">
              <w:t>25</w:t>
            </w:r>
          </w:p>
        </w:tc>
        <w:tc>
          <w:tcPr>
            <w:tcW w:w="1418" w:type="dxa"/>
            <w:tcBorders>
              <w:top w:val="nil"/>
              <w:left w:val="nil"/>
              <w:bottom w:val="nil"/>
              <w:right w:val="nil"/>
            </w:tcBorders>
            <w:vAlign w:val="center"/>
          </w:tcPr>
          <w:p w14:paraId="6C8651B7" w14:textId="77777777" w:rsidR="00A84BFC" w:rsidRPr="0076565F" w:rsidRDefault="00A84BFC" w:rsidP="009344C9">
            <w:pPr>
              <w:ind w:left="0" w:firstLine="0"/>
              <w:jc w:val="center"/>
            </w:pPr>
            <w:r w:rsidRPr="0076565F">
              <w:t>-</w:t>
            </w:r>
            <w:r>
              <w:t>.</w:t>
            </w:r>
            <w:r w:rsidRPr="0076565F">
              <w:t>76</w:t>
            </w:r>
          </w:p>
        </w:tc>
        <w:tc>
          <w:tcPr>
            <w:tcW w:w="1270" w:type="dxa"/>
            <w:tcBorders>
              <w:top w:val="nil"/>
              <w:left w:val="nil"/>
              <w:bottom w:val="nil"/>
            </w:tcBorders>
            <w:vAlign w:val="center"/>
          </w:tcPr>
          <w:p w14:paraId="77F9D93B" w14:textId="77777777" w:rsidR="00A84BFC" w:rsidRPr="0076565F" w:rsidRDefault="00A84BFC" w:rsidP="009344C9">
            <w:pPr>
              <w:ind w:left="0" w:firstLine="0"/>
              <w:jc w:val="center"/>
            </w:pPr>
            <w:r>
              <w:t>.</w:t>
            </w:r>
            <w:r w:rsidRPr="0076565F">
              <w:t>23</w:t>
            </w:r>
          </w:p>
        </w:tc>
      </w:tr>
      <w:tr w:rsidR="00A84BFC" w:rsidRPr="0076565F" w14:paraId="2B38FF49" w14:textId="77777777" w:rsidTr="009344C9">
        <w:trPr>
          <w:trHeight w:val="138"/>
        </w:trPr>
        <w:tc>
          <w:tcPr>
            <w:tcW w:w="1980" w:type="dxa"/>
            <w:vMerge/>
            <w:tcBorders>
              <w:top w:val="nil"/>
              <w:right w:val="nil"/>
            </w:tcBorders>
          </w:tcPr>
          <w:p w14:paraId="3DA40EE1" w14:textId="77777777" w:rsidR="00A84BFC" w:rsidRPr="0076565F" w:rsidRDefault="00A84BFC" w:rsidP="009344C9">
            <w:pPr>
              <w:ind w:left="0" w:firstLine="0"/>
              <w:jc w:val="both"/>
              <w:rPr>
                <w:b/>
              </w:rPr>
            </w:pPr>
          </w:p>
        </w:tc>
        <w:tc>
          <w:tcPr>
            <w:tcW w:w="3544" w:type="dxa"/>
            <w:tcBorders>
              <w:top w:val="nil"/>
              <w:left w:val="nil"/>
              <w:right w:val="nil"/>
            </w:tcBorders>
          </w:tcPr>
          <w:p w14:paraId="59DB9C90" w14:textId="77777777" w:rsidR="00A84BFC" w:rsidRPr="0076565F" w:rsidRDefault="00A84BFC" w:rsidP="009344C9">
            <w:pPr>
              <w:ind w:left="0" w:firstLine="0"/>
              <w:jc w:val="both"/>
            </w:pPr>
            <w:r w:rsidRPr="0076565F">
              <w:t>Öz yeterlik</w:t>
            </w:r>
          </w:p>
        </w:tc>
        <w:tc>
          <w:tcPr>
            <w:tcW w:w="850" w:type="dxa"/>
            <w:tcBorders>
              <w:top w:val="nil"/>
              <w:left w:val="nil"/>
              <w:right w:val="nil"/>
            </w:tcBorders>
          </w:tcPr>
          <w:p w14:paraId="59121D72" w14:textId="77777777" w:rsidR="00A84BFC" w:rsidRPr="0076565F" w:rsidRDefault="00A84BFC" w:rsidP="009344C9">
            <w:pPr>
              <w:jc w:val="center"/>
            </w:pPr>
            <w:r w:rsidRPr="0076565F">
              <w:t>25</w:t>
            </w:r>
          </w:p>
        </w:tc>
        <w:tc>
          <w:tcPr>
            <w:tcW w:w="1418" w:type="dxa"/>
            <w:tcBorders>
              <w:top w:val="nil"/>
              <w:left w:val="nil"/>
              <w:right w:val="nil"/>
            </w:tcBorders>
            <w:vAlign w:val="center"/>
          </w:tcPr>
          <w:p w14:paraId="27009627" w14:textId="77777777" w:rsidR="00A84BFC" w:rsidRPr="0076565F" w:rsidRDefault="00A84BFC" w:rsidP="009344C9">
            <w:pPr>
              <w:ind w:left="0" w:firstLine="0"/>
              <w:jc w:val="center"/>
            </w:pPr>
            <w:r w:rsidRPr="0076565F">
              <w:t>-</w:t>
            </w:r>
            <w:r>
              <w:t>.</w:t>
            </w:r>
            <w:r w:rsidRPr="0076565F">
              <w:t>86</w:t>
            </w:r>
          </w:p>
        </w:tc>
        <w:tc>
          <w:tcPr>
            <w:tcW w:w="1270" w:type="dxa"/>
            <w:tcBorders>
              <w:top w:val="nil"/>
              <w:left w:val="nil"/>
            </w:tcBorders>
            <w:vAlign w:val="center"/>
          </w:tcPr>
          <w:p w14:paraId="5C8D13AF" w14:textId="77777777" w:rsidR="00A84BFC" w:rsidRPr="0076565F" w:rsidRDefault="00A84BFC" w:rsidP="009344C9">
            <w:pPr>
              <w:ind w:left="0" w:firstLine="0"/>
              <w:jc w:val="center"/>
            </w:pPr>
            <w:r>
              <w:t>.</w:t>
            </w:r>
            <w:r w:rsidRPr="0076565F">
              <w:t>35</w:t>
            </w:r>
          </w:p>
        </w:tc>
      </w:tr>
    </w:tbl>
    <w:p w14:paraId="5189005A" w14:textId="77777777" w:rsidR="00A84BFC" w:rsidRDefault="00A84BFC" w:rsidP="004D51BC">
      <w:pPr>
        <w:ind w:left="0" w:firstLine="0"/>
        <w:jc w:val="both"/>
      </w:pPr>
    </w:p>
    <w:p w14:paraId="12C6E9B8" w14:textId="34B75EA6" w:rsidR="00601242" w:rsidRDefault="00676AA0" w:rsidP="004D51BC">
      <w:pPr>
        <w:ind w:left="0" w:firstLine="0"/>
        <w:jc w:val="both"/>
      </w:pPr>
      <w:r>
        <w:t xml:space="preserve">Tablo </w:t>
      </w:r>
      <w:r w:rsidR="002907BF">
        <w:t xml:space="preserve">1’de </w:t>
      </w:r>
      <w:r>
        <w:t>y</w:t>
      </w:r>
      <w:r w:rsidR="001902B5">
        <w:t>arıyıl</w:t>
      </w:r>
      <w:r w:rsidR="00031F15" w:rsidRPr="0076565F">
        <w:t xml:space="preserve"> sonu sınav </w:t>
      </w:r>
      <w:r w:rsidR="006160D7" w:rsidRPr="0076565F">
        <w:t>puanı ortalaması</w:t>
      </w:r>
      <w:r w:rsidR="006160D7" w:rsidRPr="0076565F">
        <w:rPr>
          <w:b/>
        </w:rPr>
        <w:t xml:space="preserve"> </w:t>
      </w:r>
      <m:oMath>
        <m:acc>
          <m:accPr>
            <m:chr m:val="̅"/>
            <m:ctrlPr>
              <w:rPr>
                <w:rFonts w:ascii="Cambria Math" w:hAnsi="Cambria Math"/>
                <w:i/>
              </w:rPr>
            </m:ctrlPr>
          </m:accPr>
          <m:e>
            <m:r>
              <w:rPr>
                <w:rFonts w:ascii="Cambria Math" w:hAnsi="Cambria Math"/>
              </w:rPr>
              <m:t>X</m:t>
            </m:r>
          </m:e>
        </m:acc>
      </m:oMath>
      <w:r w:rsidR="006160D7" w:rsidRPr="0076565F">
        <w:t xml:space="preserve"> = </w:t>
      </w:r>
      <w:r w:rsidR="00A74540" w:rsidRPr="0076565F">
        <w:t>67</w:t>
      </w:r>
      <w:r w:rsidR="00737584">
        <w:t>.</w:t>
      </w:r>
      <w:r w:rsidR="00A74540" w:rsidRPr="0076565F">
        <w:t>07</w:t>
      </w:r>
      <w:r w:rsidR="006160D7" w:rsidRPr="0076565F">
        <w:t xml:space="preserve"> (</w:t>
      </w:r>
      <w:proofErr w:type="spellStart"/>
      <w:r w:rsidR="006160D7" w:rsidRPr="008E20BC">
        <w:rPr>
          <w:i/>
        </w:rPr>
        <w:t>Sd</w:t>
      </w:r>
      <w:proofErr w:type="spellEnd"/>
      <w:r w:rsidR="006160D7" w:rsidRPr="0076565F">
        <w:t xml:space="preserve"> =1</w:t>
      </w:r>
      <w:r w:rsidR="00A74540" w:rsidRPr="0076565F">
        <w:t>8</w:t>
      </w:r>
      <w:r w:rsidR="00737584">
        <w:t>.</w:t>
      </w:r>
      <w:r w:rsidR="00A74540" w:rsidRPr="0076565F">
        <w:t>99</w:t>
      </w:r>
      <w:r w:rsidR="006160D7" w:rsidRPr="0076565F">
        <w:t>)</w:t>
      </w:r>
      <w:r w:rsidR="00A74540" w:rsidRPr="0076565F">
        <w:t xml:space="preserve">, en küçük değer </w:t>
      </w:r>
      <w:proofErr w:type="spellStart"/>
      <w:r w:rsidR="00A74540" w:rsidRPr="0076565F">
        <w:t>Min</w:t>
      </w:r>
      <w:proofErr w:type="spellEnd"/>
      <w:r w:rsidR="00A74540" w:rsidRPr="0076565F">
        <w:t xml:space="preserve">=16 </w:t>
      </w:r>
      <w:r w:rsidR="00B25C11" w:rsidRPr="0076565F">
        <w:t>en</w:t>
      </w:r>
      <w:r w:rsidR="00A74540" w:rsidRPr="0076565F">
        <w:t xml:space="preserve"> yüksek değer </w:t>
      </w:r>
      <w:proofErr w:type="spellStart"/>
      <w:r w:rsidR="00A74540" w:rsidRPr="0076565F">
        <w:t>Max</w:t>
      </w:r>
      <w:proofErr w:type="spellEnd"/>
      <w:r w:rsidR="00A74540" w:rsidRPr="0076565F">
        <w:t>=96 olarak bulunmuştur. Başarı grupları oluştur</w:t>
      </w:r>
      <w:r w:rsidR="00B25C11" w:rsidRPr="0076565F">
        <w:t>ul</w:t>
      </w:r>
      <w:r w:rsidR="00A74540" w:rsidRPr="0076565F">
        <w:t xml:space="preserve">urken yüzdelik dilimler kullanılmış ve </w:t>
      </w:r>
      <w:r w:rsidR="00B25C11" w:rsidRPr="0076565F">
        <w:t xml:space="preserve">grup sayılarının denkliği de göz önüne alınarak %33’lük üç başarı grubu oluşturulmuştur. Bu gruplar düşük, orta ve yüksek başarı grupları olup puan aralıkları düşük başarı için 16-64, orta başarı için 65-77 ve yüksek başarı için 77-96 olarak belirlenmiştir. Gruplama aşamasından sonra bu gruplarda yer alan katılımcıların kalibrasyon </w:t>
      </w:r>
      <w:r w:rsidR="00AE23CF" w:rsidRPr="0076565F">
        <w:t>ile</w:t>
      </w:r>
      <w:r w:rsidR="00B25C11" w:rsidRPr="0076565F">
        <w:t xml:space="preserve"> </w:t>
      </w:r>
      <w:r w:rsidR="006B72B5" w:rsidRPr="0076565F">
        <w:t xml:space="preserve">motivasyon ve </w:t>
      </w:r>
      <w:r w:rsidR="00B25C11" w:rsidRPr="0076565F">
        <w:t xml:space="preserve">öz düzenleme becerileri arasında farklılıklar olup olmadığını belirlemek için </w:t>
      </w:r>
      <w:r w:rsidR="007B3028" w:rsidRPr="0076565F">
        <w:t xml:space="preserve">tek yönlü </w:t>
      </w:r>
      <w:proofErr w:type="spellStart"/>
      <w:r w:rsidR="00B25C11" w:rsidRPr="0076565F">
        <w:t>varyans</w:t>
      </w:r>
      <w:proofErr w:type="spellEnd"/>
      <w:r w:rsidR="00B25C11" w:rsidRPr="0076565F">
        <w:t xml:space="preserve"> analizleri</w:t>
      </w:r>
      <w:r w:rsidR="007B3028" w:rsidRPr="0076565F">
        <w:t xml:space="preserve"> (ANOVA)</w:t>
      </w:r>
      <w:r w:rsidR="00B25C11" w:rsidRPr="0076565F">
        <w:t xml:space="preserve"> yap</w:t>
      </w:r>
      <w:r w:rsidR="007B3028" w:rsidRPr="0076565F">
        <w:t xml:space="preserve">ılmıştır. Tek yönlü </w:t>
      </w:r>
      <w:proofErr w:type="spellStart"/>
      <w:r w:rsidR="007B3028" w:rsidRPr="0076565F">
        <w:t>varyans</w:t>
      </w:r>
      <w:proofErr w:type="spellEnd"/>
      <w:r w:rsidR="007B3028" w:rsidRPr="0076565F">
        <w:t xml:space="preserve"> analizi </w:t>
      </w:r>
      <w:proofErr w:type="spellStart"/>
      <w:r w:rsidR="007B3028" w:rsidRPr="0076565F">
        <w:t>sayıltılarının</w:t>
      </w:r>
      <w:proofErr w:type="spellEnd"/>
      <w:r w:rsidR="007B3028" w:rsidRPr="0076565F">
        <w:t xml:space="preserve"> sağlanıp sağlanmadığını test etmek için basıklık ve çarpıklık değerleri (normal dağılım </w:t>
      </w:r>
      <w:proofErr w:type="spellStart"/>
      <w:r w:rsidR="007B3028" w:rsidRPr="0076565F">
        <w:t>sayıltısı</w:t>
      </w:r>
      <w:proofErr w:type="spellEnd"/>
      <w:r w:rsidR="007B3028" w:rsidRPr="0076565F">
        <w:t xml:space="preserve">) ile </w:t>
      </w:r>
      <w:proofErr w:type="spellStart"/>
      <w:r w:rsidR="007B3028" w:rsidRPr="0076565F">
        <w:t>varyans</w:t>
      </w:r>
      <w:proofErr w:type="spellEnd"/>
      <w:r w:rsidR="007B3028" w:rsidRPr="0076565F">
        <w:t xml:space="preserve"> homojenliği analizleri gerçekleştirilmiştir.</w:t>
      </w:r>
      <w:r w:rsidR="00CE11D5" w:rsidRPr="0076565F">
        <w:t xml:space="preserve"> Normallik </w:t>
      </w:r>
      <w:proofErr w:type="spellStart"/>
      <w:r w:rsidR="00CE11D5" w:rsidRPr="0076565F">
        <w:t>sayıltısı</w:t>
      </w:r>
      <w:proofErr w:type="spellEnd"/>
      <w:r w:rsidR="00CE11D5" w:rsidRPr="0076565F">
        <w:t xml:space="preserve"> için George ve </w:t>
      </w:r>
      <w:proofErr w:type="spellStart"/>
      <w:r w:rsidR="00CE11D5" w:rsidRPr="0076565F">
        <w:t>Mallery</w:t>
      </w:r>
      <w:proofErr w:type="spellEnd"/>
      <w:r w:rsidR="00CE11D5" w:rsidRPr="0076565F">
        <w:t xml:space="preserve"> (20</w:t>
      </w:r>
      <w:r w:rsidR="00295BEA" w:rsidRPr="0076565F">
        <w:t>19</w:t>
      </w:r>
      <w:r w:rsidR="00CE11D5" w:rsidRPr="0076565F">
        <w:t xml:space="preserve">) tarafından basıklık ve </w:t>
      </w:r>
      <w:r w:rsidR="004F6C9F" w:rsidRPr="0076565F">
        <w:t xml:space="preserve">çarpıklık için önerilen +2 ve -2 aralığı referans alınmıştır. </w:t>
      </w:r>
      <w:r w:rsidR="002907BF">
        <w:t>Tablo 3’e göre</w:t>
      </w:r>
      <w:r w:rsidR="004F6C9F" w:rsidRPr="0076565F">
        <w:t xml:space="preserve"> veri dağılımı normal kabul edilebilir.</w:t>
      </w:r>
    </w:p>
    <w:p w14:paraId="28E3CA03" w14:textId="77777777" w:rsidR="00601242" w:rsidRPr="0076565F" w:rsidRDefault="00601242" w:rsidP="004D51BC">
      <w:pPr>
        <w:ind w:left="0" w:firstLine="0"/>
        <w:jc w:val="both"/>
      </w:pPr>
    </w:p>
    <w:p w14:paraId="5DC2BC68" w14:textId="77777777" w:rsidR="00A84BFC" w:rsidRPr="00B06811" w:rsidRDefault="00A84BFC" w:rsidP="00A84BFC">
      <w:pPr>
        <w:autoSpaceDE w:val="0"/>
        <w:autoSpaceDN w:val="0"/>
        <w:adjustRightInd w:val="0"/>
        <w:ind w:left="0" w:firstLine="0"/>
        <w:rPr>
          <w:szCs w:val="24"/>
        </w:rPr>
      </w:pPr>
      <w:r w:rsidRPr="00B06811">
        <w:rPr>
          <w:szCs w:val="24"/>
        </w:rPr>
        <w:lastRenderedPageBreak/>
        <w:t>Tablo 4</w:t>
      </w:r>
    </w:p>
    <w:p w14:paraId="12C2B7E0" w14:textId="77777777" w:rsidR="00A84BFC" w:rsidRPr="00B06811" w:rsidRDefault="00A84BFC" w:rsidP="00A84BFC">
      <w:pPr>
        <w:autoSpaceDE w:val="0"/>
        <w:autoSpaceDN w:val="0"/>
        <w:adjustRightInd w:val="0"/>
        <w:ind w:left="0" w:firstLine="0"/>
        <w:rPr>
          <w:i/>
          <w:szCs w:val="24"/>
        </w:rPr>
      </w:pPr>
      <w:proofErr w:type="spellStart"/>
      <w:r w:rsidRPr="00B06811">
        <w:rPr>
          <w:i/>
          <w:szCs w:val="24"/>
        </w:rPr>
        <w:t>Levene</w:t>
      </w:r>
      <w:proofErr w:type="spellEnd"/>
      <w:r w:rsidRPr="00B06811">
        <w:rPr>
          <w:i/>
          <w:szCs w:val="24"/>
        </w:rPr>
        <w:t xml:space="preserve"> </w:t>
      </w:r>
      <w:proofErr w:type="spellStart"/>
      <w:r w:rsidRPr="00B06811">
        <w:rPr>
          <w:i/>
          <w:szCs w:val="24"/>
        </w:rPr>
        <w:t>Varyans</w:t>
      </w:r>
      <w:proofErr w:type="spellEnd"/>
      <w:r w:rsidRPr="00B06811">
        <w:rPr>
          <w:i/>
          <w:szCs w:val="24"/>
        </w:rPr>
        <w:t xml:space="preserve"> Homojenliği Testi Sonuçları</w:t>
      </w:r>
    </w:p>
    <w:tbl>
      <w:tblPr>
        <w:tblW w:w="896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531"/>
        <w:gridCol w:w="2268"/>
        <w:gridCol w:w="602"/>
        <w:gridCol w:w="712"/>
        <w:gridCol w:w="848"/>
      </w:tblGrid>
      <w:tr w:rsidR="00A84BFC" w:rsidRPr="0076565F" w14:paraId="5CD6030C" w14:textId="77777777" w:rsidTr="009344C9">
        <w:trPr>
          <w:cantSplit/>
          <w:trHeight w:val="211"/>
        </w:trPr>
        <w:tc>
          <w:tcPr>
            <w:tcW w:w="4531" w:type="dxa"/>
            <w:tcBorders>
              <w:left w:val="nil"/>
              <w:bottom w:val="single" w:sz="4" w:space="0" w:color="auto"/>
              <w:right w:val="nil"/>
            </w:tcBorders>
            <w:shd w:val="clear" w:color="auto" w:fill="FFFFFF"/>
          </w:tcPr>
          <w:p w14:paraId="5314DAE6" w14:textId="77777777" w:rsidR="00A84BFC" w:rsidRPr="0076565F" w:rsidRDefault="00A84BFC" w:rsidP="009344C9">
            <w:pPr>
              <w:autoSpaceDE w:val="0"/>
              <w:autoSpaceDN w:val="0"/>
              <w:adjustRightInd w:val="0"/>
              <w:spacing w:line="240" w:lineRule="auto"/>
              <w:ind w:left="0" w:firstLine="0"/>
              <w:contextualSpacing/>
              <w:rPr>
                <w:szCs w:val="24"/>
              </w:rPr>
            </w:pPr>
          </w:p>
        </w:tc>
        <w:tc>
          <w:tcPr>
            <w:tcW w:w="2268" w:type="dxa"/>
            <w:tcBorders>
              <w:left w:val="nil"/>
              <w:bottom w:val="single" w:sz="4" w:space="0" w:color="auto"/>
            </w:tcBorders>
            <w:shd w:val="clear" w:color="auto" w:fill="FFFFFF"/>
          </w:tcPr>
          <w:p w14:paraId="621E912E" w14:textId="77777777" w:rsidR="00A84BFC" w:rsidRPr="0076565F" w:rsidRDefault="00A84BFC" w:rsidP="009344C9">
            <w:pPr>
              <w:autoSpaceDE w:val="0"/>
              <w:autoSpaceDN w:val="0"/>
              <w:adjustRightInd w:val="0"/>
              <w:spacing w:line="240" w:lineRule="auto"/>
              <w:ind w:left="60" w:right="60" w:firstLine="0"/>
              <w:contextualSpacing/>
              <w:jc w:val="center"/>
              <w:rPr>
                <w:b/>
                <w:color w:val="000000"/>
                <w:szCs w:val="24"/>
              </w:rPr>
            </w:pPr>
            <w:proofErr w:type="spellStart"/>
            <w:r w:rsidRPr="0076565F">
              <w:rPr>
                <w:b/>
                <w:color w:val="000000"/>
                <w:szCs w:val="24"/>
              </w:rPr>
              <w:t>Levene</w:t>
            </w:r>
            <w:proofErr w:type="spellEnd"/>
            <w:r w:rsidRPr="0076565F">
              <w:rPr>
                <w:b/>
                <w:color w:val="000000"/>
                <w:szCs w:val="24"/>
              </w:rPr>
              <w:t xml:space="preserve"> istatistiği</w:t>
            </w:r>
          </w:p>
        </w:tc>
        <w:tc>
          <w:tcPr>
            <w:tcW w:w="602" w:type="dxa"/>
            <w:tcBorders>
              <w:bottom w:val="single" w:sz="4" w:space="0" w:color="auto"/>
            </w:tcBorders>
            <w:shd w:val="clear" w:color="auto" w:fill="FFFFFF"/>
          </w:tcPr>
          <w:p w14:paraId="49B47391" w14:textId="77777777" w:rsidR="00A84BFC" w:rsidRPr="0076565F" w:rsidRDefault="00A84BFC" w:rsidP="009344C9">
            <w:pPr>
              <w:autoSpaceDE w:val="0"/>
              <w:autoSpaceDN w:val="0"/>
              <w:adjustRightInd w:val="0"/>
              <w:spacing w:line="240" w:lineRule="auto"/>
              <w:ind w:left="60" w:right="60" w:firstLine="0"/>
              <w:contextualSpacing/>
              <w:jc w:val="center"/>
              <w:rPr>
                <w:b/>
                <w:color w:val="000000"/>
                <w:szCs w:val="24"/>
              </w:rPr>
            </w:pPr>
            <w:r w:rsidRPr="0076565F">
              <w:rPr>
                <w:b/>
                <w:color w:val="000000"/>
                <w:szCs w:val="24"/>
              </w:rPr>
              <w:t>df1</w:t>
            </w:r>
          </w:p>
        </w:tc>
        <w:tc>
          <w:tcPr>
            <w:tcW w:w="712" w:type="dxa"/>
            <w:tcBorders>
              <w:bottom w:val="single" w:sz="4" w:space="0" w:color="auto"/>
            </w:tcBorders>
            <w:shd w:val="clear" w:color="auto" w:fill="FFFFFF"/>
          </w:tcPr>
          <w:p w14:paraId="2AC2640F" w14:textId="77777777" w:rsidR="00A84BFC" w:rsidRPr="0076565F" w:rsidRDefault="00A84BFC" w:rsidP="009344C9">
            <w:pPr>
              <w:autoSpaceDE w:val="0"/>
              <w:autoSpaceDN w:val="0"/>
              <w:adjustRightInd w:val="0"/>
              <w:spacing w:line="240" w:lineRule="auto"/>
              <w:ind w:left="60" w:right="60" w:firstLine="0"/>
              <w:contextualSpacing/>
              <w:jc w:val="center"/>
              <w:rPr>
                <w:b/>
                <w:color w:val="000000"/>
                <w:szCs w:val="24"/>
              </w:rPr>
            </w:pPr>
            <w:r w:rsidRPr="0076565F">
              <w:rPr>
                <w:b/>
                <w:color w:val="000000"/>
                <w:szCs w:val="24"/>
              </w:rPr>
              <w:t>df2</w:t>
            </w:r>
          </w:p>
        </w:tc>
        <w:tc>
          <w:tcPr>
            <w:tcW w:w="848" w:type="dxa"/>
            <w:tcBorders>
              <w:bottom w:val="single" w:sz="4" w:space="0" w:color="auto"/>
              <w:right w:val="nil"/>
            </w:tcBorders>
            <w:shd w:val="clear" w:color="auto" w:fill="FFFFFF"/>
          </w:tcPr>
          <w:p w14:paraId="7E8559E1" w14:textId="77777777" w:rsidR="00A84BFC" w:rsidRPr="0076565F" w:rsidRDefault="00A84BFC" w:rsidP="009344C9">
            <w:pPr>
              <w:autoSpaceDE w:val="0"/>
              <w:autoSpaceDN w:val="0"/>
              <w:adjustRightInd w:val="0"/>
              <w:spacing w:line="240" w:lineRule="auto"/>
              <w:ind w:left="60" w:right="60" w:firstLine="0"/>
              <w:contextualSpacing/>
              <w:jc w:val="center"/>
              <w:rPr>
                <w:b/>
                <w:i/>
                <w:color w:val="000000"/>
                <w:szCs w:val="24"/>
              </w:rPr>
            </w:pPr>
            <w:proofErr w:type="gramStart"/>
            <w:r w:rsidRPr="0076565F">
              <w:rPr>
                <w:b/>
                <w:i/>
                <w:color w:val="000000"/>
                <w:szCs w:val="24"/>
              </w:rPr>
              <w:t>p</w:t>
            </w:r>
            <w:proofErr w:type="gramEnd"/>
          </w:p>
        </w:tc>
      </w:tr>
      <w:tr w:rsidR="00A84BFC" w:rsidRPr="0076565F" w14:paraId="3E264A4D" w14:textId="77777777" w:rsidTr="009344C9">
        <w:trPr>
          <w:cantSplit/>
          <w:trHeight w:val="211"/>
        </w:trPr>
        <w:tc>
          <w:tcPr>
            <w:tcW w:w="4531" w:type="dxa"/>
            <w:tcBorders>
              <w:left w:val="nil"/>
              <w:bottom w:val="nil"/>
              <w:right w:val="nil"/>
            </w:tcBorders>
            <w:shd w:val="clear" w:color="auto" w:fill="FFFFFF"/>
          </w:tcPr>
          <w:p w14:paraId="193FDC5F" w14:textId="77777777" w:rsidR="00A84BFC" w:rsidRPr="0076565F" w:rsidRDefault="00A84BFC" w:rsidP="009344C9">
            <w:pPr>
              <w:spacing w:line="240" w:lineRule="auto"/>
              <w:ind w:left="0" w:firstLine="0"/>
              <w:contextualSpacing/>
              <w:jc w:val="both"/>
              <w:rPr>
                <w:b/>
                <w:szCs w:val="24"/>
              </w:rPr>
            </w:pPr>
            <w:r w:rsidRPr="0076565F">
              <w:rPr>
                <w:b/>
                <w:szCs w:val="24"/>
              </w:rPr>
              <w:t>Kalibrasyon</w:t>
            </w:r>
          </w:p>
        </w:tc>
        <w:tc>
          <w:tcPr>
            <w:tcW w:w="2268" w:type="dxa"/>
            <w:tcBorders>
              <w:left w:val="nil"/>
              <w:bottom w:val="nil"/>
              <w:right w:val="nil"/>
            </w:tcBorders>
            <w:shd w:val="clear" w:color="auto" w:fill="FFFFFF"/>
          </w:tcPr>
          <w:p w14:paraId="41F5E966"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3</w:t>
            </w:r>
            <w:r>
              <w:rPr>
                <w:color w:val="000000"/>
                <w:szCs w:val="24"/>
              </w:rPr>
              <w:t>.</w:t>
            </w:r>
            <w:r w:rsidRPr="0076565F">
              <w:rPr>
                <w:color w:val="000000"/>
                <w:szCs w:val="24"/>
              </w:rPr>
              <w:t>66</w:t>
            </w:r>
          </w:p>
        </w:tc>
        <w:tc>
          <w:tcPr>
            <w:tcW w:w="602" w:type="dxa"/>
            <w:tcBorders>
              <w:left w:val="nil"/>
              <w:bottom w:val="nil"/>
              <w:right w:val="nil"/>
            </w:tcBorders>
            <w:shd w:val="clear" w:color="auto" w:fill="FFFFFF"/>
          </w:tcPr>
          <w:p w14:paraId="1207D370"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2</w:t>
            </w:r>
          </w:p>
        </w:tc>
        <w:tc>
          <w:tcPr>
            <w:tcW w:w="712" w:type="dxa"/>
            <w:tcBorders>
              <w:left w:val="nil"/>
              <w:bottom w:val="nil"/>
              <w:right w:val="nil"/>
            </w:tcBorders>
            <w:shd w:val="clear" w:color="auto" w:fill="FFFFFF"/>
          </w:tcPr>
          <w:p w14:paraId="514719F2"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73</w:t>
            </w:r>
          </w:p>
        </w:tc>
        <w:tc>
          <w:tcPr>
            <w:tcW w:w="848" w:type="dxa"/>
            <w:tcBorders>
              <w:left w:val="nil"/>
              <w:bottom w:val="nil"/>
              <w:right w:val="nil"/>
            </w:tcBorders>
            <w:shd w:val="clear" w:color="auto" w:fill="FFFFFF"/>
          </w:tcPr>
          <w:p w14:paraId="2FBB43D7"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Pr>
                <w:color w:val="000000"/>
                <w:szCs w:val="24"/>
              </w:rPr>
              <w:t>.</w:t>
            </w:r>
            <w:r w:rsidRPr="0076565F">
              <w:rPr>
                <w:color w:val="000000"/>
                <w:szCs w:val="24"/>
              </w:rPr>
              <w:t>30</w:t>
            </w:r>
          </w:p>
        </w:tc>
      </w:tr>
      <w:tr w:rsidR="00A84BFC" w:rsidRPr="0076565F" w14:paraId="2C6AE8B6" w14:textId="77777777" w:rsidTr="009344C9">
        <w:trPr>
          <w:cantSplit/>
          <w:trHeight w:val="211"/>
        </w:trPr>
        <w:tc>
          <w:tcPr>
            <w:tcW w:w="4531" w:type="dxa"/>
            <w:tcBorders>
              <w:top w:val="nil"/>
              <w:left w:val="nil"/>
              <w:bottom w:val="nil"/>
              <w:right w:val="nil"/>
            </w:tcBorders>
            <w:shd w:val="clear" w:color="auto" w:fill="FFFFFF"/>
          </w:tcPr>
          <w:p w14:paraId="5DFD327B" w14:textId="77777777" w:rsidR="00A84BFC" w:rsidRPr="0076565F" w:rsidRDefault="00A84BFC" w:rsidP="009344C9">
            <w:pPr>
              <w:spacing w:line="240" w:lineRule="auto"/>
              <w:ind w:left="0" w:firstLine="0"/>
              <w:contextualSpacing/>
              <w:jc w:val="both"/>
              <w:rPr>
                <w:b/>
                <w:szCs w:val="24"/>
              </w:rPr>
            </w:pPr>
            <w:r w:rsidRPr="0076565F">
              <w:rPr>
                <w:b/>
                <w:szCs w:val="24"/>
              </w:rPr>
              <w:t>Çaba düzenlemesi</w:t>
            </w:r>
          </w:p>
        </w:tc>
        <w:tc>
          <w:tcPr>
            <w:tcW w:w="2268" w:type="dxa"/>
            <w:tcBorders>
              <w:top w:val="nil"/>
              <w:left w:val="nil"/>
              <w:bottom w:val="nil"/>
              <w:right w:val="nil"/>
            </w:tcBorders>
            <w:shd w:val="clear" w:color="auto" w:fill="FFFFFF"/>
          </w:tcPr>
          <w:p w14:paraId="55866F99"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Pr>
                <w:color w:val="000000"/>
                <w:szCs w:val="24"/>
              </w:rPr>
              <w:t>.</w:t>
            </w:r>
            <w:r w:rsidRPr="0076565F">
              <w:rPr>
                <w:color w:val="000000"/>
                <w:szCs w:val="24"/>
              </w:rPr>
              <w:t>53</w:t>
            </w:r>
          </w:p>
        </w:tc>
        <w:tc>
          <w:tcPr>
            <w:tcW w:w="602" w:type="dxa"/>
            <w:tcBorders>
              <w:top w:val="nil"/>
              <w:left w:val="nil"/>
              <w:bottom w:val="nil"/>
              <w:right w:val="nil"/>
            </w:tcBorders>
            <w:shd w:val="clear" w:color="auto" w:fill="FFFFFF"/>
          </w:tcPr>
          <w:p w14:paraId="21743566"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2</w:t>
            </w:r>
          </w:p>
        </w:tc>
        <w:tc>
          <w:tcPr>
            <w:tcW w:w="712" w:type="dxa"/>
            <w:tcBorders>
              <w:top w:val="nil"/>
              <w:left w:val="nil"/>
              <w:bottom w:val="nil"/>
              <w:right w:val="nil"/>
            </w:tcBorders>
            <w:shd w:val="clear" w:color="auto" w:fill="FFFFFF"/>
          </w:tcPr>
          <w:p w14:paraId="0231445A"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73</w:t>
            </w:r>
          </w:p>
        </w:tc>
        <w:tc>
          <w:tcPr>
            <w:tcW w:w="848" w:type="dxa"/>
            <w:tcBorders>
              <w:top w:val="nil"/>
              <w:left w:val="nil"/>
              <w:bottom w:val="nil"/>
              <w:right w:val="nil"/>
            </w:tcBorders>
            <w:shd w:val="clear" w:color="auto" w:fill="FFFFFF"/>
          </w:tcPr>
          <w:p w14:paraId="3717F04F"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Pr>
                <w:color w:val="000000"/>
                <w:szCs w:val="24"/>
              </w:rPr>
              <w:t>.</w:t>
            </w:r>
            <w:r w:rsidRPr="0076565F">
              <w:rPr>
                <w:color w:val="000000"/>
                <w:szCs w:val="24"/>
              </w:rPr>
              <w:t>59</w:t>
            </w:r>
          </w:p>
        </w:tc>
      </w:tr>
      <w:tr w:rsidR="00A84BFC" w:rsidRPr="0076565F" w14:paraId="32DD22FC" w14:textId="77777777" w:rsidTr="009344C9">
        <w:trPr>
          <w:cantSplit/>
          <w:trHeight w:val="211"/>
        </w:trPr>
        <w:tc>
          <w:tcPr>
            <w:tcW w:w="4531" w:type="dxa"/>
            <w:tcBorders>
              <w:top w:val="nil"/>
              <w:left w:val="nil"/>
              <w:bottom w:val="nil"/>
              <w:right w:val="nil"/>
            </w:tcBorders>
            <w:shd w:val="clear" w:color="auto" w:fill="FFFFFF"/>
          </w:tcPr>
          <w:p w14:paraId="1C6E48B7" w14:textId="77777777" w:rsidR="00A84BFC" w:rsidRPr="0076565F" w:rsidRDefault="00A84BFC" w:rsidP="009344C9">
            <w:pPr>
              <w:spacing w:line="240" w:lineRule="auto"/>
              <w:ind w:left="0" w:firstLine="0"/>
              <w:contextualSpacing/>
              <w:jc w:val="both"/>
              <w:rPr>
                <w:b/>
                <w:szCs w:val="24"/>
              </w:rPr>
            </w:pPr>
            <w:proofErr w:type="spellStart"/>
            <w:r w:rsidRPr="0076565F">
              <w:rPr>
                <w:b/>
                <w:szCs w:val="24"/>
              </w:rPr>
              <w:t>Bilişüstü</w:t>
            </w:r>
            <w:proofErr w:type="spellEnd"/>
            <w:r w:rsidRPr="0076565F">
              <w:rPr>
                <w:b/>
                <w:szCs w:val="24"/>
              </w:rPr>
              <w:t xml:space="preserve"> Stratejiler</w:t>
            </w:r>
          </w:p>
        </w:tc>
        <w:tc>
          <w:tcPr>
            <w:tcW w:w="2268" w:type="dxa"/>
            <w:tcBorders>
              <w:top w:val="nil"/>
              <w:left w:val="nil"/>
              <w:bottom w:val="nil"/>
              <w:right w:val="nil"/>
            </w:tcBorders>
            <w:shd w:val="clear" w:color="auto" w:fill="FFFFFF"/>
          </w:tcPr>
          <w:p w14:paraId="4DE8499B"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Pr>
                <w:color w:val="000000"/>
                <w:szCs w:val="24"/>
              </w:rPr>
              <w:t>.</w:t>
            </w:r>
            <w:r w:rsidRPr="0076565F">
              <w:rPr>
                <w:color w:val="000000"/>
                <w:szCs w:val="24"/>
              </w:rPr>
              <w:t>72</w:t>
            </w:r>
          </w:p>
        </w:tc>
        <w:tc>
          <w:tcPr>
            <w:tcW w:w="602" w:type="dxa"/>
            <w:tcBorders>
              <w:top w:val="nil"/>
              <w:left w:val="nil"/>
              <w:bottom w:val="nil"/>
              <w:right w:val="nil"/>
            </w:tcBorders>
            <w:shd w:val="clear" w:color="auto" w:fill="FFFFFF"/>
          </w:tcPr>
          <w:p w14:paraId="635C90D4"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2</w:t>
            </w:r>
          </w:p>
        </w:tc>
        <w:tc>
          <w:tcPr>
            <w:tcW w:w="712" w:type="dxa"/>
            <w:tcBorders>
              <w:top w:val="nil"/>
              <w:left w:val="nil"/>
              <w:bottom w:val="nil"/>
              <w:right w:val="nil"/>
            </w:tcBorders>
            <w:shd w:val="clear" w:color="auto" w:fill="FFFFFF"/>
          </w:tcPr>
          <w:p w14:paraId="712D06D4"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73</w:t>
            </w:r>
          </w:p>
        </w:tc>
        <w:tc>
          <w:tcPr>
            <w:tcW w:w="848" w:type="dxa"/>
            <w:tcBorders>
              <w:top w:val="nil"/>
              <w:left w:val="nil"/>
              <w:bottom w:val="nil"/>
              <w:right w:val="nil"/>
            </w:tcBorders>
            <w:shd w:val="clear" w:color="auto" w:fill="FFFFFF"/>
          </w:tcPr>
          <w:p w14:paraId="676BEFD8"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Pr>
                <w:color w:val="000000"/>
                <w:szCs w:val="24"/>
              </w:rPr>
              <w:t>.</w:t>
            </w:r>
            <w:r w:rsidRPr="0076565F">
              <w:rPr>
                <w:color w:val="000000"/>
                <w:szCs w:val="24"/>
              </w:rPr>
              <w:t>49</w:t>
            </w:r>
          </w:p>
        </w:tc>
      </w:tr>
      <w:tr w:rsidR="00A84BFC" w:rsidRPr="0076565F" w14:paraId="7E4183C4" w14:textId="77777777" w:rsidTr="009344C9">
        <w:trPr>
          <w:cantSplit/>
          <w:trHeight w:val="211"/>
        </w:trPr>
        <w:tc>
          <w:tcPr>
            <w:tcW w:w="4531" w:type="dxa"/>
            <w:tcBorders>
              <w:top w:val="nil"/>
              <w:left w:val="nil"/>
              <w:right w:val="nil"/>
            </w:tcBorders>
            <w:shd w:val="clear" w:color="auto" w:fill="FFFFFF"/>
          </w:tcPr>
          <w:p w14:paraId="6893FE80" w14:textId="77777777" w:rsidR="00A84BFC" w:rsidRPr="0076565F" w:rsidRDefault="00A84BFC" w:rsidP="009344C9">
            <w:pPr>
              <w:spacing w:line="240" w:lineRule="auto"/>
              <w:ind w:left="0" w:firstLine="0"/>
              <w:contextualSpacing/>
              <w:jc w:val="both"/>
              <w:rPr>
                <w:b/>
                <w:szCs w:val="24"/>
              </w:rPr>
            </w:pPr>
            <w:r w:rsidRPr="0076565F">
              <w:rPr>
                <w:b/>
                <w:szCs w:val="24"/>
              </w:rPr>
              <w:t>Öz yeterlik</w:t>
            </w:r>
          </w:p>
        </w:tc>
        <w:tc>
          <w:tcPr>
            <w:tcW w:w="2268" w:type="dxa"/>
            <w:tcBorders>
              <w:top w:val="nil"/>
              <w:left w:val="nil"/>
              <w:right w:val="nil"/>
            </w:tcBorders>
            <w:shd w:val="clear" w:color="auto" w:fill="FFFFFF"/>
          </w:tcPr>
          <w:p w14:paraId="1097765B"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Pr>
                <w:color w:val="000000"/>
                <w:szCs w:val="24"/>
              </w:rPr>
              <w:t>.</w:t>
            </w:r>
            <w:r w:rsidRPr="0076565F">
              <w:rPr>
                <w:color w:val="000000"/>
                <w:szCs w:val="24"/>
              </w:rPr>
              <w:t>86</w:t>
            </w:r>
          </w:p>
        </w:tc>
        <w:tc>
          <w:tcPr>
            <w:tcW w:w="602" w:type="dxa"/>
            <w:tcBorders>
              <w:top w:val="nil"/>
              <w:left w:val="nil"/>
              <w:right w:val="nil"/>
            </w:tcBorders>
            <w:shd w:val="clear" w:color="auto" w:fill="FFFFFF"/>
          </w:tcPr>
          <w:p w14:paraId="1DA42C38"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2</w:t>
            </w:r>
          </w:p>
        </w:tc>
        <w:tc>
          <w:tcPr>
            <w:tcW w:w="712" w:type="dxa"/>
            <w:tcBorders>
              <w:top w:val="nil"/>
              <w:left w:val="nil"/>
              <w:right w:val="nil"/>
            </w:tcBorders>
            <w:shd w:val="clear" w:color="auto" w:fill="FFFFFF"/>
          </w:tcPr>
          <w:p w14:paraId="3E412BCC"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73</w:t>
            </w:r>
          </w:p>
        </w:tc>
        <w:tc>
          <w:tcPr>
            <w:tcW w:w="848" w:type="dxa"/>
            <w:tcBorders>
              <w:top w:val="nil"/>
              <w:left w:val="nil"/>
              <w:right w:val="nil"/>
            </w:tcBorders>
            <w:shd w:val="clear" w:color="auto" w:fill="FFFFFF"/>
          </w:tcPr>
          <w:p w14:paraId="653A0793" w14:textId="77777777" w:rsidR="00A84BFC" w:rsidRPr="0076565F" w:rsidRDefault="00A84BFC" w:rsidP="009344C9">
            <w:pPr>
              <w:autoSpaceDE w:val="0"/>
              <w:autoSpaceDN w:val="0"/>
              <w:adjustRightInd w:val="0"/>
              <w:spacing w:line="240" w:lineRule="auto"/>
              <w:ind w:left="60" w:right="60" w:firstLine="0"/>
              <w:contextualSpacing/>
              <w:jc w:val="center"/>
              <w:rPr>
                <w:color w:val="000000"/>
                <w:szCs w:val="24"/>
              </w:rPr>
            </w:pPr>
            <w:r>
              <w:rPr>
                <w:color w:val="000000"/>
                <w:szCs w:val="24"/>
              </w:rPr>
              <w:t>.</w:t>
            </w:r>
            <w:r w:rsidRPr="0076565F">
              <w:rPr>
                <w:color w:val="000000"/>
                <w:szCs w:val="24"/>
              </w:rPr>
              <w:t>43</w:t>
            </w:r>
          </w:p>
        </w:tc>
      </w:tr>
    </w:tbl>
    <w:p w14:paraId="3268EF97" w14:textId="2F62D93F" w:rsidR="00A84BFC" w:rsidRDefault="00A84BFC" w:rsidP="00A84BFC">
      <w:pPr>
        <w:autoSpaceDE w:val="0"/>
        <w:autoSpaceDN w:val="0"/>
        <w:adjustRightInd w:val="0"/>
        <w:spacing w:line="400" w:lineRule="atLeast"/>
        <w:ind w:left="0" w:firstLine="0"/>
        <w:rPr>
          <w:szCs w:val="24"/>
        </w:rPr>
      </w:pPr>
      <w:r w:rsidRPr="0076565F">
        <w:rPr>
          <w:szCs w:val="24"/>
        </w:rPr>
        <w:t>*</w:t>
      </w:r>
      <w:r w:rsidRPr="0076565F">
        <w:rPr>
          <w:i/>
          <w:szCs w:val="24"/>
        </w:rPr>
        <w:t>p</w:t>
      </w:r>
      <w:r w:rsidR="00EC0E8A" w:rsidRPr="0076565F">
        <w:rPr>
          <w:szCs w:val="24"/>
        </w:rPr>
        <w:t>&lt;</w:t>
      </w:r>
      <w:r w:rsidR="00EC0E8A">
        <w:rPr>
          <w:szCs w:val="24"/>
        </w:rPr>
        <w:t>.</w:t>
      </w:r>
      <w:r w:rsidRPr="0076565F">
        <w:rPr>
          <w:szCs w:val="24"/>
        </w:rPr>
        <w:t>05</w:t>
      </w:r>
    </w:p>
    <w:p w14:paraId="14AA2216" w14:textId="77777777" w:rsidR="00F126FD" w:rsidRPr="0076565F" w:rsidRDefault="00F126FD" w:rsidP="00A84BFC">
      <w:pPr>
        <w:autoSpaceDE w:val="0"/>
        <w:autoSpaceDN w:val="0"/>
        <w:adjustRightInd w:val="0"/>
        <w:spacing w:line="400" w:lineRule="atLeast"/>
        <w:ind w:left="0" w:firstLine="0"/>
        <w:rPr>
          <w:szCs w:val="24"/>
        </w:rPr>
      </w:pPr>
    </w:p>
    <w:p w14:paraId="629F70C8" w14:textId="47EAE19D" w:rsidR="00760311" w:rsidRDefault="00FE3DFA" w:rsidP="004D51BC">
      <w:pPr>
        <w:ind w:left="0" w:firstLine="0"/>
        <w:jc w:val="both"/>
      </w:pPr>
      <w:r w:rsidRPr="0076565F">
        <w:tab/>
      </w:r>
      <w:proofErr w:type="spellStart"/>
      <w:r w:rsidR="00760311" w:rsidRPr="0076565F">
        <w:t>Varyans</w:t>
      </w:r>
      <w:proofErr w:type="spellEnd"/>
      <w:r w:rsidR="00760311" w:rsidRPr="0076565F">
        <w:t xml:space="preserve"> homojenliği için </w:t>
      </w:r>
      <w:proofErr w:type="spellStart"/>
      <w:r w:rsidR="00760311" w:rsidRPr="0076565F">
        <w:t>Levene</w:t>
      </w:r>
      <w:proofErr w:type="spellEnd"/>
      <w:r w:rsidR="00760311" w:rsidRPr="0076565F">
        <w:t xml:space="preserve"> testi kullanılmıştır. </w:t>
      </w:r>
      <w:proofErr w:type="spellStart"/>
      <w:r w:rsidR="00760311" w:rsidRPr="0076565F">
        <w:t>Levene</w:t>
      </w:r>
      <w:proofErr w:type="spellEnd"/>
      <w:r w:rsidR="00760311" w:rsidRPr="0076565F">
        <w:t xml:space="preserve"> testinde </w:t>
      </w:r>
      <w:proofErr w:type="spellStart"/>
      <w:r w:rsidR="00760311" w:rsidRPr="0076565F">
        <w:t>varyansların</w:t>
      </w:r>
      <w:proofErr w:type="spellEnd"/>
      <w:r w:rsidR="00760311" w:rsidRPr="0076565F">
        <w:t xml:space="preserve"> homojen olmadığı hipotezi yokluk hipotezinde test edildiğinden istatistiksel olarak anlamlı olmayan bir sonuç elde edilmelidir (</w:t>
      </w:r>
      <w:r w:rsidR="00760311" w:rsidRPr="0076565F">
        <w:rPr>
          <w:i/>
        </w:rPr>
        <w:t>p</w:t>
      </w:r>
      <w:r w:rsidR="00760311" w:rsidRPr="0076565F">
        <w:t>&gt;</w:t>
      </w:r>
      <w:r w:rsidR="00737584">
        <w:t>.</w:t>
      </w:r>
      <w:r w:rsidR="00760311" w:rsidRPr="0076565F">
        <w:t>05)</w:t>
      </w:r>
      <w:r w:rsidR="00812F8D" w:rsidRPr="0076565F">
        <w:t xml:space="preserve"> (</w:t>
      </w:r>
      <w:proofErr w:type="spellStart"/>
      <w:r w:rsidR="00D22115" w:rsidRPr="0076565F">
        <w:t>Pallant</w:t>
      </w:r>
      <w:proofErr w:type="spellEnd"/>
      <w:r w:rsidR="00D22115" w:rsidRPr="0076565F">
        <w:t>, 2016</w:t>
      </w:r>
      <w:r w:rsidR="00812F8D" w:rsidRPr="0076565F">
        <w:t>)</w:t>
      </w:r>
      <w:r w:rsidR="00760311" w:rsidRPr="0076565F">
        <w:t xml:space="preserve">. Yapılan analize göre </w:t>
      </w:r>
      <w:r w:rsidR="00676AA0">
        <w:t xml:space="preserve">Tablo 4’te </w:t>
      </w:r>
      <w:r w:rsidR="00812F8D" w:rsidRPr="0076565F">
        <w:t>motivasyon</w:t>
      </w:r>
      <w:r w:rsidR="001F331E" w:rsidRPr="0076565F">
        <w:t xml:space="preserve"> (öz yeterlik)</w:t>
      </w:r>
      <w:r w:rsidR="00812F8D" w:rsidRPr="0076565F">
        <w:t xml:space="preserve">, </w:t>
      </w:r>
      <w:proofErr w:type="spellStart"/>
      <w:r w:rsidR="00C611B0" w:rsidRPr="0076565F">
        <w:t>güdüsel</w:t>
      </w:r>
      <w:proofErr w:type="spellEnd"/>
      <w:r w:rsidR="00C611B0" w:rsidRPr="0076565F">
        <w:t xml:space="preserve"> stratejiler (ça</w:t>
      </w:r>
      <w:r w:rsidR="00812F8D" w:rsidRPr="0076565F">
        <w:t>ba düzenlemesi ve</w:t>
      </w:r>
      <w:r w:rsidR="00C611B0" w:rsidRPr="0076565F">
        <w:t xml:space="preserve"> </w:t>
      </w:r>
      <w:r w:rsidR="00812F8D" w:rsidRPr="0076565F">
        <w:t>biliş</w:t>
      </w:r>
      <w:r w:rsidR="00C611B0" w:rsidRPr="0076565F">
        <w:t xml:space="preserve"> üstü stratejiler)</w:t>
      </w:r>
      <w:r w:rsidR="00433456" w:rsidRPr="0076565F">
        <w:t xml:space="preserve"> ve</w:t>
      </w:r>
      <w:r w:rsidR="00C611B0" w:rsidRPr="0076565F">
        <w:t xml:space="preserve"> </w:t>
      </w:r>
      <w:r w:rsidR="00433456" w:rsidRPr="0076565F">
        <w:t xml:space="preserve">kalibrasyon </w:t>
      </w:r>
      <w:proofErr w:type="spellStart"/>
      <w:r w:rsidR="00C611B0" w:rsidRPr="0076565F">
        <w:t>varyans</w:t>
      </w:r>
      <w:proofErr w:type="spellEnd"/>
      <w:r w:rsidR="00C611B0" w:rsidRPr="0076565F">
        <w:t xml:space="preserve"> homojenliği</w:t>
      </w:r>
      <w:r w:rsidR="00812F8D" w:rsidRPr="0076565F">
        <w:t xml:space="preserve"> </w:t>
      </w:r>
      <w:proofErr w:type="spellStart"/>
      <w:r w:rsidR="00812F8D" w:rsidRPr="0076565F">
        <w:t>sayıltısını</w:t>
      </w:r>
      <w:proofErr w:type="spellEnd"/>
      <w:r w:rsidR="00C611B0" w:rsidRPr="0076565F">
        <w:t xml:space="preserve"> </w:t>
      </w:r>
      <w:r w:rsidR="00922C85" w:rsidRPr="0076565F">
        <w:t>sağlamıştır.</w:t>
      </w:r>
    </w:p>
    <w:p w14:paraId="100D3634" w14:textId="77777777" w:rsidR="004B426F" w:rsidRPr="0076565F" w:rsidRDefault="004B426F" w:rsidP="00B06811">
      <w:pPr>
        <w:ind w:left="0" w:firstLine="0"/>
        <w:jc w:val="both"/>
      </w:pPr>
    </w:p>
    <w:p w14:paraId="3EFE74FB" w14:textId="77777777" w:rsidR="00FA127C" w:rsidRPr="009D5129" w:rsidRDefault="00FA127C" w:rsidP="00FA127C">
      <w:pPr>
        <w:autoSpaceDE w:val="0"/>
        <w:autoSpaceDN w:val="0"/>
        <w:adjustRightInd w:val="0"/>
        <w:ind w:left="0" w:firstLine="0"/>
        <w:rPr>
          <w:szCs w:val="24"/>
        </w:rPr>
      </w:pPr>
      <w:r w:rsidRPr="009D5129">
        <w:rPr>
          <w:szCs w:val="24"/>
        </w:rPr>
        <w:t>Tablo 5</w:t>
      </w:r>
    </w:p>
    <w:p w14:paraId="42DA8A8A" w14:textId="77777777" w:rsidR="00FA127C" w:rsidRPr="009D5129" w:rsidRDefault="00FA127C" w:rsidP="00FA127C">
      <w:pPr>
        <w:autoSpaceDE w:val="0"/>
        <w:autoSpaceDN w:val="0"/>
        <w:adjustRightInd w:val="0"/>
        <w:ind w:left="0" w:firstLine="0"/>
        <w:rPr>
          <w:i/>
          <w:szCs w:val="24"/>
        </w:rPr>
      </w:pPr>
      <w:r w:rsidRPr="009D5129">
        <w:rPr>
          <w:i/>
          <w:szCs w:val="24"/>
        </w:rPr>
        <w:t>ANOVA Sonuçları Tablosu</w:t>
      </w:r>
    </w:p>
    <w:tbl>
      <w:tblPr>
        <w:tblW w:w="8923"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694"/>
        <w:gridCol w:w="1417"/>
        <w:gridCol w:w="1276"/>
        <w:gridCol w:w="709"/>
        <w:gridCol w:w="1134"/>
        <w:gridCol w:w="987"/>
        <w:gridCol w:w="706"/>
      </w:tblGrid>
      <w:tr w:rsidR="00FA127C" w:rsidRPr="0076565F" w14:paraId="433D23E4" w14:textId="77777777" w:rsidTr="009344C9">
        <w:trPr>
          <w:cantSplit/>
        </w:trPr>
        <w:tc>
          <w:tcPr>
            <w:tcW w:w="4111" w:type="dxa"/>
            <w:gridSpan w:val="2"/>
            <w:tcBorders>
              <w:bottom w:val="single" w:sz="4" w:space="0" w:color="auto"/>
            </w:tcBorders>
            <w:shd w:val="clear" w:color="auto" w:fill="FFFFFF"/>
          </w:tcPr>
          <w:p w14:paraId="5501A34D" w14:textId="77777777" w:rsidR="00FA127C" w:rsidRPr="0076565F" w:rsidRDefault="00FA127C" w:rsidP="009344C9">
            <w:pPr>
              <w:autoSpaceDE w:val="0"/>
              <w:autoSpaceDN w:val="0"/>
              <w:adjustRightInd w:val="0"/>
              <w:spacing w:line="240" w:lineRule="auto"/>
              <w:ind w:left="0" w:firstLine="0"/>
              <w:contextualSpacing/>
              <w:rPr>
                <w:szCs w:val="24"/>
              </w:rPr>
            </w:pPr>
          </w:p>
        </w:tc>
        <w:tc>
          <w:tcPr>
            <w:tcW w:w="1276" w:type="dxa"/>
            <w:tcBorders>
              <w:bottom w:val="single" w:sz="4" w:space="0" w:color="auto"/>
            </w:tcBorders>
            <w:shd w:val="clear" w:color="auto" w:fill="FFFFFF"/>
          </w:tcPr>
          <w:p w14:paraId="3AE2B2A4" w14:textId="77777777" w:rsidR="00FA127C" w:rsidRPr="00922C85" w:rsidRDefault="00FA127C" w:rsidP="009344C9">
            <w:pPr>
              <w:autoSpaceDE w:val="0"/>
              <w:autoSpaceDN w:val="0"/>
              <w:adjustRightInd w:val="0"/>
              <w:spacing w:line="240" w:lineRule="auto"/>
              <w:ind w:left="60" w:right="60" w:firstLine="0"/>
              <w:contextualSpacing/>
              <w:jc w:val="center"/>
              <w:rPr>
                <w:b/>
                <w:color w:val="000000"/>
                <w:szCs w:val="24"/>
              </w:rPr>
            </w:pPr>
            <w:r w:rsidRPr="00922C85">
              <w:rPr>
                <w:b/>
                <w:color w:val="000000"/>
                <w:szCs w:val="24"/>
              </w:rPr>
              <w:t>SS</w:t>
            </w:r>
          </w:p>
        </w:tc>
        <w:tc>
          <w:tcPr>
            <w:tcW w:w="709" w:type="dxa"/>
            <w:tcBorders>
              <w:bottom w:val="single" w:sz="4" w:space="0" w:color="auto"/>
            </w:tcBorders>
            <w:shd w:val="clear" w:color="auto" w:fill="FFFFFF"/>
          </w:tcPr>
          <w:p w14:paraId="25EC061C" w14:textId="77777777" w:rsidR="00FA127C" w:rsidRPr="00922C85" w:rsidRDefault="00FA127C" w:rsidP="009344C9">
            <w:pPr>
              <w:autoSpaceDE w:val="0"/>
              <w:autoSpaceDN w:val="0"/>
              <w:adjustRightInd w:val="0"/>
              <w:spacing w:line="240" w:lineRule="auto"/>
              <w:ind w:left="60" w:right="60" w:firstLine="0"/>
              <w:contextualSpacing/>
              <w:jc w:val="center"/>
              <w:rPr>
                <w:b/>
                <w:color w:val="000000"/>
                <w:szCs w:val="24"/>
              </w:rPr>
            </w:pPr>
            <w:proofErr w:type="spellStart"/>
            <w:r w:rsidRPr="00922C85">
              <w:rPr>
                <w:b/>
                <w:color w:val="000000"/>
                <w:szCs w:val="24"/>
              </w:rPr>
              <w:t>df</w:t>
            </w:r>
            <w:proofErr w:type="spellEnd"/>
          </w:p>
        </w:tc>
        <w:tc>
          <w:tcPr>
            <w:tcW w:w="1134" w:type="dxa"/>
            <w:tcBorders>
              <w:bottom w:val="single" w:sz="4" w:space="0" w:color="auto"/>
            </w:tcBorders>
            <w:shd w:val="clear" w:color="auto" w:fill="FFFFFF"/>
          </w:tcPr>
          <w:p w14:paraId="6AB3336A" w14:textId="77777777" w:rsidR="00FA127C" w:rsidRPr="00922C85" w:rsidRDefault="00FA127C" w:rsidP="009344C9">
            <w:pPr>
              <w:autoSpaceDE w:val="0"/>
              <w:autoSpaceDN w:val="0"/>
              <w:adjustRightInd w:val="0"/>
              <w:spacing w:line="240" w:lineRule="auto"/>
              <w:ind w:left="60" w:right="60" w:firstLine="0"/>
              <w:contextualSpacing/>
              <w:jc w:val="center"/>
              <w:rPr>
                <w:b/>
                <w:color w:val="000000"/>
                <w:szCs w:val="24"/>
              </w:rPr>
            </w:pPr>
            <w:r w:rsidRPr="00922C85">
              <w:rPr>
                <w:b/>
                <w:color w:val="000000"/>
                <w:szCs w:val="24"/>
              </w:rPr>
              <w:t>MS</w:t>
            </w:r>
          </w:p>
        </w:tc>
        <w:tc>
          <w:tcPr>
            <w:tcW w:w="987" w:type="dxa"/>
            <w:tcBorders>
              <w:bottom w:val="single" w:sz="4" w:space="0" w:color="auto"/>
            </w:tcBorders>
            <w:shd w:val="clear" w:color="auto" w:fill="FFFFFF"/>
          </w:tcPr>
          <w:p w14:paraId="77C86224" w14:textId="77777777" w:rsidR="00FA127C" w:rsidRPr="00922C85" w:rsidRDefault="00FA127C" w:rsidP="009344C9">
            <w:pPr>
              <w:autoSpaceDE w:val="0"/>
              <w:autoSpaceDN w:val="0"/>
              <w:adjustRightInd w:val="0"/>
              <w:spacing w:line="240" w:lineRule="auto"/>
              <w:ind w:left="60" w:right="60" w:firstLine="0"/>
              <w:contextualSpacing/>
              <w:jc w:val="center"/>
              <w:rPr>
                <w:b/>
                <w:color w:val="000000"/>
                <w:szCs w:val="24"/>
              </w:rPr>
            </w:pPr>
            <w:r w:rsidRPr="00922C85">
              <w:rPr>
                <w:b/>
                <w:color w:val="000000"/>
                <w:szCs w:val="24"/>
              </w:rPr>
              <w:t>F</w:t>
            </w:r>
          </w:p>
        </w:tc>
        <w:tc>
          <w:tcPr>
            <w:tcW w:w="706" w:type="dxa"/>
            <w:tcBorders>
              <w:bottom w:val="single" w:sz="4" w:space="0" w:color="auto"/>
            </w:tcBorders>
            <w:shd w:val="clear" w:color="auto" w:fill="FFFFFF"/>
          </w:tcPr>
          <w:p w14:paraId="5D69E9D9" w14:textId="7363610D" w:rsidR="00FA127C" w:rsidRPr="00922C85" w:rsidRDefault="00FA127C" w:rsidP="009344C9">
            <w:pPr>
              <w:autoSpaceDE w:val="0"/>
              <w:autoSpaceDN w:val="0"/>
              <w:adjustRightInd w:val="0"/>
              <w:spacing w:line="240" w:lineRule="auto"/>
              <w:ind w:left="60" w:right="60" w:firstLine="0"/>
              <w:contextualSpacing/>
              <w:jc w:val="center"/>
              <w:rPr>
                <w:b/>
                <w:color w:val="000000"/>
                <w:szCs w:val="24"/>
              </w:rPr>
            </w:pPr>
            <w:proofErr w:type="gramStart"/>
            <w:r w:rsidRPr="00922C85">
              <w:rPr>
                <w:b/>
                <w:i/>
                <w:color w:val="000000"/>
                <w:szCs w:val="24"/>
              </w:rPr>
              <w:t>p</w:t>
            </w:r>
            <w:proofErr w:type="gramEnd"/>
          </w:p>
        </w:tc>
      </w:tr>
      <w:tr w:rsidR="00FA127C" w:rsidRPr="0076565F" w14:paraId="14E685C6" w14:textId="77777777" w:rsidTr="009344C9">
        <w:trPr>
          <w:cantSplit/>
        </w:trPr>
        <w:tc>
          <w:tcPr>
            <w:tcW w:w="2694" w:type="dxa"/>
            <w:vMerge w:val="restart"/>
            <w:tcBorders>
              <w:left w:val="nil"/>
              <w:bottom w:val="nil"/>
              <w:right w:val="nil"/>
            </w:tcBorders>
            <w:shd w:val="clear" w:color="auto" w:fill="FFFFFF"/>
            <w:vAlign w:val="center"/>
          </w:tcPr>
          <w:p w14:paraId="1B96B78C" w14:textId="77777777" w:rsidR="00FA127C" w:rsidRPr="0076565F" w:rsidRDefault="00FA127C" w:rsidP="009344C9">
            <w:pPr>
              <w:spacing w:line="240" w:lineRule="auto"/>
              <w:ind w:left="0" w:firstLine="0"/>
              <w:contextualSpacing/>
              <w:rPr>
                <w:b/>
                <w:szCs w:val="24"/>
              </w:rPr>
            </w:pPr>
            <w:r w:rsidRPr="0076565F">
              <w:rPr>
                <w:b/>
                <w:szCs w:val="24"/>
              </w:rPr>
              <w:t>Kalibrasyon</w:t>
            </w:r>
          </w:p>
        </w:tc>
        <w:tc>
          <w:tcPr>
            <w:tcW w:w="1417" w:type="dxa"/>
            <w:tcBorders>
              <w:left w:val="nil"/>
              <w:bottom w:val="nil"/>
              <w:right w:val="nil"/>
            </w:tcBorders>
            <w:shd w:val="clear" w:color="auto" w:fill="FFFFFF"/>
            <w:vAlign w:val="center"/>
          </w:tcPr>
          <w:p w14:paraId="000C47E9" w14:textId="77777777" w:rsidR="00FA127C" w:rsidRPr="0076565F" w:rsidRDefault="00FA127C" w:rsidP="009344C9">
            <w:pPr>
              <w:autoSpaceDE w:val="0"/>
              <w:autoSpaceDN w:val="0"/>
              <w:adjustRightInd w:val="0"/>
              <w:spacing w:line="240" w:lineRule="auto"/>
              <w:ind w:left="60" w:right="60" w:firstLine="0"/>
              <w:contextualSpacing/>
              <w:rPr>
                <w:color w:val="000000"/>
                <w:szCs w:val="24"/>
              </w:rPr>
            </w:pPr>
            <w:r w:rsidRPr="0076565F">
              <w:rPr>
                <w:color w:val="000000"/>
                <w:szCs w:val="24"/>
              </w:rPr>
              <w:t>Gruplar arası</w:t>
            </w:r>
          </w:p>
        </w:tc>
        <w:tc>
          <w:tcPr>
            <w:tcW w:w="1276" w:type="dxa"/>
            <w:tcBorders>
              <w:left w:val="nil"/>
              <w:bottom w:val="nil"/>
              <w:right w:val="nil"/>
            </w:tcBorders>
            <w:shd w:val="clear" w:color="auto" w:fill="FFFFFF"/>
          </w:tcPr>
          <w:p w14:paraId="722F6525"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2998</w:t>
            </w:r>
            <w:r>
              <w:rPr>
                <w:color w:val="000000"/>
                <w:szCs w:val="24"/>
              </w:rPr>
              <w:t>.</w:t>
            </w:r>
            <w:r w:rsidRPr="0076565F">
              <w:rPr>
                <w:color w:val="000000"/>
                <w:szCs w:val="24"/>
              </w:rPr>
              <w:t>26</w:t>
            </w:r>
          </w:p>
        </w:tc>
        <w:tc>
          <w:tcPr>
            <w:tcW w:w="709" w:type="dxa"/>
            <w:tcBorders>
              <w:left w:val="nil"/>
              <w:bottom w:val="nil"/>
              <w:right w:val="nil"/>
            </w:tcBorders>
            <w:shd w:val="clear" w:color="auto" w:fill="FFFFFF"/>
          </w:tcPr>
          <w:p w14:paraId="1F4842CB"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2</w:t>
            </w:r>
          </w:p>
        </w:tc>
        <w:tc>
          <w:tcPr>
            <w:tcW w:w="1134" w:type="dxa"/>
            <w:tcBorders>
              <w:left w:val="nil"/>
              <w:bottom w:val="nil"/>
              <w:right w:val="nil"/>
            </w:tcBorders>
            <w:shd w:val="clear" w:color="auto" w:fill="FFFFFF"/>
          </w:tcPr>
          <w:p w14:paraId="32371AB9"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1499</w:t>
            </w:r>
            <w:r>
              <w:rPr>
                <w:color w:val="000000"/>
                <w:szCs w:val="24"/>
              </w:rPr>
              <w:t>.</w:t>
            </w:r>
            <w:r w:rsidRPr="0076565F">
              <w:rPr>
                <w:color w:val="000000"/>
                <w:szCs w:val="24"/>
              </w:rPr>
              <w:t>13</w:t>
            </w:r>
          </w:p>
        </w:tc>
        <w:tc>
          <w:tcPr>
            <w:tcW w:w="987" w:type="dxa"/>
            <w:tcBorders>
              <w:left w:val="nil"/>
              <w:bottom w:val="nil"/>
              <w:right w:val="nil"/>
            </w:tcBorders>
            <w:shd w:val="clear" w:color="auto" w:fill="FFFFFF"/>
          </w:tcPr>
          <w:p w14:paraId="0708EECC"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17</w:t>
            </w:r>
            <w:r>
              <w:rPr>
                <w:color w:val="000000"/>
                <w:szCs w:val="24"/>
              </w:rPr>
              <w:t>.</w:t>
            </w:r>
            <w:r w:rsidRPr="0076565F">
              <w:rPr>
                <w:color w:val="000000"/>
                <w:szCs w:val="24"/>
              </w:rPr>
              <w:t>45</w:t>
            </w:r>
          </w:p>
        </w:tc>
        <w:tc>
          <w:tcPr>
            <w:tcW w:w="706" w:type="dxa"/>
            <w:tcBorders>
              <w:left w:val="nil"/>
              <w:bottom w:val="nil"/>
            </w:tcBorders>
            <w:shd w:val="clear" w:color="auto" w:fill="FFFFFF"/>
          </w:tcPr>
          <w:p w14:paraId="7CBDB570" w14:textId="0BD4646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Pr>
                <w:color w:val="000000"/>
                <w:szCs w:val="24"/>
              </w:rPr>
              <w:t>.</w:t>
            </w:r>
            <w:r w:rsidRPr="0076565F">
              <w:rPr>
                <w:color w:val="000000"/>
                <w:szCs w:val="24"/>
              </w:rPr>
              <w:t>00</w:t>
            </w:r>
            <w:r w:rsidR="007A0AE5">
              <w:rPr>
                <w:color w:val="000000"/>
                <w:szCs w:val="24"/>
              </w:rPr>
              <w:t>*</w:t>
            </w:r>
          </w:p>
        </w:tc>
      </w:tr>
      <w:tr w:rsidR="00FA127C" w:rsidRPr="0076565F" w14:paraId="67AE7DEF" w14:textId="77777777" w:rsidTr="009344C9">
        <w:trPr>
          <w:cantSplit/>
        </w:trPr>
        <w:tc>
          <w:tcPr>
            <w:tcW w:w="2694" w:type="dxa"/>
            <w:vMerge/>
            <w:tcBorders>
              <w:top w:val="single" w:sz="4" w:space="0" w:color="auto"/>
              <w:left w:val="nil"/>
              <w:bottom w:val="nil"/>
              <w:right w:val="nil"/>
            </w:tcBorders>
            <w:shd w:val="clear" w:color="auto" w:fill="FFFFFF"/>
            <w:vAlign w:val="center"/>
          </w:tcPr>
          <w:p w14:paraId="6AA6A89C" w14:textId="77777777" w:rsidR="00FA127C" w:rsidRPr="0076565F" w:rsidRDefault="00FA127C" w:rsidP="009344C9">
            <w:pPr>
              <w:autoSpaceDE w:val="0"/>
              <w:autoSpaceDN w:val="0"/>
              <w:adjustRightInd w:val="0"/>
              <w:spacing w:line="240" w:lineRule="auto"/>
              <w:ind w:left="0" w:firstLine="0"/>
              <w:contextualSpacing/>
              <w:rPr>
                <w:color w:val="000000"/>
                <w:szCs w:val="24"/>
              </w:rPr>
            </w:pPr>
          </w:p>
        </w:tc>
        <w:tc>
          <w:tcPr>
            <w:tcW w:w="1417" w:type="dxa"/>
            <w:tcBorders>
              <w:top w:val="nil"/>
              <w:left w:val="nil"/>
              <w:bottom w:val="nil"/>
              <w:right w:val="nil"/>
            </w:tcBorders>
            <w:shd w:val="clear" w:color="auto" w:fill="FFFFFF"/>
            <w:vAlign w:val="center"/>
          </w:tcPr>
          <w:p w14:paraId="169F64E8" w14:textId="77777777" w:rsidR="00FA127C" w:rsidRPr="0076565F" w:rsidRDefault="00FA127C" w:rsidP="009344C9">
            <w:pPr>
              <w:autoSpaceDE w:val="0"/>
              <w:autoSpaceDN w:val="0"/>
              <w:adjustRightInd w:val="0"/>
              <w:spacing w:line="240" w:lineRule="auto"/>
              <w:ind w:left="60" w:right="60" w:firstLine="0"/>
              <w:contextualSpacing/>
              <w:rPr>
                <w:color w:val="000000"/>
                <w:szCs w:val="24"/>
              </w:rPr>
            </w:pPr>
            <w:r w:rsidRPr="0076565F">
              <w:rPr>
                <w:color w:val="000000"/>
                <w:szCs w:val="24"/>
              </w:rPr>
              <w:t>Grup içi</w:t>
            </w:r>
          </w:p>
        </w:tc>
        <w:tc>
          <w:tcPr>
            <w:tcW w:w="1276" w:type="dxa"/>
            <w:tcBorders>
              <w:top w:val="nil"/>
              <w:left w:val="nil"/>
              <w:bottom w:val="nil"/>
              <w:right w:val="nil"/>
            </w:tcBorders>
            <w:shd w:val="clear" w:color="auto" w:fill="FFFFFF"/>
          </w:tcPr>
          <w:p w14:paraId="7BEED1E6"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6271</w:t>
            </w:r>
            <w:r>
              <w:rPr>
                <w:color w:val="000000"/>
                <w:szCs w:val="24"/>
              </w:rPr>
              <w:t>.</w:t>
            </w:r>
            <w:r w:rsidRPr="0076565F">
              <w:rPr>
                <w:color w:val="000000"/>
                <w:szCs w:val="24"/>
              </w:rPr>
              <w:t>85</w:t>
            </w:r>
          </w:p>
        </w:tc>
        <w:tc>
          <w:tcPr>
            <w:tcW w:w="709" w:type="dxa"/>
            <w:tcBorders>
              <w:top w:val="nil"/>
              <w:left w:val="nil"/>
              <w:bottom w:val="nil"/>
              <w:right w:val="nil"/>
            </w:tcBorders>
            <w:shd w:val="clear" w:color="auto" w:fill="FFFFFF"/>
          </w:tcPr>
          <w:p w14:paraId="13F7588C"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73</w:t>
            </w:r>
          </w:p>
        </w:tc>
        <w:tc>
          <w:tcPr>
            <w:tcW w:w="1134" w:type="dxa"/>
            <w:tcBorders>
              <w:top w:val="nil"/>
              <w:left w:val="nil"/>
              <w:bottom w:val="nil"/>
              <w:right w:val="nil"/>
            </w:tcBorders>
            <w:shd w:val="clear" w:color="auto" w:fill="FFFFFF"/>
          </w:tcPr>
          <w:p w14:paraId="130CAD3B"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85</w:t>
            </w:r>
            <w:r>
              <w:rPr>
                <w:color w:val="000000"/>
                <w:szCs w:val="24"/>
              </w:rPr>
              <w:t>.</w:t>
            </w:r>
            <w:r w:rsidRPr="0076565F">
              <w:rPr>
                <w:color w:val="000000"/>
                <w:szCs w:val="24"/>
              </w:rPr>
              <w:t>92</w:t>
            </w:r>
          </w:p>
        </w:tc>
        <w:tc>
          <w:tcPr>
            <w:tcW w:w="987" w:type="dxa"/>
            <w:tcBorders>
              <w:top w:val="nil"/>
              <w:left w:val="nil"/>
              <w:bottom w:val="nil"/>
              <w:right w:val="nil"/>
            </w:tcBorders>
            <w:shd w:val="clear" w:color="auto" w:fill="FFFFFF"/>
          </w:tcPr>
          <w:p w14:paraId="685E7704"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c>
          <w:tcPr>
            <w:tcW w:w="706" w:type="dxa"/>
            <w:tcBorders>
              <w:top w:val="nil"/>
              <w:left w:val="nil"/>
              <w:bottom w:val="nil"/>
            </w:tcBorders>
            <w:shd w:val="clear" w:color="auto" w:fill="FFFFFF"/>
          </w:tcPr>
          <w:p w14:paraId="0B08B258"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r>
      <w:tr w:rsidR="00FA127C" w:rsidRPr="0076565F" w14:paraId="31AE190C" w14:textId="77777777" w:rsidTr="009344C9">
        <w:trPr>
          <w:cantSplit/>
        </w:trPr>
        <w:tc>
          <w:tcPr>
            <w:tcW w:w="2694" w:type="dxa"/>
            <w:vMerge/>
            <w:tcBorders>
              <w:top w:val="single" w:sz="4" w:space="0" w:color="auto"/>
              <w:left w:val="nil"/>
              <w:bottom w:val="nil"/>
              <w:right w:val="nil"/>
            </w:tcBorders>
            <w:shd w:val="clear" w:color="auto" w:fill="FFFFFF"/>
            <w:vAlign w:val="center"/>
          </w:tcPr>
          <w:p w14:paraId="2C221ADC" w14:textId="77777777" w:rsidR="00FA127C" w:rsidRPr="0076565F" w:rsidRDefault="00FA127C" w:rsidP="009344C9">
            <w:pPr>
              <w:autoSpaceDE w:val="0"/>
              <w:autoSpaceDN w:val="0"/>
              <w:adjustRightInd w:val="0"/>
              <w:spacing w:line="240" w:lineRule="auto"/>
              <w:ind w:left="0" w:firstLine="0"/>
              <w:contextualSpacing/>
              <w:rPr>
                <w:szCs w:val="24"/>
              </w:rPr>
            </w:pPr>
          </w:p>
        </w:tc>
        <w:tc>
          <w:tcPr>
            <w:tcW w:w="1417" w:type="dxa"/>
            <w:tcBorders>
              <w:top w:val="nil"/>
              <w:left w:val="nil"/>
              <w:bottom w:val="nil"/>
              <w:right w:val="nil"/>
            </w:tcBorders>
            <w:shd w:val="clear" w:color="auto" w:fill="FFFFFF"/>
            <w:vAlign w:val="center"/>
          </w:tcPr>
          <w:p w14:paraId="336D2604" w14:textId="77777777" w:rsidR="00FA127C" w:rsidRPr="0076565F" w:rsidRDefault="00FA127C" w:rsidP="009344C9">
            <w:pPr>
              <w:autoSpaceDE w:val="0"/>
              <w:autoSpaceDN w:val="0"/>
              <w:adjustRightInd w:val="0"/>
              <w:spacing w:line="240" w:lineRule="auto"/>
              <w:ind w:left="60" w:right="60" w:firstLine="0"/>
              <w:contextualSpacing/>
              <w:rPr>
                <w:color w:val="000000"/>
                <w:szCs w:val="24"/>
              </w:rPr>
            </w:pPr>
            <w:r w:rsidRPr="0076565F">
              <w:rPr>
                <w:color w:val="000000"/>
                <w:szCs w:val="24"/>
              </w:rPr>
              <w:t>Toplam</w:t>
            </w:r>
          </w:p>
        </w:tc>
        <w:tc>
          <w:tcPr>
            <w:tcW w:w="1276" w:type="dxa"/>
            <w:tcBorders>
              <w:top w:val="nil"/>
              <w:left w:val="nil"/>
              <w:bottom w:val="nil"/>
              <w:right w:val="nil"/>
            </w:tcBorders>
            <w:shd w:val="clear" w:color="auto" w:fill="FFFFFF"/>
          </w:tcPr>
          <w:p w14:paraId="7D5834DA"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9270</w:t>
            </w:r>
            <w:r>
              <w:rPr>
                <w:color w:val="000000"/>
                <w:szCs w:val="24"/>
              </w:rPr>
              <w:t>.</w:t>
            </w:r>
            <w:r w:rsidRPr="0076565F">
              <w:rPr>
                <w:color w:val="000000"/>
                <w:szCs w:val="24"/>
              </w:rPr>
              <w:t>11</w:t>
            </w:r>
          </w:p>
        </w:tc>
        <w:tc>
          <w:tcPr>
            <w:tcW w:w="709" w:type="dxa"/>
            <w:tcBorders>
              <w:top w:val="nil"/>
              <w:left w:val="nil"/>
              <w:bottom w:val="nil"/>
              <w:right w:val="nil"/>
            </w:tcBorders>
            <w:shd w:val="clear" w:color="auto" w:fill="FFFFFF"/>
          </w:tcPr>
          <w:p w14:paraId="3BF08163"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75</w:t>
            </w:r>
          </w:p>
        </w:tc>
        <w:tc>
          <w:tcPr>
            <w:tcW w:w="1134" w:type="dxa"/>
            <w:tcBorders>
              <w:top w:val="nil"/>
              <w:left w:val="nil"/>
              <w:bottom w:val="nil"/>
              <w:right w:val="nil"/>
            </w:tcBorders>
            <w:shd w:val="clear" w:color="auto" w:fill="FFFFFF"/>
          </w:tcPr>
          <w:p w14:paraId="14A085EA"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c>
          <w:tcPr>
            <w:tcW w:w="987" w:type="dxa"/>
            <w:tcBorders>
              <w:top w:val="nil"/>
              <w:left w:val="nil"/>
              <w:bottom w:val="nil"/>
              <w:right w:val="nil"/>
            </w:tcBorders>
            <w:shd w:val="clear" w:color="auto" w:fill="FFFFFF"/>
          </w:tcPr>
          <w:p w14:paraId="6D3E1867"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c>
          <w:tcPr>
            <w:tcW w:w="706" w:type="dxa"/>
            <w:tcBorders>
              <w:top w:val="nil"/>
              <w:left w:val="nil"/>
              <w:bottom w:val="nil"/>
            </w:tcBorders>
            <w:shd w:val="clear" w:color="auto" w:fill="FFFFFF"/>
          </w:tcPr>
          <w:p w14:paraId="023B22AE"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r>
      <w:tr w:rsidR="00FA127C" w:rsidRPr="0076565F" w14:paraId="3AFD38F7" w14:textId="77777777" w:rsidTr="009344C9">
        <w:trPr>
          <w:cantSplit/>
        </w:trPr>
        <w:tc>
          <w:tcPr>
            <w:tcW w:w="2694" w:type="dxa"/>
            <w:vMerge w:val="restart"/>
            <w:tcBorders>
              <w:top w:val="nil"/>
              <w:left w:val="nil"/>
              <w:bottom w:val="nil"/>
              <w:right w:val="nil"/>
            </w:tcBorders>
            <w:shd w:val="clear" w:color="auto" w:fill="FFFFFF"/>
            <w:vAlign w:val="center"/>
          </w:tcPr>
          <w:p w14:paraId="7F039ECD" w14:textId="77777777" w:rsidR="00FA127C" w:rsidRPr="0076565F" w:rsidRDefault="00FA127C" w:rsidP="009344C9">
            <w:pPr>
              <w:spacing w:line="240" w:lineRule="auto"/>
              <w:ind w:left="0" w:firstLine="0"/>
              <w:contextualSpacing/>
              <w:rPr>
                <w:b/>
                <w:szCs w:val="24"/>
              </w:rPr>
            </w:pPr>
            <w:r w:rsidRPr="0076565F">
              <w:rPr>
                <w:b/>
                <w:szCs w:val="24"/>
              </w:rPr>
              <w:t>Çaba düzenlemesi</w:t>
            </w:r>
          </w:p>
        </w:tc>
        <w:tc>
          <w:tcPr>
            <w:tcW w:w="1417" w:type="dxa"/>
            <w:tcBorders>
              <w:top w:val="nil"/>
              <w:left w:val="nil"/>
              <w:bottom w:val="nil"/>
              <w:right w:val="nil"/>
            </w:tcBorders>
            <w:shd w:val="clear" w:color="auto" w:fill="FFFFFF"/>
            <w:vAlign w:val="center"/>
          </w:tcPr>
          <w:p w14:paraId="48F00D37" w14:textId="77777777" w:rsidR="00FA127C" w:rsidRPr="0076565F" w:rsidRDefault="00FA127C" w:rsidP="009344C9">
            <w:pPr>
              <w:autoSpaceDE w:val="0"/>
              <w:autoSpaceDN w:val="0"/>
              <w:adjustRightInd w:val="0"/>
              <w:spacing w:line="240" w:lineRule="auto"/>
              <w:ind w:left="60" w:right="60" w:firstLine="0"/>
              <w:contextualSpacing/>
              <w:rPr>
                <w:color w:val="000000"/>
                <w:szCs w:val="24"/>
              </w:rPr>
            </w:pPr>
            <w:r w:rsidRPr="0076565F">
              <w:rPr>
                <w:color w:val="000000"/>
                <w:szCs w:val="24"/>
              </w:rPr>
              <w:t>Gruplar arası</w:t>
            </w:r>
          </w:p>
        </w:tc>
        <w:tc>
          <w:tcPr>
            <w:tcW w:w="1276" w:type="dxa"/>
            <w:tcBorders>
              <w:top w:val="nil"/>
              <w:left w:val="nil"/>
              <w:bottom w:val="nil"/>
              <w:right w:val="nil"/>
            </w:tcBorders>
            <w:shd w:val="clear" w:color="auto" w:fill="FFFFFF"/>
          </w:tcPr>
          <w:p w14:paraId="3C37E2CE"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15</w:t>
            </w:r>
            <w:r>
              <w:rPr>
                <w:color w:val="000000"/>
                <w:szCs w:val="24"/>
              </w:rPr>
              <w:t>.</w:t>
            </w:r>
            <w:r w:rsidRPr="0076565F">
              <w:rPr>
                <w:color w:val="000000"/>
                <w:szCs w:val="24"/>
              </w:rPr>
              <w:t>62</w:t>
            </w:r>
          </w:p>
        </w:tc>
        <w:tc>
          <w:tcPr>
            <w:tcW w:w="709" w:type="dxa"/>
            <w:tcBorders>
              <w:top w:val="nil"/>
              <w:left w:val="nil"/>
              <w:bottom w:val="nil"/>
              <w:right w:val="nil"/>
            </w:tcBorders>
            <w:shd w:val="clear" w:color="auto" w:fill="FFFFFF"/>
          </w:tcPr>
          <w:p w14:paraId="4704BAEC"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2</w:t>
            </w:r>
          </w:p>
        </w:tc>
        <w:tc>
          <w:tcPr>
            <w:tcW w:w="1134" w:type="dxa"/>
            <w:tcBorders>
              <w:top w:val="nil"/>
              <w:left w:val="nil"/>
              <w:bottom w:val="nil"/>
              <w:right w:val="nil"/>
            </w:tcBorders>
            <w:shd w:val="clear" w:color="auto" w:fill="FFFFFF"/>
          </w:tcPr>
          <w:p w14:paraId="1B83D185"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7</w:t>
            </w:r>
            <w:r>
              <w:rPr>
                <w:color w:val="000000"/>
                <w:szCs w:val="24"/>
              </w:rPr>
              <w:t>.</w:t>
            </w:r>
            <w:r w:rsidRPr="0076565F">
              <w:rPr>
                <w:color w:val="000000"/>
                <w:szCs w:val="24"/>
              </w:rPr>
              <w:t>81</w:t>
            </w:r>
          </w:p>
        </w:tc>
        <w:tc>
          <w:tcPr>
            <w:tcW w:w="987" w:type="dxa"/>
            <w:tcBorders>
              <w:top w:val="nil"/>
              <w:left w:val="nil"/>
              <w:bottom w:val="nil"/>
              <w:right w:val="nil"/>
            </w:tcBorders>
            <w:shd w:val="clear" w:color="auto" w:fill="FFFFFF"/>
          </w:tcPr>
          <w:p w14:paraId="2B09905E"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6</w:t>
            </w:r>
            <w:r>
              <w:rPr>
                <w:color w:val="000000"/>
                <w:szCs w:val="24"/>
              </w:rPr>
              <w:t>.</w:t>
            </w:r>
            <w:r w:rsidRPr="0076565F">
              <w:rPr>
                <w:color w:val="000000"/>
                <w:szCs w:val="24"/>
              </w:rPr>
              <w:t>36</w:t>
            </w:r>
          </w:p>
        </w:tc>
        <w:tc>
          <w:tcPr>
            <w:tcW w:w="706" w:type="dxa"/>
            <w:tcBorders>
              <w:top w:val="nil"/>
              <w:left w:val="nil"/>
              <w:bottom w:val="nil"/>
            </w:tcBorders>
            <w:shd w:val="clear" w:color="auto" w:fill="FFFFFF"/>
          </w:tcPr>
          <w:p w14:paraId="28F430B4" w14:textId="6E1C8581"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Pr>
                <w:color w:val="000000"/>
                <w:szCs w:val="24"/>
              </w:rPr>
              <w:t>.</w:t>
            </w:r>
            <w:r w:rsidRPr="0076565F">
              <w:rPr>
                <w:color w:val="000000"/>
                <w:szCs w:val="24"/>
              </w:rPr>
              <w:t>00</w:t>
            </w:r>
            <w:r w:rsidR="007A0AE5">
              <w:rPr>
                <w:color w:val="000000"/>
                <w:szCs w:val="24"/>
              </w:rPr>
              <w:t>*</w:t>
            </w:r>
          </w:p>
        </w:tc>
      </w:tr>
      <w:tr w:rsidR="00FA127C" w:rsidRPr="0076565F" w14:paraId="3978B199" w14:textId="77777777" w:rsidTr="009344C9">
        <w:trPr>
          <w:cantSplit/>
        </w:trPr>
        <w:tc>
          <w:tcPr>
            <w:tcW w:w="2694" w:type="dxa"/>
            <w:vMerge/>
            <w:tcBorders>
              <w:top w:val="single" w:sz="4" w:space="0" w:color="auto"/>
              <w:left w:val="nil"/>
              <w:bottom w:val="nil"/>
              <w:right w:val="nil"/>
            </w:tcBorders>
            <w:shd w:val="clear" w:color="auto" w:fill="FFFFFF"/>
            <w:vAlign w:val="center"/>
          </w:tcPr>
          <w:p w14:paraId="1F7F31D3" w14:textId="77777777" w:rsidR="00FA127C" w:rsidRPr="0076565F" w:rsidRDefault="00FA127C" w:rsidP="009344C9">
            <w:pPr>
              <w:autoSpaceDE w:val="0"/>
              <w:autoSpaceDN w:val="0"/>
              <w:adjustRightInd w:val="0"/>
              <w:spacing w:line="240" w:lineRule="auto"/>
              <w:ind w:left="0" w:firstLine="0"/>
              <w:contextualSpacing/>
              <w:rPr>
                <w:color w:val="000000"/>
                <w:szCs w:val="24"/>
              </w:rPr>
            </w:pPr>
          </w:p>
        </w:tc>
        <w:tc>
          <w:tcPr>
            <w:tcW w:w="1417" w:type="dxa"/>
            <w:tcBorders>
              <w:top w:val="nil"/>
              <w:left w:val="nil"/>
              <w:bottom w:val="nil"/>
              <w:right w:val="nil"/>
            </w:tcBorders>
            <w:shd w:val="clear" w:color="auto" w:fill="FFFFFF"/>
            <w:vAlign w:val="center"/>
          </w:tcPr>
          <w:p w14:paraId="6DA73A2D" w14:textId="77777777" w:rsidR="00FA127C" w:rsidRPr="0076565F" w:rsidRDefault="00FA127C" w:rsidP="009344C9">
            <w:pPr>
              <w:autoSpaceDE w:val="0"/>
              <w:autoSpaceDN w:val="0"/>
              <w:adjustRightInd w:val="0"/>
              <w:spacing w:line="240" w:lineRule="auto"/>
              <w:ind w:left="60" w:right="60" w:firstLine="0"/>
              <w:contextualSpacing/>
              <w:rPr>
                <w:color w:val="000000"/>
                <w:szCs w:val="24"/>
              </w:rPr>
            </w:pPr>
            <w:r w:rsidRPr="0076565F">
              <w:rPr>
                <w:color w:val="000000"/>
                <w:szCs w:val="24"/>
              </w:rPr>
              <w:t>Grup içi</w:t>
            </w:r>
          </w:p>
        </w:tc>
        <w:tc>
          <w:tcPr>
            <w:tcW w:w="1276" w:type="dxa"/>
            <w:tcBorders>
              <w:top w:val="nil"/>
              <w:left w:val="nil"/>
              <w:bottom w:val="nil"/>
              <w:right w:val="nil"/>
            </w:tcBorders>
            <w:shd w:val="clear" w:color="auto" w:fill="FFFFFF"/>
          </w:tcPr>
          <w:p w14:paraId="436FB7F9"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89</w:t>
            </w:r>
            <w:r>
              <w:rPr>
                <w:color w:val="000000"/>
                <w:szCs w:val="24"/>
              </w:rPr>
              <w:t>.</w:t>
            </w:r>
            <w:r w:rsidRPr="0076565F">
              <w:rPr>
                <w:color w:val="000000"/>
                <w:szCs w:val="24"/>
              </w:rPr>
              <w:t>62</w:t>
            </w:r>
          </w:p>
        </w:tc>
        <w:tc>
          <w:tcPr>
            <w:tcW w:w="709" w:type="dxa"/>
            <w:tcBorders>
              <w:top w:val="nil"/>
              <w:left w:val="nil"/>
              <w:bottom w:val="nil"/>
              <w:right w:val="nil"/>
            </w:tcBorders>
            <w:shd w:val="clear" w:color="auto" w:fill="FFFFFF"/>
          </w:tcPr>
          <w:p w14:paraId="2FF1AD64"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73</w:t>
            </w:r>
          </w:p>
        </w:tc>
        <w:tc>
          <w:tcPr>
            <w:tcW w:w="1134" w:type="dxa"/>
            <w:tcBorders>
              <w:top w:val="nil"/>
              <w:left w:val="nil"/>
              <w:bottom w:val="nil"/>
              <w:right w:val="nil"/>
            </w:tcBorders>
            <w:shd w:val="clear" w:color="auto" w:fill="FFFFFF"/>
          </w:tcPr>
          <w:p w14:paraId="65959850"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1</w:t>
            </w:r>
            <w:r>
              <w:rPr>
                <w:color w:val="000000"/>
                <w:szCs w:val="24"/>
              </w:rPr>
              <w:t>.</w:t>
            </w:r>
            <w:r w:rsidRPr="0076565F">
              <w:rPr>
                <w:color w:val="000000"/>
                <w:szCs w:val="24"/>
              </w:rPr>
              <w:t>23</w:t>
            </w:r>
          </w:p>
        </w:tc>
        <w:tc>
          <w:tcPr>
            <w:tcW w:w="987" w:type="dxa"/>
            <w:tcBorders>
              <w:top w:val="nil"/>
              <w:left w:val="nil"/>
              <w:bottom w:val="nil"/>
              <w:right w:val="nil"/>
            </w:tcBorders>
            <w:shd w:val="clear" w:color="auto" w:fill="FFFFFF"/>
          </w:tcPr>
          <w:p w14:paraId="37011DBD"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c>
          <w:tcPr>
            <w:tcW w:w="706" w:type="dxa"/>
            <w:tcBorders>
              <w:top w:val="nil"/>
              <w:left w:val="nil"/>
              <w:bottom w:val="nil"/>
            </w:tcBorders>
            <w:shd w:val="clear" w:color="auto" w:fill="FFFFFF"/>
          </w:tcPr>
          <w:p w14:paraId="40DEABFC"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r>
      <w:tr w:rsidR="00FA127C" w:rsidRPr="0076565F" w14:paraId="15A35795" w14:textId="77777777" w:rsidTr="009344C9">
        <w:trPr>
          <w:cantSplit/>
        </w:trPr>
        <w:tc>
          <w:tcPr>
            <w:tcW w:w="2694" w:type="dxa"/>
            <w:vMerge/>
            <w:tcBorders>
              <w:top w:val="single" w:sz="4" w:space="0" w:color="auto"/>
              <w:left w:val="nil"/>
              <w:bottom w:val="nil"/>
              <w:right w:val="nil"/>
            </w:tcBorders>
            <w:shd w:val="clear" w:color="auto" w:fill="FFFFFF"/>
            <w:vAlign w:val="center"/>
          </w:tcPr>
          <w:p w14:paraId="66420642" w14:textId="77777777" w:rsidR="00FA127C" w:rsidRPr="0076565F" w:rsidRDefault="00FA127C" w:rsidP="009344C9">
            <w:pPr>
              <w:autoSpaceDE w:val="0"/>
              <w:autoSpaceDN w:val="0"/>
              <w:adjustRightInd w:val="0"/>
              <w:spacing w:line="240" w:lineRule="auto"/>
              <w:ind w:left="0" w:firstLine="0"/>
              <w:contextualSpacing/>
              <w:rPr>
                <w:szCs w:val="24"/>
              </w:rPr>
            </w:pPr>
          </w:p>
        </w:tc>
        <w:tc>
          <w:tcPr>
            <w:tcW w:w="1417" w:type="dxa"/>
            <w:tcBorders>
              <w:top w:val="nil"/>
              <w:left w:val="nil"/>
              <w:bottom w:val="nil"/>
              <w:right w:val="nil"/>
            </w:tcBorders>
            <w:shd w:val="clear" w:color="auto" w:fill="FFFFFF"/>
            <w:vAlign w:val="center"/>
          </w:tcPr>
          <w:p w14:paraId="0DF6FD5A" w14:textId="77777777" w:rsidR="00FA127C" w:rsidRPr="0076565F" w:rsidRDefault="00FA127C" w:rsidP="009344C9">
            <w:pPr>
              <w:autoSpaceDE w:val="0"/>
              <w:autoSpaceDN w:val="0"/>
              <w:adjustRightInd w:val="0"/>
              <w:spacing w:line="240" w:lineRule="auto"/>
              <w:ind w:left="60" w:right="60" w:firstLine="0"/>
              <w:contextualSpacing/>
              <w:rPr>
                <w:color w:val="000000"/>
                <w:szCs w:val="24"/>
              </w:rPr>
            </w:pPr>
            <w:r w:rsidRPr="0076565F">
              <w:rPr>
                <w:color w:val="000000"/>
                <w:szCs w:val="24"/>
              </w:rPr>
              <w:t>Toplam</w:t>
            </w:r>
          </w:p>
        </w:tc>
        <w:tc>
          <w:tcPr>
            <w:tcW w:w="1276" w:type="dxa"/>
            <w:tcBorders>
              <w:top w:val="nil"/>
              <w:left w:val="nil"/>
              <w:bottom w:val="nil"/>
              <w:right w:val="nil"/>
            </w:tcBorders>
            <w:shd w:val="clear" w:color="auto" w:fill="FFFFFF"/>
          </w:tcPr>
          <w:p w14:paraId="57622456"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105</w:t>
            </w:r>
            <w:r>
              <w:rPr>
                <w:color w:val="000000"/>
                <w:szCs w:val="24"/>
              </w:rPr>
              <w:t>.</w:t>
            </w:r>
            <w:r w:rsidRPr="0076565F">
              <w:rPr>
                <w:color w:val="000000"/>
                <w:szCs w:val="24"/>
              </w:rPr>
              <w:t>24</w:t>
            </w:r>
          </w:p>
        </w:tc>
        <w:tc>
          <w:tcPr>
            <w:tcW w:w="709" w:type="dxa"/>
            <w:tcBorders>
              <w:top w:val="nil"/>
              <w:left w:val="nil"/>
              <w:bottom w:val="nil"/>
              <w:right w:val="nil"/>
            </w:tcBorders>
            <w:shd w:val="clear" w:color="auto" w:fill="FFFFFF"/>
          </w:tcPr>
          <w:p w14:paraId="6B18CB62"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75</w:t>
            </w:r>
          </w:p>
        </w:tc>
        <w:tc>
          <w:tcPr>
            <w:tcW w:w="1134" w:type="dxa"/>
            <w:tcBorders>
              <w:top w:val="nil"/>
              <w:left w:val="nil"/>
              <w:bottom w:val="nil"/>
              <w:right w:val="nil"/>
            </w:tcBorders>
            <w:shd w:val="clear" w:color="auto" w:fill="FFFFFF"/>
          </w:tcPr>
          <w:p w14:paraId="313F6E21"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c>
          <w:tcPr>
            <w:tcW w:w="987" w:type="dxa"/>
            <w:tcBorders>
              <w:top w:val="nil"/>
              <w:left w:val="nil"/>
              <w:bottom w:val="nil"/>
              <w:right w:val="nil"/>
            </w:tcBorders>
            <w:shd w:val="clear" w:color="auto" w:fill="FFFFFF"/>
          </w:tcPr>
          <w:p w14:paraId="6970C7D2"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c>
          <w:tcPr>
            <w:tcW w:w="706" w:type="dxa"/>
            <w:tcBorders>
              <w:top w:val="nil"/>
              <w:left w:val="nil"/>
              <w:bottom w:val="nil"/>
            </w:tcBorders>
            <w:shd w:val="clear" w:color="auto" w:fill="FFFFFF"/>
          </w:tcPr>
          <w:p w14:paraId="26AEA958"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r>
      <w:tr w:rsidR="00FA127C" w:rsidRPr="0076565F" w14:paraId="0917277D" w14:textId="77777777" w:rsidTr="009344C9">
        <w:trPr>
          <w:cantSplit/>
        </w:trPr>
        <w:tc>
          <w:tcPr>
            <w:tcW w:w="2694" w:type="dxa"/>
            <w:vMerge w:val="restart"/>
            <w:tcBorders>
              <w:top w:val="nil"/>
              <w:left w:val="nil"/>
              <w:bottom w:val="nil"/>
              <w:right w:val="nil"/>
            </w:tcBorders>
            <w:shd w:val="clear" w:color="auto" w:fill="FFFFFF"/>
            <w:vAlign w:val="center"/>
          </w:tcPr>
          <w:p w14:paraId="3663B4F7" w14:textId="77777777" w:rsidR="00FA127C" w:rsidRPr="0076565F" w:rsidRDefault="00FA127C" w:rsidP="009344C9">
            <w:pPr>
              <w:spacing w:line="240" w:lineRule="auto"/>
              <w:ind w:left="0" w:firstLine="0"/>
              <w:contextualSpacing/>
              <w:rPr>
                <w:b/>
                <w:szCs w:val="24"/>
              </w:rPr>
            </w:pPr>
            <w:proofErr w:type="spellStart"/>
            <w:r w:rsidRPr="0076565F">
              <w:rPr>
                <w:b/>
                <w:szCs w:val="24"/>
              </w:rPr>
              <w:t>Bilişüstü</w:t>
            </w:r>
            <w:proofErr w:type="spellEnd"/>
            <w:r w:rsidRPr="0076565F">
              <w:rPr>
                <w:b/>
                <w:szCs w:val="24"/>
              </w:rPr>
              <w:t xml:space="preserve"> Stratejiler</w:t>
            </w:r>
          </w:p>
        </w:tc>
        <w:tc>
          <w:tcPr>
            <w:tcW w:w="1417" w:type="dxa"/>
            <w:tcBorders>
              <w:top w:val="nil"/>
              <w:left w:val="nil"/>
              <w:bottom w:val="nil"/>
              <w:right w:val="nil"/>
            </w:tcBorders>
            <w:shd w:val="clear" w:color="auto" w:fill="FFFFFF"/>
            <w:vAlign w:val="center"/>
          </w:tcPr>
          <w:p w14:paraId="2A22264C" w14:textId="77777777" w:rsidR="00FA127C" w:rsidRPr="0076565F" w:rsidRDefault="00FA127C" w:rsidP="009344C9">
            <w:pPr>
              <w:autoSpaceDE w:val="0"/>
              <w:autoSpaceDN w:val="0"/>
              <w:adjustRightInd w:val="0"/>
              <w:spacing w:line="240" w:lineRule="auto"/>
              <w:ind w:left="60" w:right="60" w:firstLine="0"/>
              <w:contextualSpacing/>
              <w:rPr>
                <w:color w:val="000000"/>
                <w:szCs w:val="24"/>
              </w:rPr>
            </w:pPr>
            <w:r w:rsidRPr="0076565F">
              <w:rPr>
                <w:color w:val="000000"/>
                <w:szCs w:val="24"/>
              </w:rPr>
              <w:t>Gruplar arası</w:t>
            </w:r>
          </w:p>
        </w:tc>
        <w:tc>
          <w:tcPr>
            <w:tcW w:w="1276" w:type="dxa"/>
            <w:tcBorders>
              <w:top w:val="nil"/>
              <w:left w:val="nil"/>
              <w:bottom w:val="nil"/>
              <w:right w:val="nil"/>
            </w:tcBorders>
            <w:shd w:val="clear" w:color="auto" w:fill="FFFFFF"/>
          </w:tcPr>
          <w:p w14:paraId="7B23FEC8"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4</w:t>
            </w:r>
            <w:r>
              <w:rPr>
                <w:color w:val="000000"/>
                <w:szCs w:val="24"/>
              </w:rPr>
              <w:t>.</w:t>
            </w:r>
            <w:r w:rsidRPr="0076565F">
              <w:rPr>
                <w:color w:val="000000"/>
                <w:szCs w:val="24"/>
              </w:rPr>
              <w:t>76</w:t>
            </w:r>
          </w:p>
        </w:tc>
        <w:tc>
          <w:tcPr>
            <w:tcW w:w="709" w:type="dxa"/>
            <w:tcBorders>
              <w:top w:val="nil"/>
              <w:left w:val="nil"/>
              <w:bottom w:val="nil"/>
              <w:right w:val="nil"/>
            </w:tcBorders>
            <w:shd w:val="clear" w:color="auto" w:fill="FFFFFF"/>
          </w:tcPr>
          <w:p w14:paraId="2EF2424E"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2</w:t>
            </w:r>
          </w:p>
        </w:tc>
        <w:tc>
          <w:tcPr>
            <w:tcW w:w="1134" w:type="dxa"/>
            <w:tcBorders>
              <w:top w:val="nil"/>
              <w:left w:val="nil"/>
              <w:bottom w:val="nil"/>
              <w:right w:val="nil"/>
            </w:tcBorders>
            <w:shd w:val="clear" w:color="auto" w:fill="FFFFFF"/>
          </w:tcPr>
          <w:p w14:paraId="1EE689B9"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2</w:t>
            </w:r>
            <w:r>
              <w:rPr>
                <w:color w:val="000000"/>
                <w:szCs w:val="24"/>
              </w:rPr>
              <w:t>.</w:t>
            </w:r>
            <w:r w:rsidRPr="0076565F">
              <w:rPr>
                <w:color w:val="000000"/>
                <w:szCs w:val="24"/>
              </w:rPr>
              <w:t>38</w:t>
            </w:r>
          </w:p>
        </w:tc>
        <w:tc>
          <w:tcPr>
            <w:tcW w:w="987" w:type="dxa"/>
            <w:tcBorders>
              <w:top w:val="nil"/>
              <w:left w:val="nil"/>
              <w:bottom w:val="nil"/>
              <w:right w:val="nil"/>
            </w:tcBorders>
            <w:shd w:val="clear" w:color="auto" w:fill="FFFFFF"/>
          </w:tcPr>
          <w:p w14:paraId="0D3E3A74"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4</w:t>
            </w:r>
            <w:r>
              <w:rPr>
                <w:color w:val="000000"/>
                <w:szCs w:val="24"/>
              </w:rPr>
              <w:t>.</w:t>
            </w:r>
            <w:r w:rsidRPr="0076565F">
              <w:rPr>
                <w:color w:val="000000"/>
                <w:szCs w:val="24"/>
              </w:rPr>
              <w:t>13</w:t>
            </w:r>
          </w:p>
        </w:tc>
        <w:tc>
          <w:tcPr>
            <w:tcW w:w="706" w:type="dxa"/>
            <w:tcBorders>
              <w:top w:val="nil"/>
              <w:left w:val="nil"/>
              <w:bottom w:val="nil"/>
            </w:tcBorders>
            <w:shd w:val="clear" w:color="auto" w:fill="FFFFFF"/>
          </w:tcPr>
          <w:p w14:paraId="2755291E" w14:textId="573A87A5"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Pr>
                <w:color w:val="000000"/>
                <w:szCs w:val="24"/>
              </w:rPr>
              <w:t>.</w:t>
            </w:r>
            <w:r w:rsidRPr="0076565F">
              <w:rPr>
                <w:color w:val="000000"/>
                <w:szCs w:val="24"/>
              </w:rPr>
              <w:t>02</w:t>
            </w:r>
            <w:r w:rsidR="007A0AE5">
              <w:rPr>
                <w:color w:val="000000"/>
                <w:szCs w:val="24"/>
              </w:rPr>
              <w:t>*</w:t>
            </w:r>
          </w:p>
        </w:tc>
      </w:tr>
      <w:tr w:rsidR="00FA127C" w:rsidRPr="0076565F" w14:paraId="5E4F4DB3" w14:textId="77777777" w:rsidTr="009344C9">
        <w:trPr>
          <w:cantSplit/>
        </w:trPr>
        <w:tc>
          <w:tcPr>
            <w:tcW w:w="2694" w:type="dxa"/>
            <w:vMerge/>
            <w:tcBorders>
              <w:top w:val="single" w:sz="4" w:space="0" w:color="auto"/>
              <w:left w:val="nil"/>
              <w:bottom w:val="nil"/>
              <w:right w:val="nil"/>
            </w:tcBorders>
            <w:shd w:val="clear" w:color="auto" w:fill="FFFFFF"/>
            <w:vAlign w:val="center"/>
          </w:tcPr>
          <w:p w14:paraId="585293BE" w14:textId="77777777" w:rsidR="00FA127C" w:rsidRPr="0076565F" w:rsidRDefault="00FA127C" w:rsidP="009344C9">
            <w:pPr>
              <w:autoSpaceDE w:val="0"/>
              <w:autoSpaceDN w:val="0"/>
              <w:adjustRightInd w:val="0"/>
              <w:spacing w:line="240" w:lineRule="auto"/>
              <w:ind w:left="0" w:firstLine="0"/>
              <w:contextualSpacing/>
              <w:rPr>
                <w:color w:val="000000"/>
                <w:szCs w:val="24"/>
              </w:rPr>
            </w:pPr>
          </w:p>
        </w:tc>
        <w:tc>
          <w:tcPr>
            <w:tcW w:w="1417" w:type="dxa"/>
            <w:tcBorders>
              <w:top w:val="nil"/>
              <w:left w:val="nil"/>
              <w:bottom w:val="nil"/>
              <w:right w:val="nil"/>
            </w:tcBorders>
            <w:shd w:val="clear" w:color="auto" w:fill="FFFFFF"/>
            <w:vAlign w:val="center"/>
          </w:tcPr>
          <w:p w14:paraId="72FAB5BD" w14:textId="77777777" w:rsidR="00FA127C" w:rsidRPr="0076565F" w:rsidRDefault="00FA127C" w:rsidP="009344C9">
            <w:pPr>
              <w:autoSpaceDE w:val="0"/>
              <w:autoSpaceDN w:val="0"/>
              <w:adjustRightInd w:val="0"/>
              <w:spacing w:line="240" w:lineRule="auto"/>
              <w:ind w:left="60" w:right="60" w:firstLine="0"/>
              <w:contextualSpacing/>
              <w:rPr>
                <w:color w:val="000000"/>
                <w:szCs w:val="24"/>
              </w:rPr>
            </w:pPr>
            <w:r w:rsidRPr="0076565F">
              <w:rPr>
                <w:color w:val="000000"/>
                <w:szCs w:val="24"/>
              </w:rPr>
              <w:t>Grup içi</w:t>
            </w:r>
          </w:p>
        </w:tc>
        <w:tc>
          <w:tcPr>
            <w:tcW w:w="1276" w:type="dxa"/>
            <w:tcBorders>
              <w:top w:val="nil"/>
              <w:left w:val="nil"/>
              <w:bottom w:val="nil"/>
              <w:right w:val="nil"/>
            </w:tcBorders>
            <w:shd w:val="clear" w:color="auto" w:fill="FFFFFF"/>
          </w:tcPr>
          <w:p w14:paraId="171B0C13"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42</w:t>
            </w:r>
            <w:r>
              <w:rPr>
                <w:color w:val="000000"/>
                <w:szCs w:val="24"/>
              </w:rPr>
              <w:t>.</w:t>
            </w:r>
            <w:r w:rsidRPr="0076565F">
              <w:rPr>
                <w:color w:val="000000"/>
                <w:szCs w:val="24"/>
              </w:rPr>
              <w:t>07</w:t>
            </w:r>
          </w:p>
        </w:tc>
        <w:tc>
          <w:tcPr>
            <w:tcW w:w="709" w:type="dxa"/>
            <w:tcBorders>
              <w:top w:val="nil"/>
              <w:left w:val="nil"/>
              <w:bottom w:val="nil"/>
              <w:right w:val="nil"/>
            </w:tcBorders>
            <w:shd w:val="clear" w:color="auto" w:fill="FFFFFF"/>
          </w:tcPr>
          <w:p w14:paraId="03AAE47C"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73</w:t>
            </w:r>
          </w:p>
        </w:tc>
        <w:tc>
          <w:tcPr>
            <w:tcW w:w="1134" w:type="dxa"/>
            <w:tcBorders>
              <w:top w:val="nil"/>
              <w:left w:val="nil"/>
              <w:bottom w:val="nil"/>
              <w:right w:val="nil"/>
            </w:tcBorders>
            <w:shd w:val="clear" w:color="auto" w:fill="FFFFFF"/>
          </w:tcPr>
          <w:p w14:paraId="4E0C29A2"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Pr>
                <w:color w:val="000000"/>
                <w:szCs w:val="24"/>
              </w:rPr>
              <w:t>.</w:t>
            </w:r>
            <w:r w:rsidRPr="0076565F">
              <w:rPr>
                <w:color w:val="000000"/>
                <w:szCs w:val="24"/>
              </w:rPr>
              <w:t>58</w:t>
            </w:r>
          </w:p>
        </w:tc>
        <w:tc>
          <w:tcPr>
            <w:tcW w:w="987" w:type="dxa"/>
            <w:tcBorders>
              <w:top w:val="nil"/>
              <w:left w:val="nil"/>
              <w:bottom w:val="nil"/>
              <w:right w:val="nil"/>
            </w:tcBorders>
            <w:shd w:val="clear" w:color="auto" w:fill="FFFFFF"/>
          </w:tcPr>
          <w:p w14:paraId="43A61BB8"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c>
          <w:tcPr>
            <w:tcW w:w="706" w:type="dxa"/>
            <w:tcBorders>
              <w:top w:val="nil"/>
              <w:left w:val="nil"/>
              <w:bottom w:val="nil"/>
            </w:tcBorders>
            <w:shd w:val="clear" w:color="auto" w:fill="FFFFFF"/>
          </w:tcPr>
          <w:p w14:paraId="568242F3"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r>
      <w:tr w:rsidR="00FA127C" w:rsidRPr="0076565F" w14:paraId="2032DB3E" w14:textId="77777777" w:rsidTr="009344C9">
        <w:trPr>
          <w:cantSplit/>
          <w:trHeight w:val="80"/>
        </w:trPr>
        <w:tc>
          <w:tcPr>
            <w:tcW w:w="2694" w:type="dxa"/>
            <w:vMerge/>
            <w:tcBorders>
              <w:top w:val="single" w:sz="4" w:space="0" w:color="auto"/>
              <w:left w:val="nil"/>
              <w:bottom w:val="nil"/>
              <w:right w:val="nil"/>
            </w:tcBorders>
            <w:shd w:val="clear" w:color="auto" w:fill="FFFFFF"/>
            <w:vAlign w:val="center"/>
          </w:tcPr>
          <w:p w14:paraId="2364BBAC" w14:textId="77777777" w:rsidR="00FA127C" w:rsidRPr="0076565F" w:rsidRDefault="00FA127C" w:rsidP="009344C9">
            <w:pPr>
              <w:autoSpaceDE w:val="0"/>
              <w:autoSpaceDN w:val="0"/>
              <w:adjustRightInd w:val="0"/>
              <w:spacing w:line="240" w:lineRule="auto"/>
              <w:ind w:left="0" w:firstLine="0"/>
              <w:contextualSpacing/>
              <w:rPr>
                <w:szCs w:val="24"/>
              </w:rPr>
            </w:pPr>
          </w:p>
        </w:tc>
        <w:tc>
          <w:tcPr>
            <w:tcW w:w="1417" w:type="dxa"/>
            <w:tcBorders>
              <w:top w:val="nil"/>
              <w:left w:val="nil"/>
              <w:bottom w:val="nil"/>
              <w:right w:val="nil"/>
            </w:tcBorders>
            <w:shd w:val="clear" w:color="auto" w:fill="FFFFFF"/>
            <w:vAlign w:val="center"/>
          </w:tcPr>
          <w:p w14:paraId="6A8081AF" w14:textId="77777777" w:rsidR="00FA127C" w:rsidRPr="0076565F" w:rsidRDefault="00FA127C" w:rsidP="009344C9">
            <w:pPr>
              <w:autoSpaceDE w:val="0"/>
              <w:autoSpaceDN w:val="0"/>
              <w:adjustRightInd w:val="0"/>
              <w:spacing w:line="240" w:lineRule="auto"/>
              <w:ind w:left="60" w:right="60" w:firstLine="0"/>
              <w:contextualSpacing/>
              <w:rPr>
                <w:color w:val="000000"/>
                <w:szCs w:val="24"/>
              </w:rPr>
            </w:pPr>
            <w:r w:rsidRPr="0076565F">
              <w:rPr>
                <w:color w:val="000000"/>
                <w:szCs w:val="24"/>
              </w:rPr>
              <w:t>Toplam</w:t>
            </w:r>
          </w:p>
        </w:tc>
        <w:tc>
          <w:tcPr>
            <w:tcW w:w="1276" w:type="dxa"/>
            <w:tcBorders>
              <w:top w:val="nil"/>
              <w:left w:val="nil"/>
              <w:bottom w:val="nil"/>
              <w:right w:val="nil"/>
            </w:tcBorders>
            <w:shd w:val="clear" w:color="auto" w:fill="FFFFFF"/>
          </w:tcPr>
          <w:p w14:paraId="5EFC0C5C"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46</w:t>
            </w:r>
            <w:r>
              <w:rPr>
                <w:color w:val="000000"/>
                <w:szCs w:val="24"/>
              </w:rPr>
              <w:t>.</w:t>
            </w:r>
            <w:r w:rsidRPr="0076565F">
              <w:rPr>
                <w:color w:val="000000"/>
                <w:szCs w:val="24"/>
              </w:rPr>
              <w:t>83</w:t>
            </w:r>
          </w:p>
        </w:tc>
        <w:tc>
          <w:tcPr>
            <w:tcW w:w="709" w:type="dxa"/>
            <w:tcBorders>
              <w:top w:val="nil"/>
              <w:left w:val="nil"/>
              <w:bottom w:val="nil"/>
              <w:right w:val="nil"/>
            </w:tcBorders>
            <w:shd w:val="clear" w:color="auto" w:fill="FFFFFF"/>
          </w:tcPr>
          <w:p w14:paraId="067313F2"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75</w:t>
            </w:r>
          </w:p>
        </w:tc>
        <w:tc>
          <w:tcPr>
            <w:tcW w:w="1134" w:type="dxa"/>
            <w:tcBorders>
              <w:top w:val="nil"/>
              <w:left w:val="nil"/>
              <w:bottom w:val="nil"/>
              <w:right w:val="nil"/>
            </w:tcBorders>
            <w:shd w:val="clear" w:color="auto" w:fill="FFFFFF"/>
          </w:tcPr>
          <w:p w14:paraId="07D0DB52"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c>
          <w:tcPr>
            <w:tcW w:w="987" w:type="dxa"/>
            <w:tcBorders>
              <w:top w:val="nil"/>
              <w:left w:val="nil"/>
              <w:bottom w:val="nil"/>
              <w:right w:val="nil"/>
            </w:tcBorders>
            <w:shd w:val="clear" w:color="auto" w:fill="FFFFFF"/>
          </w:tcPr>
          <w:p w14:paraId="727A994D"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c>
          <w:tcPr>
            <w:tcW w:w="706" w:type="dxa"/>
            <w:tcBorders>
              <w:top w:val="nil"/>
              <w:left w:val="nil"/>
              <w:bottom w:val="nil"/>
            </w:tcBorders>
            <w:shd w:val="clear" w:color="auto" w:fill="FFFFFF"/>
          </w:tcPr>
          <w:p w14:paraId="645807DF"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r>
      <w:tr w:rsidR="00FA127C" w:rsidRPr="0076565F" w14:paraId="2D51DDCC" w14:textId="77777777" w:rsidTr="009344C9">
        <w:trPr>
          <w:cantSplit/>
        </w:trPr>
        <w:tc>
          <w:tcPr>
            <w:tcW w:w="2694" w:type="dxa"/>
            <w:vMerge w:val="restart"/>
            <w:tcBorders>
              <w:top w:val="nil"/>
              <w:left w:val="nil"/>
              <w:bottom w:val="single" w:sz="4" w:space="0" w:color="auto"/>
              <w:right w:val="nil"/>
            </w:tcBorders>
            <w:shd w:val="clear" w:color="auto" w:fill="FFFFFF"/>
            <w:vAlign w:val="center"/>
          </w:tcPr>
          <w:p w14:paraId="5A119C35" w14:textId="77777777" w:rsidR="00FA127C" w:rsidRPr="0076565F" w:rsidRDefault="00FA127C" w:rsidP="009344C9">
            <w:pPr>
              <w:spacing w:line="240" w:lineRule="auto"/>
              <w:ind w:left="0" w:firstLine="0"/>
              <w:contextualSpacing/>
              <w:rPr>
                <w:b/>
                <w:szCs w:val="24"/>
              </w:rPr>
            </w:pPr>
            <w:r w:rsidRPr="0076565F">
              <w:rPr>
                <w:b/>
                <w:szCs w:val="24"/>
              </w:rPr>
              <w:t>Öz yeterlik</w:t>
            </w:r>
          </w:p>
        </w:tc>
        <w:tc>
          <w:tcPr>
            <w:tcW w:w="1417" w:type="dxa"/>
            <w:tcBorders>
              <w:top w:val="nil"/>
              <w:left w:val="nil"/>
              <w:bottom w:val="nil"/>
              <w:right w:val="nil"/>
            </w:tcBorders>
            <w:shd w:val="clear" w:color="auto" w:fill="FFFFFF"/>
            <w:vAlign w:val="center"/>
          </w:tcPr>
          <w:p w14:paraId="70A2906B" w14:textId="77777777" w:rsidR="00FA127C" w:rsidRPr="0076565F" w:rsidRDefault="00FA127C" w:rsidP="009344C9">
            <w:pPr>
              <w:autoSpaceDE w:val="0"/>
              <w:autoSpaceDN w:val="0"/>
              <w:adjustRightInd w:val="0"/>
              <w:spacing w:line="240" w:lineRule="auto"/>
              <w:ind w:left="60" w:right="60" w:firstLine="0"/>
              <w:contextualSpacing/>
              <w:rPr>
                <w:color w:val="000000"/>
                <w:szCs w:val="24"/>
              </w:rPr>
            </w:pPr>
            <w:r w:rsidRPr="0076565F">
              <w:rPr>
                <w:color w:val="000000"/>
                <w:szCs w:val="24"/>
              </w:rPr>
              <w:t>Gruplar arası</w:t>
            </w:r>
          </w:p>
        </w:tc>
        <w:tc>
          <w:tcPr>
            <w:tcW w:w="1276" w:type="dxa"/>
            <w:tcBorders>
              <w:top w:val="nil"/>
              <w:left w:val="nil"/>
              <w:bottom w:val="nil"/>
              <w:right w:val="nil"/>
            </w:tcBorders>
            <w:shd w:val="clear" w:color="auto" w:fill="FFFFFF"/>
          </w:tcPr>
          <w:p w14:paraId="278B39AE"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12</w:t>
            </w:r>
            <w:r>
              <w:rPr>
                <w:color w:val="000000"/>
                <w:szCs w:val="24"/>
              </w:rPr>
              <w:t>.</w:t>
            </w:r>
            <w:r w:rsidRPr="0076565F">
              <w:rPr>
                <w:color w:val="000000"/>
                <w:szCs w:val="24"/>
              </w:rPr>
              <w:t>83</w:t>
            </w:r>
          </w:p>
        </w:tc>
        <w:tc>
          <w:tcPr>
            <w:tcW w:w="709" w:type="dxa"/>
            <w:tcBorders>
              <w:top w:val="nil"/>
              <w:left w:val="nil"/>
              <w:bottom w:val="nil"/>
              <w:right w:val="nil"/>
            </w:tcBorders>
            <w:shd w:val="clear" w:color="auto" w:fill="FFFFFF"/>
          </w:tcPr>
          <w:p w14:paraId="233095C4"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2</w:t>
            </w:r>
          </w:p>
        </w:tc>
        <w:tc>
          <w:tcPr>
            <w:tcW w:w="1134" w:type="dxa"/>
            <w:tcBorders>
              <w:top w:val="nil"/>
              <w:left w:val="nil"/>
              <w:bottom w:val="nil"/>
              <w:right w:val="nil"/>
            </w:tcBorders>
            <w:shd w:val="clear" w:color="auto" w:fill="FFFFFF"/>
          </w:tcPr>
          <w:p w14:paraId="19EE339B"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6</w:t>
            </w:r>
            <w:r>
              <w:rPr>
                <w:color w:val="000000"/>
                <w:szCs w:val="24"/>
              </w:rPr>
              <w:t>.</w:t>
            </w:r>
            <w:r w:rsidRPr="0076565F">
              <w:rPr>
                <w:color w:val="000000"/>
                <w:szCs w:val="24"/>
              </w:rPr>
              <w:t>42</w:t>
            </w:r>
          </w:p>
        </w:tc>
        <w:tc>
          <w:tcPr>
            <w:tcW w:w="987" w:type="dxa"/>
            <w:tcBorders>
              <w:top w:val="nil"/>
              <w:left w:val="nil"/>
              <w:bottom w:val="nil"/>
              <w:right w:val="nil"/>
            </w:tcBorders>
            <w:shd w:val="clear" w:color="auto" w:fill="FFFFFF"/>
          </w:tcPr>
          <w:p w14:paraId="623E8C03"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5</w:t>
            </w:r>
            <w:r>
              <w:rPr>
                <w:color w:val="000000"/>
                <w:szCs w:val="24"/>
              </w:rPr>
              <w:t>.</w:t>
            </w:r>
            <w:r w:rsidRPr="0076565F">
              <w:rPr>
                <w:color w:val="000000"/>
                <w:szCs w:val="24"/>
              </w:rPr>
              <w:t>97</w:t>
            </w:r>
          </w:p>
        </w:tc>
        <w:tc>
          <w:tcPr>
            <w:tcW w:w="706" w:type="dxa"/>
            <w:tcBorders>
              <w:top w:val="nil"/>
              <w:left w:val="nil"/>
              <w:bottom w:val="nil"/>
            </w:tcBorders>
            <w:shd w:val="clear" w:color="auto" w:fill="FFFFFF"/>
          </w:tcPr>
          <w:p w14:paraId="148E2C9A" w14:textId="7B72A06D"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Pr>
                <w:color w:val="000000"/>
                <w:szCs w:val="24"/>
              </w:rPr>
              <w:t>.</w:t>
            </w:r>
            <w:r w:rsidRPr="0076565F">
              <w:rPr>
                <w:color w:val="000000"/>
                <w:szCs w:val="24"/>
              </w:rPr>
              <w:t>00</w:t>
            </w:r>
            <w:r w:rsidR="007A0AE5">
              <w:rPr>
                <w:color w:val="000000"/>
                <w:szCs w:val="24"/>
              </w:rPr>
              <w:t>*</w:t>
            </w:r>
          </w:p>
        </w:tc>
      </w:tr>
      <w:tr w:rsidR="00FA127C" w:rsidRPr="0076565F" w14:paraId="6FA1C42E" w14:textId="77777777" w:rsidTr="009344C9">
        <w:trPr>
          <w:cantSplit/>
        </w:trPr>
        <w:tc>
          <w:tcPr>
            <w:tcW w:w="2694" w:type="dxa"/>
            <w:vMerge/>
            <w:tcBorders>
              <w:top w:val="nil"/>
              <w:left w:val="nil"/>
              <w:bottom w:val="single" w:sz="4" w:space="0" w:color="auto"/>
              <w:right w:val="nil"/>
            </w:tcBorders>
            <w:shd w:val="clear" w:color="auto" w:fill="FFFFFF"/>
            <w:vAlign w:val="center"/>
          </w:tcPr>
          <w:p w14:paraId="38B6AA62" w14:textId="77777777" w:rsidR="00FA127C" w:rsidRPr="0076565F" w:rsidRDefault="00FA127C" w:rsidP="009344C9">
            <w:pPr>
              <w:autoSpaceDE w:val="0"/>
              <w:autoSpaceDN w:val="0"/>
              <w:adjustRightInd w:val="0"/>
              <w:spacing w:line="240" w:lineRule="auto"/>
              <w:ind w:left="0" w:firstLine="0"/>
              <w:contextualSpacing/>
              <w:rPr>
                <w:color w:val="000000"/>
                <w:szCs w:val="24"/>
              </w:rPr>
            </w:pPr>
          </w:p>
        </w:tc>
        <w:tc>
          <w:tcPr>
            <w:tcW w:w="1417" w:type="dxa"/>
            <w:tcBorders>
              <w:top w:val="nil"/>
              <w:left w:val="nil"/>
              <w:bottom w:val="nil"/>
              <w:right w:val="nil"/>
            </w:tcBorders>
            <w:shd w:val="clear" w:color="auto" w:fill="FFFFFF"/>
            <w:vAlign w:val="center"/>
          </w:tcPr>
          <w:p w14:paraId="52B3522F" w14:textId="77777777" w:rsidR="00FA127C" w:rsidRPr="0076565F" w:rsidRDefault="00FA127C" w:rsidP="009344C9">
            <w:pPr>
              <w:autoSpaceDE w:val="0"/>
              <w:autoSpaceDN w:val="0"/>
              <w:adjustRightInd w:val="0"/>
              <w:spacing w:line="240" w:lineRule="auto"/>
              <w:ind w:left="60" w:right="60" w:firstLine="0"/>
              <w:contextualSpacing/>
              <w:rPr>
                <w:color w:val="000000"/>
                <w:szCs w:val="24"/>
              </w:rPr>
            </w:pPr>
            <w:r w:rsidRPr="0076565F">
              <w:rPr>
                <w:color w:val="000000"/>
                <w:szCs w:val="24"/>
              </w:rPr>
              <w:t>Grup içi</w:t>
            </w:r>
          </w:p>
        </w:tc>
        <w:tc>
          <w:tcPr>
            <w:tcW w:w="1276" w:type="dxa"/>
            <w:tcBorders>
              <w:top w:val="nil"/>
              <w:left w:val="nil"/>
              <w:bottom w:val="nil"/>
              <w:right w:val="nil"/>
            </w:tcBorders>
            <w:shd w:val="clear" w:color="auto" w:fill="FFFFFF"/>
          </w:tcPr>
          <w:p w14:paraId="4464B415"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78</w:t>
            </w:r>
            <w:r>
              <w:rPr>
                <w:color w:val="000000"/>
                <w:szCs w:val="24"/>
              </w:rPr>
              <w:t>.</w:t>
            </w:r>
            <w:r w:rsidRPr="0076565F">
              <w:rPr>
                <w:color w:val="000000"/>
                <w:szCs w:val="24"/>
              </w:rPr>
              <w:t>43</w:t>
            </w:r>
          </w:p>
        </w:tc>
        <w:tc>
          <w:tcPr>
            <w:tcW w:w="709" w:type="dxa"/>
            <w:tcBorders>
              <w:top w:val="nil"/>
              <w:left w:val="nil"/>
              <w:bottom w:val="nil"/>
              <w:right w:val="nil"/>
            </w:tcBorders>
            <w:shd w:val="clear" w:color="auto" w:fill="FFFFFF"/>
          </w:tcPr>
          <w:p w14:paraId="665D6FC1"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73</w:t>
            </w:r>
          </w:p>
        </w:tc>
        <w:tc>
          <w:tcPr>
            <w:tcW w:w="1134" w:type="dxa"/>
            <w:tcBorders>
              <w:top w:val="nil"/>
              <w:left w:val="nil"/>
              <w:bottom w:val="nil"/>
              <w:right w:val="nil"/>
            </w:tcBorders>
            <w:shd w:val="clear" w:color="auto" w:fill="FFFFFF"/>
          </w:tcPr>
          <w:p w14:paraId="29952F0F"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1</w:t>
            </w:r>
            <w:r>
              <w:rPr>
                <w:color w:val="000000"/>
                <w:szCs w:val="24"/>
              </w:rPr>
              <w:t>.</w:t>
            </w:r>
            <w:r w:rsidRPr="0076565F">
              <w:rPr>
                <w:color w:val="000000"/>
                <w:szCs w:val="24"/>
              </w:rPr>
              <w:t>07</w:t>
            </w:r>
          </w:p>
        </w:tc>
        <w:tc>
          <w:tcPr>
            <w:tcW w:w="987" w:type="dxa"/>
            <w:tcBorders>
              <w:top w:val="nil"/>
              <w:left w:val="nil"/>
              <w:bottom w:val="nil"/>
              <w:right w:val="nil"/>
            </w:tcBorders>
            <w:shd w:val="clear" w:color="auto" w:fill="FFFFFF"/>
          </w:tcPr>
          <w:p w14:paraId="5B3B1429"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c>
          <w:tcPr>
            <w:tcW w:w="706" w:type="dxa"/>
            <w:tcBorders>
              <w:top w:val="nil"/>
              <w:left w:val="nil"/>
              <w:bottom w:val="nil"/>
            </w:tcBorders>
            <w:shd w:val="clear" w:color="auto" w:fill="FFFFFF"/>
          </w:tcPr>
          <w:p w14:paraId="04814E34"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r>
      <w:tr w:rsidR="00FA127C" w:rsidRPr="0076565F" w14:paraId="4C763FAB" w14:textId="77777777" w:rsidTr="009344C9">
        <w:trPr>
          <w:cantSplit/>
        </w:trPr>
        <w:tc>
          <w:tcPr>
            <w:tcW w:w="2694" w:type="dxa"/>
            <w:vMerge/>
            <w:tcBorders>
              <w:top w:val="nil"/>
              <w:left w:val="nil"/>
              <w:right w:val="nil"/>
            </w:tcBorders>
            <w:shd w:val="clear" w:color="auto" w:fill="FFFFFF"/>
            <w:vAlign w:val="center"/>
          </w:tcPr>
          <w:p w14:paraId="2BF007C2" w14:textId="77777777" w:rsidR="00FA127C" w:rsidRPr="0076565F" w:rsidRDefault="00FA127C" w:rsidP="009344C9">
            <w:pPr>
              <w:autoSpaceDE w:val="0"/>
              <w:autoSpaceDN w:val="0"/>
              <w:adjustRightInd w:val="0"/>
              <w:spacing w:line="240" w:lineRule="auto"/>
              <w:ind w:left="0" w:firstLine="0"/>
              <w:contextualSpacing/>
              <w:rPr>
                <w:szCs w:val="24"/>
              </w:rPr>
            </w:pPr>
          </w:p>
        </w:tc>
        <w:tc>
          <w:tcPr>
            <w:tcW w:w="1417" w:type="dxa"/>
            <w:tcBorders>
              <w:top w:val="nil"/>
              <w:left w:val="nil"/>
              <w:right w:val="nil"/>
            </w:tcBorders>
            <w:shd w:val="clear" w:color="auto" w:fill="FFFFFF"/>
            <w:vAlign w:val="center"/>
          </w:tcPr>
          <w:p w14:paraId="32665872" w14:textId="77777777" w:rsidR="00FA127C" w:rsidRPr="0076565F" w:rsidRDefault="00FA127C" w:rsidP="009344C9">
            <w:pPr>
              <w:autoSpaceDE w:val="0"/>
              <w:autoSpaceDN w:val="0"/>
              <w:adjustRightInd w:val="0"/>
              <w:spacing w:line="240" w:lineRule="auto"/>
              <w:ind w:left="60" w:right="60" w:firstLine="0"/>
              <w:contextualSpacing/>
              <w:rPr>
                <w:color w:val="000000"/>
                <w:szCs w:val="24"/>
              </w:rPr>
            </w:pPr>
            <w:r w:rsidRPr="0076565F">
              <w:rPr>
                <w:color w:val="000000"/>
                <w:szCs w:val="24"/>
              </w:rPr>
              <w:t>Toplam</w:t>
            </w:r>
          </w:p>
        </w:tc>
        <w:tc>
          <w:tcPr>
            <w:tcW w:w="1276" w:type="dxa"/>
            <w:tcBorders>
              <w:top w:val="nil"/>
              <w:left w:val="nil"/>
              <w:right w:val="nil"/>
            </w:tcBorders>
            <w:shd w:val="clear" w:color="auto" w:fill="FFFFFF"/>
          </w:tcPr>
          <w:p w14:paraId="1B5BE562"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91</w:t>
            </w:r>
            <w:r>
              <w:rPr>
                <w:color w:val="000000"/>
                <w:szCs w:val="24"/>
              </w:rPr>
              <w:t>.</w:t>
            </w:r>
            <w:r w:rsidRPr="0076565F">
              <w:rPr>
                <w:color w:val="000000"/>
                <w:szCs w:val="24"/>
              </w:rPr>
              <w:t>26</w:t>
            </w:r>
          </w:p>
        </w:tc>
        <w:tc>
          <w:tcPr>
            <w:tcW w:w="709" w:type="dxa"/>
            <w:tcBorders>
              <w:top w:val="nil"/>
              <w:left w:val="nil"/>
              <w:right w:val="nil"/>
            </w:tcBorders>
            <w:shd w:val="clear" w:color="auto" w:fill="FFFFFF"/>
          </w:tcPr>
          <w:p w14:paraId="2F7B9D85"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75</w:t>
            </w:r>
          </w:p>
        </w:tc>
        <w:tc>
          <w:tcPr>
            <w:tcW w:w="1134" w:type="dxa"/>
            <w:tcBorders>
              <w:top w:val="nil"/>
              <w:left w:val="nil"/>
              <w:right w:val="nil"/>
            </w:tcBorders>
            <w:shd w:val="clear" w:color="auto" w:fill="FFFFFF"/>
          </w:tcPr>
          <w:p w14:paraId="3456C4A5"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c>
          <w:tcPr>
            <w:tcW w:w="987" w:type="dxa"/>
            <w:tcBorders>
              <w:top w:val="nil"/>
              <w:left w:val="nil"/>
              <w:right w:val="nil"/>
            </w:tcBorders>
            <w:shd w:val="clear" w:color="auto" w:fill="FFFFFF"/>
          </w:tcPr>
          <w:p w14:paraId="7FC2B2CC"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c>
          <w:tcPr>
            <w:tcW w:w="706" w:type="dxa"/>
            <w:tcBorders>
              <w:top w:val="nil"/>
              <w:left w:val="nil"/>
            </w:tcBorders>
            <w:shd w:val="clear" w:color="auto" w:fill="FFFFFF"/>
          </w:tcPr>
          <w:p w14:paraId="6B523989" w14:textId="77777777" w:rsidR="00FA127C" w:rsidRPr="0076565F" w:rsidRDefault="00FA127C" w:rsidP="009344C9">
            <w:pPr>
              <w:autoSpaceDE w:val="0"/>
              <w:autoSpaceDN w:val="0"/>
              <w:adjustRightInd w:val="0"/>
              <w:spacing w:line="240" w:lineRule="auto"/>
              <w:ind w:left="0" w:firstLine="0"/>
              <w:contextualSpacing/>
              <w:jc w:val="center"/>
              <w:rPr>
                <w:szCs w:val="24"/>
              </w:rPr>
            </w:pPr>
          </w:p>
        </w:tc>
      </w:tr>
    </w:tbl>
    <w:p w14:paraId="181229A5" w14:textId="77777777" w:rsidR="007A0AE5" w:rsidRDefault="007A0AE5" w:rsidP="007A0AE5">
      <w:pPr>
        <w:autoSpaceDE w:val="0"/>
        <w:autoSpaceDN w:val="0"/>
        <w:adjustRightInd w:val="0"/>
        <w:spacing w:line="400" w:lineRule="atLeast"/>
        <w:ind w:left="0" w:firstLine="0"/>
        <w:rPr>
          <w:szCs w:val="24"/>
        </w:rPr>
      </w:pPr>
      <w:r w:rsidRPr="0076565F">
        <w:rPr>
          <w:szCs w:val="24"/>
        </w:rPr>
        <w:t>*</w:t>
      </w:r>
      <w:r w:rsidRPr="0076565F">
        <w:rPr>
          <w:i/>
          <w:szCs w:val="24"/>
        </w:rPr>
        <w:t>p</w:t>
      </w:r>
      <w:r w:rsidRPr="0076565F">
        <w:rPr>
          <w:szCs w:val="24"/>
        </w:rPr>
        <w:t>&lt;</w:t>
      </w:r>
      <w:r>
        <w:rPr>
          <w:szCs w:val="24"/>
        </w:rPr>
        <w:t>.</w:t>
      </w:r>
      <w:r w:rsidRPr="0076565F">
        <w:rPr>
          <w:szCs w:val="24"/>
        </w:rPr>
        <w:t>05</w:t>
      </w:r>
    </w:p>
    <w:p w14:paraId="3CC49DB1" w14:textId="77777777" w:rsidR="00812F8D" w:rsidRPr="0076565F" w:rsidRDefault="00812F8D" w:rsidP="004D51BC">
      <w:pPr>
        <w:ind w:left="0" w:firstLine="0"/>
        <w:jc w:val="both"/>
      </w:pPr>
    </w:p>
    <w:p w14:paraId="5DE2520F" w14:textId="0B4333CF" w:rsidR="00433456" w:rsidRDefault="00FE3DFA" w:rsidP="004D51BC">
      <w:pPr>
        <w:ind w:left="0" w:firstLine="0"/>
        <w:jc w:val="both"/>
      </w:pPr>
      <w:r w:rsidRPr="0076565F">
        <w:tab/>
      </w:r>
      <w:r w:rsidR="00433456" w:rsidRPr="0076565F">
        <w:t xml:space="preserve">Normallik ve </w:t>
      </w:r>
      <w:proofErr w:type="spellStart"/>
      <w:r w:rsidR="00433456" w:rsidRPr="0076565F">
        <w:t>varyans</w:t>
      </w:r>
      <w:proofErr w:type="spellEnd"/>
      <w:r w:rsidR="00433456" w:rsidRPr="0076565F">
        <w:t xml:space="preserve"> homojenliği </w:t>
      </w:r>
      <w:proofErr w:type="spellStart"/>
      <w:r w:rsidR="00433456" w:rsidRPr="0076565F">
        <w:t>sayıltıları</w:t>
      </w:r>
      <w:proofErr w:type="spellEnd"/>
      <w:r w:rsidR="00433456" w:rsidRPr="0076565F">
        <w:t xml:space="preserve"> karşılandığından analizlere devam edilmiş ve veriye tek yönlü </w:t>
      </w:r>
      <w:proofErr w:type="spellStart"/>
      <w:r w:rsidR="00433456" w:rsidRPr="0076565F">
        <w:t>varyans</w:t>
      </w:r>
      <w:proofErr w:type="spellEnd"/>
      <w:r w:rsidR="00433456" w:rsidRPr="0076565F">
        <w:t xml:space="preserve"> analizi</w:t>
      </w:r>
      <w:r w:rsidR="005C2198" w:rsidRPr="0076565F">
        <w:t xml:space="preserve"> </w:t>
      </w:r>
      <w:r w:rsidR="00812F8D" w:rsidRPr="0076565F">
        <w:t>(ANOVA)</w:t>
      </w:r>
      <w:r w:rsidR="00433456" w:rsidRPr="0076565F">
        <w:t xml:space="preserve"> </w:t>
      </w:r>
      <w:r w:rsidR="009826DC" w:rsidRPr="0076565F">
        <w:t>uygulanmıştır</w:t>
      </w:r>
      <w:r w:rsidR="00433456" w:rsidRPr="0076565F">
        <w:t xml:space="preserve">. Bu analiz sonuçlarına göre </w:t>
      </w:r>
      <w:r w:rsidR="008748DD">
        <w:t xml:space="preserve">Tablo 5’te </w:t>
      </w:r>
      <w:r w:rsidR="00433456" w:rsidRPr="0076565F">
        <w:t>kalibrasyon (</w:t>
      </w:r>
      <w:r w:rsidR="00433456" w:rsidRPr="008E20BC">
        <w:rPr>
          <w:i/>
        </w:rPr>
        <w:t>F</w:t>
      </w:r>
      <w:r w:rsidR="00433456" w:rsidRPr="0076565F">
        <w:t xml:space="preserve">(2, </w:t>
      </w:r>
      <w:r w:rsidR="00A44B16" w:rsidRPr="0076565F">
        <w:t>73) = 17</w:t>
      </w:r>
      <w:r w:rsidR="00737584">
        <w:t>.</w:t>
      </w:r>
      <w:r w:rsidR="00A44B16" w:rsidRPr="0076565F">
        <w:t>45</w:t>
      </w:r>
      <w:r w:rsidR="00433456" w:rsidRPr="0076565F">
        <w:t xml:space="preserve">, </w:t>
      </w:r>
      <w:r w:rsidR="00433456" w:rsidRPr="0076565F">
        <w:rPr>
          <w:i/>
        </w:rPr>
        <w:t>p</w:t>
      </w:r>
      <w:r w:rsidR="00433456" w:rsidRPr="0076565F">
        <w:t xml:space="preserve"> = .</w:t>
      </w:r>
      <w:r w:rsidR="00A44B16" w:rsidRPr="0076565F">
        <w:t>00</w:t>
      </w:r>
      <w:r w:rsidR="00433456" w:rsidRPr="0076565F">
        <w:t>)</w:t>
      </w:r>
      <w:r w:rsidR="00A44B16" w:rsidRPr="0076565F">
        <w:t>, çaba düzenlemesi (</w:t>
      </w:r>
      <w:r w:rsidR="00A44B16" w:rsidRPr="00EE4DD2">
        <w:rPr>
          <w:i/>
        </w:rPr>
        <w:t>F</w:t>
      </w:r>
      <w:r w:rsidR="00A44B16" w:rsidRPr="0076565F">
        <w:t>(2, 73) = 6</w:t>
      </w:r>
      <w:r w:rsidR="00737584">
        <w:t>.</w:t>
      </w:r>
      <w:r w:rsidR="00A44B16" w:rsidRPr="0076565F">
        <w:t xml:space="preserve">36, </w:t>
      </w:r>
      <w:r w:rsidR="00A44B16" w:rsidRPr="0076565F">
        <w:rPr>
          <w:i/>
        </w:rPr>
        <w:t>p</w:t>
      </w:r>
      <w:r w:rsidR="00A44B16" w:rsidRPr="0076565F">
        <w:t xml:space="preserve"> = .00), biliş üstü stratejiler (</w:t>
      </w:r>
      <w:r w:rsidR="00A44B16" w:rsidRPr="00EE4DD2">
        <w:rPr>
          <w:i/>
        </w:rPr>
        <w:t>F</w:t>
      </w:r>
      <w:r w:rsidR="00A44B16" w:rsidRPr="0076565F">
        <w:t>(2, 73) = 4</w:t>
      </w:r>
      <w:r w:rsidR="00737584">
        <w:t>.</w:t>
      </w:r>
      <w:r w:rsidR="00A44B16" w:rsidRPr="0076565F">
        <w:t xml:space="preserve">13, </w:t>
      </w:r>
      <w:r w:rsidR="00A44B16" w:rsidRPr="0076565F">
        <w:rPr>
          <w:i/>
        </w:rPr>
        <w:t>p</w:t>
      </w:r>
      <w:r w:rsidR="00A44B16" w:rsidRPr="0076565F">
        <w:t xml:space="preserve"> = .02) ve öz yeterlik (</w:t>
      </w:r>
      <w:r w:rsidR="00A44B16" w:rsidRPr="00EE4DD2">
        <w:rPr>
          <w:i/>
        </w:rPr>
        <w:t>F</w:t>
      </w:r>
      <w:r w:rsidR="00A44B16" w:rsidRPr="0076565F">
        <w:t>(2, 73) = 5</w:t>
      </w:r>
      <w:r w:rsidR="00737584">
        <w:t>.</w:t>
      </w:r>
      <w:r w:rsidR="00A44B16" w:rsidRPr="0076565F">
        <w:t xml:space="preserve">97, </w:t>
      </w:r>
      <w:r w:rsidR="00A44B16" w:rsidRPr="0076565F">
        <w:rPr>
          <w:i/>
        </w:rPr>
        <w:t>p</w:t>
      </w:r>
      <w:r w:rsidR="00A44B16" w:rsidRPr="0076565F">
        <w:t xml:space="preserve"> = .00) bakımından </w:t>
      </w:r>
      <w:r w:rsidR="00812F8D" w:rsidRPr="0076565F">
        <w:t xml:space="preserve">gruplar arasında </w:t>
      </w:r>
      <w:r w:rsidR="00A44B16" w:rsidRPr="0076565F">
        <w:t>fark</w:t>
      </w:r>
      <w:r w:rsidR="00812F8D" w:rsidRPr="0076565F">
        <w:t>lar</w:t>
      </w:r>
      <w:r w:rsidR="00A44B16" w:rsidRPr="0076565F">
        <w:t xml:space="preserve"> </w:t>
      </w:r>
      <w:proofErr w:type="gramStart"/>
      <w:r w:rsidR="00A44B16" w:rsidRPr="0076565F">
        <w:t xml:space="preserve">bulunmaktadır </w:t>
      </w:r>
      <w:r w:rsidR="008748DD">
        <w:t>.</w:t>
      </w:r>
      <w:proofErr w:type="gramEnd"/>
    </w:p>
    <w:p w14:paraId="6F75698C" w14:textId="77777777" w:rsidR="00FA127C" w:rsidRDefault="00FE3DFA" w:rsidP="004D51BC">
      <w:pPr>
        <w:ind w:left="0" w:firstLine="0"/>
        <w:jc w:val="both"/>
      </w:pPr>
      <w:r w:rsidRPr="0076565F">
        <w:lastRenderedPageBreak/>
        <w:tab/>
      </w:r>
      <w:proofErr w:type="spellStart"/>
      <w:r w:rsidR="005829AB" w:rsidRPr="0076565F">
        <w:t>Varyans</w:t>
      </w:r>
      <w:proofErr w:type="spellEnd"/>
      <w:r w:rsidR="005829AB" w:rsidRPr="0076565F">
        <w:t xml:space="preserve"> analizi ile belirlenen farkın hangi gruplar arasında olduğunu belirlemek için </w:t>
      </w:r>
      <w:proofErr w:type="spellStart"/>
      <w:r w:rsidR="005829AB" w:rsidRPr="0076565F">
        <w:t>S</w:t>
      </w:r>
      <w:r w:rsidR="000E0F89" w:rsidRPr="0076565F">
        <w:t>c</w:t>
      </w:r>
      <w:r w:rsidR="005829AB" w:rsidRPr="0076565F">
        <w:t>heffe</w:t>
      </w:r>
      <w:proofErr w:type="spellEnd"/>
      <w:r w:rsidR="005829AB" w:rsidRPr="0076565F">
        <w:t xml:space="preserve"> testi yapılmıştır. Gruplar arası farkın tayininde </w:t>
      </w:r>
      <w:proofErr w:type="spellStart"/>
      <w:r w:rsidR="005829AB" w:rsidRPr="0076565F">
        <w:t>Scheffe</w:t>
      </w:r>
      <w:proofErr w:type="spellEnd"/>
      <w:r w:rsidR="005829AB" w:rsidRPr="0076565F">
        <w:t xml:space="preserve"> testinin tercih edilme nedeni grup mevcutlarının eşit sayıda olmamasıdır</w:t>
      </w:r>
      <w:r w:rsidR="000E0F89" w:rsidRPr="0076565F">
        <w:t xml:space="preserve"> (</w:t>
      </w:r>
      <w:proofErr w:type="spellStart"/>
      <w:r w:rsidR="00DB11C8" w:rsidRPr="0076565F">
        <w:t>Pallant</w:t>
      </w:r>
      <w:proofErr w:type="spellEnd"/>
      <w:r w:rsidR="00DB11C8" w:rsidRPr="0076565F">
        <w:t>, 2016</w:t>
      </w:r>
      <w:r w:rsidR="000E0F89" w:rsidRPr="0076565F">
        <w:t>)</w:t>
      </w:r>
      <w:r w:rsidR="005829AB" w:rsidRPr="0076565F">
        <w:t xml:space="preserve">. </w:t>
      </w:r>
    </w:p>
    <w:p w14:paraId="732A88EC" w14:textId="77777777" w:rsidR="00FA127C" w:rsidRDefault="00FA127C" w:rsidP="004D51BC">
      <w:pPr>
        <w:ind w:left="0" w:firstLine="0"/>
        <w:jc w:val="both"/>
      </w:pPr>
    </w:p>
    <w:p w14:paraId="2566CF90" w14:textId="77777777" w:rsidR="00FA127C" w:rsidRPr="009D5129" w:rsidRDefault="00FA127C" w:rsidP="00FA127C">
      <w:pPr>
        <w:ind w:left="0" w:firstLine="0"/>
        <w:jc w:val="both"/>
      </w:pPr>
      <w:r w:rsidRPr="009D5129">
        <w:t>Tablo 6</w:t>
      </w:r>
    </w:p>
    <w:p w14:paraId="7435A079" w14:textId="77777777" w:rsidR="00FA127C" w:rsidRPr="009D5129" w:rsidRDefault="00FA127C" w:rsidP="00FA127C">
      <w:pPr>
        <w:ind w:left="0" w:firstLine="0"/>
        <w:jc w:val="both"/>
        <w:rPr>
          <w:i/>
        </w:rPr>
      </w:pPr>
      <w:proofErr w:type="spellStart"/>
      <w:r w:rsidRPr="009D5129">
        <w:rPr>
          <w:i/>
        </w:rPr>
        <w:t>Scheffe</w:t>
      </w:r>
      <w:proofErr w:type="spellEnd"/>
      <w:r w:rsidRPr="009D5129">
        <w:rPr>
          <w:i/>
        </w:rPr>
        <w:t xml:space="preserve"> Testi Gruplar Arası Karşılaştırma Sonuçları</w:t>
      </w:r>
    </w:p>
    <w:tbl>
      <w:tblPr>
        <w:tblW w:w="9031"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556"/>
        <w:gridCol w:w="1555"/>
        <w:gridCol w:w="1710"/>
        <w:gridCol w:w="1278"/>
        <w:gridCol w:w="1209"/>
        <w:gridCol w:w="723"/>
      </w:tblGrid>
      <w:tr w:rsidR="00FA127C" w:rsidRPr="0076565F" w14:paraId="666A9D34" w14:textId="77777777" w:rsidTr="009344C9">
        <w:trPr>
          <w:cantSplit/>
          <w:trHeight w:val="509"/>
        </w:trPr>
        <w:tc>
          <w:tcPr>
            <w:tcW w:w="2556" w:type="dxa"/>
            <w:vMerge w:val="restart"/>
            <w:shd w:val="clear" w:color="auto" w:fill="FFFFFF"/>
            <w:vAlign w:val="center"/>
          </w:tcPr>
          <w:p w14:paraId="485A4801" w14:textId="77777777" w:rsidR="00FA127C" w:rsidRPr="0076565F" w:rsidRDefault="00FA127C" w:rsidP="009344C9">
            <w:pPr>
              <w:autoSpaceDE w:val="0"/>
              <w:autoSpaceDN w:val="0"/>
              <w:adjustRightInd w:val="0"/>
              <w:spacing w:line="240" w:lineRule="auto"/>
              <w:ind w:left="0" w:right="60" w:firstLine="0"/>
              <w:contextualSpacing/>
              <w:rPr>
                <w:b/>
                <w:color w:val="000000"/>
                <w:szCs w:val="24"/>
              </w:rPr>
            </w:pPr>
            <w:r w:rsidRPr="0076565F">
              <w:rPr>
                <w:b/>
                <w:color w:val="000000"/>
                <w:szCs w:val="24"/>
              </w:rPr>
              <w:t>Bağımlı Değişkenler</w:t>
            </w:r>
          </w:p>
        </w:tc>
        <w:tc>
          <w:tcPr>
            <w:tcW w:w="1555" w:type="dxa"/>
            <w:vMerge w:val="restart"/>
            <w:shd w:val="clear" w:color="auto" w:fill="FFFFFF"/>
            <w:vAlign w:val="center"/>
          </w:tcPr>
          <w:p w14:paraId="4A89268E" w14:textId="77777777" w:rsidR="00FA127C" w:rsidRPr="0076565F" w:rsidRDefault="00FA127C" w:rsidP="009344C9">
            <w:pPr>
              <w:autoSpaceDE w:val="0"/>
              <w:autoSpaceDN w:val="0"/>
              <w:adjustRightInd w:val="0"/>
              <w:spacing w:line="240" w:lineRule="auto"/>
              <w:ind w:left="60" w:right="60" w:firstLine="0"/>
              <w:contextualSpacing/>
              <w:jc w:val="center"/>
              <w:rPr>
                <w:b/>
                <w:color w:val="000000"/>
                <w:szCs w:val="24"/>
              </w:rPr>
            </w:pPr>
            <w:r w:rsidRPr="0076565F">
              <w:rPr>
                <w:b/>
                <w:color w:val="000000"/>
                <w:szCs w:val="24"/>
              </w:rPr>
              <w:t>(I) Gruplar</w:t>
            </w:r>
          </w:p>
        </w:tc>
        <w:tc>
          <w:tcPr>
            <w:tcW w:w="1710" w:type="dxa"/>
            <w:vMerge w:val="restart"/>
            <w:shd w:val="clear" w:color="auto" w:fill="FFFFFF"/>
            <w:vAlign w:val="center"/>
          </w:tcPr>
          <w:p w14:paraId="0A98E769" w14:textId="77777777" w:rsidR="00FA127C" w:rsidRPr="0076565F" w:rsidRDefault="00FA127C" w:rsidP="009344C9">
            <w:pPr>
              <w:autoSpaceDE w:val="0"/>
              <w:autoSpaceDN w:val="0"/>
              <w:adjustRightInd w:val="0"/>
              <w:spacing w:line="240" w:lineRule="auto"/>
              <w:ind w:left="60" w:right="60" w:firstLine="0"/>
              <w:contextualSpacing/>
              <w:jc w:val="center"/>
              <w:rPr>
                <w:b/>
                <w:color w:val="000000"/>
                <w:szCs w:val="24"/>
              </w:rPr>
            </w:pPr>
            <w:r w:rsidRPr="0076565F">
              <w:rPr>
                <w:b/>
                <w:color w:val="000000"/>
                <w:szCs w:val="24"/>
              </w:rPr>
              <w:t>(J) Gruplar</w:t>
            </w:r>
          </w:p>
        </w:tc>
        <w:tc>
          <w:tcPr>
            <w:tcW w:w="1278" w:type="dxa"/>
            <w:vMerge w:val="restart"/>
            <w:shd w:val="clear" w:color="auto" w:fill="FFFFFF"/>
            <w:vAlign w:val="center"/>
          </w:tcPr>
          <w:p w14:paraId="26F2681C" w14:textId="77777777" w:rsidR="00FA127C" w:rsidRPr="0076565F" w:rsidRDefault="00FA127C" w:rsidP="009344C9">
            <w:pPr>
              <w:autoSpaceDE w:val="0"/>
              <w:autoSpaceDN w:val="0"/>
              <w:adjustRightInd w:val="0"/>
              <w:spacing w:line="240" w:lineRule="auto"/>
              <w:ind w:left="60" w:right="60" w:firstLine="0"/>
              <w:contextualSpacing/>
              <w:jc w:val="center"/>
              <w:rPr>
                <w:b/>
                <w:color w:val="000000"/>
                <w:szCs w:val="24"/>
              </w:rPr>
            </w:pPr>
            <w:r w:rsidRPr="0076565F">
              <w:rPr>
                <w:b/>
                <w:color w:val="000000"/>
                <w:szCs w:val="24"/>
              </w:rPr>
              <w:t>Ortalama farkı (I-J)</w:t>
            </w:r>
          </w:p>
        </w:tc>
        <w:tc>
          <w:tcPr>
            <w:tcW w:w="1209" w:type="dxa"/>
            <w:vMerge w:val="restart"/>
            <w:shd w:val="clear" w:color="auto" w:fill="FFFFFF"/>
            <w:vAlign w:val="center"/>
          </w:tcPr>
          <w:p w14:paraId="3C90C028" w14:textId="77777777" w:rsidR="00FA127C" w:rsidRPr="0076565F" w:rsidRDefault="00FA127C" w:rsidP="009344C9">
            <w:pPr>
              <w:autoSpaceDE w:val="0"/>
              <w:autoSpaceDN w:val="0"/>
              <w:adjustRightInd w:val="0"/>
              <w:spacing w:line="240" w:lineRule="auto"/>
              <w:ind w:left="60" w:right="60" w:firstLine="0"/>
              <w:contextualSpacing/>
              <w:jc w:val="center"/>
              <w:rPr>
                <w:b/>
                <w:color w:val="000000"/>
                <w:szCs w:val="24"/>
              </w:rPr>
            </w:pPr>
            <w:r w:rsidRPr="0076565F">
              <w:rPr>
                <w:b/>
                <w:color w:val="000000"/>
                <w:szCs w:val="24"/>
              </w:rPr>
              <w:t>Standart Hata</w:t>
            </w:r>
          </w:p>
        </w:tc>
        <w:tc>
          <w:tcPr>
            <w:tcW w:w="723" w:type="dxa"/>
            <w:vMerge w:val="restart"/>
            <w:shd w:val="clear" w:color="auto" w:fill="FFFFFF"/>
            <w:vAlign w:val="center"/>
          </w:tcPr>
          <w:p w14:paraId="18288B09" w14:textId="77777777" w:rsidR="00FA127C" w:rsidRPr="0076565F" w:rsidRDefault="00FA127C" w:rsidP="009344C9">
            <w:pPr>
              <w:autoSpaceDE w:val="0"/>
              <w:autoSpaceDN w:val="0"/>
              <w:adjustRightInd w:val="0"/>
              <w:spacing w:line="240" w:lineRule="auto"/>
              <w:ind w:left="60" w:right="60" w:firstLine="0"/>
              <w:contextualSpacing/>
              <w:jc w:val="center"/>
              <w:rPr>
                <w:b/>
                <w:i/>
                <w:color w:val="000000"/>
                <w:szCs w:val="24"/>
              </w:rPr>
            </w:pPr>
            <w:proofErr w:type="gramStart"/>
            <w:r w:rsidRPr="0076565F">
              <w:rPr>
                <w:b/>
                <w:i/>
                <w:color w:val="000000"/>
                <w:szCs w:val="24"/>
              </w:rPr>
              <w:t>p</w:t>
            </w:r>
            <w:proofErr w:type="gramEnd"/>
          </w:p>
        </w:tc>
      </w:tr>
      <w:tr w:rsidR="00FA127C" w:rsidRPr="0076565F" w14:paraId="6991F828" w14:textId="77777777" w:rsidTr="00C61D6E">
        <w:trPr>
          <w:cantSplit/>
          <w:trHeight w:val="276"/>
        </w:trPr>
        <w:tc>
          <w:tcPr>
            <w:tcW w:w="2556" w:type="dxa"/>
            <w:vMerge/>
            <w:tcBorders>
              <w:bottom w:val="single" w:sz="4" w:space="0" w:color="auto"/>
            </w:tcBorders>
            <w:shd w:val="clear" w:color="auto" w:fill="FFFFFF"/>
            <w:vAlign w:val="center"/>
          </w:tcPr>
          <w:p w14:paraId="231DB1ED" w14:textId="77777777" w:rsidR="00FA127C" w:rsidRPr="0076565F" w:rsidRDefault="00FA127C" w:rsidP="009344C9">
            <w:pPr>
              <w:autoSpaceDE w:val="0"/>
              <w:autoSpaceDN w:val="0"/>
              <w:adjustRightInd w:val="0"/>
              <w:spacing w:line="240" w:lineRule="auto"/>
              <w:ind w:left="0" w:firstLine="0"/>
              <w:contextualSpacing/>
              <w:rPr>
                <w:b/>
                <w:color w:val="000000"/>
                <w:szCs w:val="24"/>
              </w:rPr>
            </w:pPr>
          </w:p>
        </w:tc>
        <w:tc>
          <w:tcPr>
            <w:tcW w:w="1555" w:type="dxa"/>
            <w:vMerge/>
            <w:tcBorders>
              <w:bottom w:val="single" w:sz="4" w:space="0" w:color="auto"/>
            </w:tcBorders>
            <w:shd w:val="clear" w:color="auto" w:fill="FFFFFF"/>
          </w:tcPr>
          <w:p w14:paraId="453FA95D" w14:textId="77777777" w:rsidR="00FA127C" w:rsidRPr="0076565F" w:rsidRDefault="00FA127C" w:rsidP="009344C9">
            <w:pPr>
              <w:autoSpaceDE w:val="0"/>
              <w:autoSpaceDN w:val="0"/>
              <w:adjustRightInd w:val="0"/>
              <w:spacing w:line="240" w:lineRule="auto"/>
              <w:ind w:left="0" w:firstLine="0"/>
              <w:contextualSpacing/>
              <w:rPr>
                <w:color w:val="000000"/>
                <w:szCs w:val="24"/>
              </w:rPr>
            </w:pPr>
          </w:p>
        </w:tc>
        <w:tc>
          <w:tcPr>
            <w:tcW w:w="1710" w:type="dxa"/>
            <w:vMerge/>
            <w:tcBorders>
              <w:bottom w:val="single" w:sz="4" w:space="0" w:color="auto"/>
            </w:tcBorders>
            <w:shd w:val="clear" w:color="auto" w:fill="FFFFFF"/>
          </w:tcPr>
          <w:p w14:paraId="36512D93" w14:textId="77777777" w:rsidR="00FA127C" w:rsidRPr="0076565F" w:rsidRDefault="00FA127C" w:rsidP="009344C9">
            <w:pPr>
              <w:autoSpaceDE w:val="0"/>
              <w:autoSpaceDN w:val="0"/>
              <w:adjustRightInd w:val="0"/>
              <w:spacing w:line="240" w:lineRule="auto"/>
              <w:ind w:left="0" w:firstLine="0"/>
              <w:contextualSpacing/>
              <w:rPr>
                <w:color w:val="000000"/>
                <w:szCs w:val="24"/>
              </w:rPr>
            </w:pPr>
          </w:p>
        </w:tc>
        <w:tc>
          <w:tcPr>
            <w:tcW w:w="1278" w:type="dxa"/>
            <w:vMerge/>
            <w:tcBorders>
              <w:bottom w:val="single" w:sz="4" w:space="0" w:color="auto"/>
            </w:tcBorders>
            <w:shd w:val="clear" w:color="auto" w:fill="FFFFFF"/>
          </w:tcPr>
          <w:p w14:paraId="634E439B" w14:textId="77777777" w:rsidR="00FA127C" w:rsidRPr="0076565F" w:rsidRDefault="00FA127C" w:rsidP="009344C9">
            <w:pPr>
              <w:autoSpaceDE w:val="0"/>
              <w:autoSpaceDN w:val="0"/>
              <w:adjustRightInd w:val="0"/>
              <w:spacing w:line="240" w:lineRule="auto"/>
              <w:ind w:left="0" w:firstLine="0"/>
              <w:contextualSpacing/>
              <w:rPr>
                <w:color w:val="000000"/>
                <w:szCs w:val="24"/>
              </w:rPr>
            </w:pPr>
          </w:p>
        </w:tc>
        <w:tc>
          <w:tcPr>
            <w:tcW w:w="1209" w:type="dxa"/>
            <w:vMerge/>
            <w:tcBorders>
              <w:bottom w:val="single" w:sz="4" w:space="0" w:color="auto"/>
            </w:tcBorders>
            <w:shd w:val="clear" w:color="auto" w:fill="FFFFFF"/>
          </w:tcPr>
          <w:p w14:paraId="4C847E07" w14:textId="77777777" w:rsidR="00FA127C" w:rsidRPr="0076565F" w:rsidRDefault="00FA127C" w:rsidP="009344C9">
            <w:pPr>
              <w:autoSpaceDE w:val="0"/>
              <w:autoSpaceDN w:val="0"/>
              <w:adjustRightInd w:val="0"/>
              <w:spacing w:line="240" w:lineRule="auto"/>
              <w:ind w:left="0" w:firstLine="0"/>
              <w:contextualSpacing/>
              <w:rPr>
                <w:color w:val="000000"/>
                <w:szCs w:val="24"/>
              </w:rPr>
            </w:pPr>
          </w:p>
        </w:tc>
        <w:tc>
          <w:tcPr>
            <w:tcW w:w="723" w:type="dxa"/>
            <w:vMerge/>
            <w:tcBorders>
              <w:bottom w:val="single" w:sz="4" w:space="0" w:color="auto"/>
            </w:tcBorders>
            <w:shd w:val="clear" w:color="auto" w:fill="FFFFFF"/>
          </w:tcPr>
          <w:p w14:paraId="11E3C1E4" w14:textId="77777777" w:rsidR="00FA127C" w:rsidRPr="0076565F" w:rsidRDefault="00FA127C" w:rsidP="009344C9">
            <w:pPr>
              <w:autoSpaceDE w:val="0"/>
              <w:autoSpaceDN w:val="0"/>
              <w:adjustRightInd w:val="0"/>
              <w:spacing w:line="240" w:lineRule="auto"/>
              <w:ind w:left="0" w:firstLine="0"/>
              <w:contextualSpacing/>
              <w:rPr>
                <w:color w:val="000000"/>
                <w:szCs w:val="24"/>
              </w:rPr>
            </w:pPr>
          </w:p>
        </w:tc>
      </w:tr>
      <w:tr w:rsidR="00FA127C" w:rsidRPr="0076565F" w14:paraId="6A7D1E70" w14:textId="77777777" w:rsidTr="009344C9">
        <w:trPr>
          <w:cantSplit/>
          <w:trHeight w:val="468"/>
        </w:trPr>
        <w:tc>
          <w:tcPr>
            <w:tcW w:w="2556" w:type="dxa"/>
            <w:vMerge w:val="restart"/>
            <w:tcBorders>
              <w:bottom w:val="nil"/>
              <w:right w:val="nil"/>
            </w:tcBorders>
            <w:shd w:val="clear" w:color="auto" w:fill="FFFFFF"/>
            <w:vAlign w:val="center"/>
          </w:tcPr>
          <w:p w14:paraId="1FE9F671" w14:textId="77777777" w:rsidR="00FA127C" w:rsidRPr="0076565F" w:rsidRDefault="00FA127C" w:rsidP="009344C9">
            <w:pPr>
              <w:autoSpaceDE w:val="0"/>
              <w:autoSpaceDN w:val="0"/>
              <w:adjustRightInd w:val="0"/>
              <w:spacing w:line="240" w:lineRule="auto"/>
              <w:ind w:right="60"/>
              <w:contextualSpacing/>
              <w:rPr>
                <w:b/>
                <w:color w:val="000000"/>
                <w:szCs w:val="24"/>
              </w:rPr>
            </w:pPr>
            <w:r w:rsidRPr="0076565F">
              <w:rPr>
                <w:b/>
                <w:color w:val="000000"/>
                <w:szCs w:val="24"/>
              </w:rPr>
              <w:t>Kalibrasyon</w:t>
            </w:r>
          </w:p>
        </w:tc>
        <w:tc>
          <w:tcPr>
            <w:tcW w:w="1555" w:type="dxa"/>
            <w:vMerge w:val="restart"/>
            <w:tcBorders>
              <w:left w:val="nil"/>
              <w:bottom w:val="nil"/>
              <w:right w:val="nil"/>
            </w:tcBorders>
            <w:shd w:val="clear" w:color="auto" w:fill="FFFFFF"/>
            <w:vAlign w:val="center"/>
          </w:tcPr>
          <w:p w14:paraId="6DA013B5" w14:textId="77777777" w:rsidR="00FA127C" w:rsidRPr="0076565F" w:rsidRDefault="00FA127C" w:rsidP="009344C9">
            <w:pPr>
              <w:autoSpaceDE w:val="0"/>
              <w:autoSpaceDN w:val="0"/>
              <w:adjustRightInd w:val="0"/>
              <w:spacing w:line="240" w:lineRule="auto"/>
              <w:ind w:left="60" w:right="60" w:firstLine="0"/>
              <w:contextualSpacing/>
              <w:rPr>
                <w:color w:val="000000"/>
                <w:szCs w:val="24"/>
              </w:rPr>
            </w:pPr>
            <w:r w:rsidRPr="0076565F">
              <w:rPr>
                <w:color w:val="000000"/>
                <w:szCs w:val="24"/>
              </w:rPr>
              <w:t>Düşük başarı</w:t>
            </w:r>
          </w:p>
        </w:tc>
        <w:tc>
          <w:tcPr>
            <w:tcW w:w="1710" w:type="dxa"/>
            <w:tcBorders>
              <w:left w:val="nil"/>
              <w:bottom w:val="nil"/>
              <w:right w:val="nil"/>
            </w:tcBorders>
            <w:shd w:val="clear" w:color="auto" w:fill="FFFFFF"/>
            <w:vAlign w:val="center"/>
          </w:tcPr>
          <w:p w14:paraId="3120EB9C"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Orta Başarı</w:t>
            </w:r>
          </w:p>
        </w:tc>
        <w:tc>
          <w:tcPr>
            <w:tcW w:w="1278" w:type="dxa"/>
            <w:tcBorders>
              <w:left w:val="nil"/>
              <w:bottom w:val="nil"/>
              <w:right w:val="nil"/>
            </w:tcBorders>
            <w:shd w:val="clear" w:color="auto" w:fill="FFFFFF"/>
          </w:tcPr>
          <w:p w14:paraId="56FB8607"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12</w:t>
            </w:r>
            <w:r>
              <w:rPr>
                <w:color w:val="000000"/>
                <w:szCs w:val="24"/>
              </w:rPr>
              <w:t>.</w:t>
            </w:r>
            <w:r w:rsidRPr="0076565F">
              <w:rPr>
                <w:color w:val="000000"/>
                <w:szCs w:val="24"/>
              </w:rPr>
              <w:t>22</w:t>
            </w:r>
            <w:r w:rsidRPr="0076565F">
              <w:rPr>
                <w:color w:val="000000"/>
                <w:szCs w:val="24"/>
                <w:vertAlign w:val="superscript"/>
              </w:rPr>
              <w:t>*</w:t>
            </w:r>
          </w:p>
        </w:tc>
        <w:tc>
          <w:tcPr>
            <w:tcW w:w="1209" w:type="dxa"/>
            <w:tcBorders>
              <w:left w:val="nil"/>
              <w:bottom w:val="nil"/>
              <w:right w:val="nil"/>
            </w:tcBorders>
            <w:shd w:val="clear" w:color="auto" w:fill="FFFFFF"/>
            <w:vAlign w:val="center"/>
          </w:tcPr>
          <w:p w14:paraId="0A51A9E4" w14:textId="77777777" w:rsidR="00FA127C" w:rsidRPr="0076565F" w:rsidRDefault="00FA127C" w:rsidP="009344C9">
            <w:pPr>
              <w:spacing w:line="240" w:lineRule="auto"/>
              <w:contextualSpacing/>
              <w:jc w:val="center"/>
              <w:rPr>
                <w:color w:val="000000"/>
              </w:rPr>
            </w:pPr>
            <w:r w:rsidRPr="0076565F">
              <w:rPr>
                <w:color w:val="000000"/>
              </w:rPr>
              <w:t>2</w:t>
            </w:r>
            <w:r>
              <w:rPr>
                <w:color w:val="000000"/>
              </w:rPr>
              <w:t>.</w:t>
            </w:r>
            <w:r w:rsidRPr="0076565F">
              <w:rPr>
                <w:color w:val="000000"/>
              </w:rPr>
              <w:t>60</w:t>
            </w:r>
          </w:p>
        </w:tc>
        <w:tc>
          <w:tcPr>
            <w:tcW w:w="723" w:type="dxa"/>
            <w:tcBorders>
              <w:left w:val="nil"/>
              <w:bottom w:val="nil"/>
            </w:tcBorders>
            <w:shd w:val="clear" w:color="auto" w:fill="FFFFFF"/>
            <w:vAlign w:val="center"/>
          </w:tcPr>
          <w:p w14:paraId="79EF4027" w14:textId="77777777" w:rsidR="00FA127C" w:rsidRPr="0076565F" w:rsidRDefault="00FA127C" w:rsidP="009344C9">
            <w:pPr>
              <w:spacing w:line="240" w:lineRule="auto"/>
              <w:contextualSpacing/>
              <w:jc w:val="center"/>
              <w:rPr>
                <w:color w:val="000000"/>
              </w:rPr>
            </w:pPr>
            <w:r>
              <w:rPr>
                <w:color w:val="000000"/>
              </w:rPr>
              <w:t>.</w:t>
            </w:r>
            <w:r w:rsidRPr="0076565F">
              <w:rPr>
                <w:color w:val="000000"/>
              </w:rPr>
              <w:t>00</w:t>
            </w:r>
          </w:p>
        </w:tc>
      </w:tr>
      <w:tr w:rsidR="00FA127C" w:rsidRPr="0076565F" w14:paraId="572E34F8" w14:textId="77777777" w:rsidTr="009344C9">
        <w:trPr>
          <w:cantSplit/>
          <w:trHeight w:val="108"/>
        </w:trPr>
        <w:tc>
          <w:tcPr>
            <w:tcW w:w="2556" w:type="dxa"/>
            <w:vMerge/>
            <w:tcBorders>
              <w:top w:val="nil"/>
              <w:bottom w:val="nil"/>
              <w:right w:val="nil"/>
            </w:tcBorders>
            <w:shd w:val="clear" w:color="auto" w:fill="FFFFFF"/>
            <w:vAlign w:val="center"/>
          </w:tcPr>
          <w:p w14:paraId="5D059BB5" w14:textId="77777777" w:rsidR="00FA127C" w:rsidRPr="0076565F" w:rsidRDefault="00FA127C" w:rsidP="009344C9">
            <w:pPr>
              <w:autoSpaceDE w:val="0"/>
              <w:autoSpaceDN w:val="0"/>
              <w:adjustRightInd w:val="0"/>
              <w:spacing w:line="240" w:lineRule="auto"/>
              <w:ind w:left="0" w:firstLine="0"/>
              <w:contextualSpacing/>
              <w:rPr>
                <w:b/>
                <w:color w:val="000000"/>
                <w:szCs w:val="24"/>
              </w:rPr>
            </w:pPr>
          </w:p>
        </w:tc>
        <w:tc>
          <w:tcPr>
            <w:tcW w:w="1555" w:type="dxa"/>
            <w:vMerge/>
            <w:tcBorders>
              <w:top w:val="nil"/>
              <w:left w:val="nil"/>
              <w:bottom w:val="nil"/>
              <w:right w:val="nil"/>
            </w:tcBorders>
            <w:shd w:val="clear" w:color="auto" w:fill="FFFFFF"/>
            <w:vAlign w:val="center"/>
          </w:tcPr>
          <w:p w14:paraId="3B33539C" w14:textId="77777777" w:rsidR="00FA127C" w:rsidRPr="0076565F" w:rsidRDefault="00FA127C" w:rsidP="009344C9">
            <w:pPr>
              <w:autoSpaceDE w:val="0"/>
              <w:autoSpaceDN w:val="0"/>
              <w:adjustRightInd w:val="0"/>
              <w:spacing w:line="240" w:lineRule="auto"/>
              <w:ind w:left="0" w:firstLine="0"/>
              <w:contextualSpacing/>
              <w:jc w:val="center"/>
              <w:rPr>
                <w:color w:val="000000"/>
                <w:szCs w:val="24"/>
              </w:rPr>
            </w:pPr>
          </w:p>
        </w:tc>
        <w:tc>
          <w:tcPr>
            <w:tcW w:w="1710" w:type="dxa"/>
            <w:tcBorders>
              <w:top w:val="nil"/>
              <w:left w:val="nil"/>
              <w:bottom w:val="nil"/>
              <w:right w:val="nil"/>
            </w:tcBorders>
            <w:shd w:val="clear" w:color="auto" w:fill="FFFFFF"/>
            <w:vAlign w:val="center"/>
          </w:tcPr>
          <w:p w14:paraId="3B1B4DE1"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Yüksek başarı</w:t>
            </w:r>
          </w:p>
        </w:tc>
        <w:tc>
          <w:tcPr>
            <w:tcW w:w="1278" w:type="dxa"/>
            <w:tcBorders>
              <w:top w:val="nil"/>
              <w:left w:val="nil"/>
              <w:bottom w:val="nil"/>
              <w:right w:val="nil"/>
            </w:tcBorders>
            <w:shd w:val="clear" w:color="auto" w:fill="FFFFFF"/>
          </w:tcPr>
          <w:p w14:paraId="21879226"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14</w:t>
            </w:r>
            <w:r>
              <w:rPr>
                <w:color w:val="000000"/>
                <w:szCs w:val="24"/>
              </w:rPr>
              <w:t>.</w:t>
            </w:r>
            <w:r w:rsidRPr="0076565F">
              <w:rPr>
                <w:color w:val="000000"/>
                <w:szCs w:val="24"/>
              </w:rPr>
              <w:t>57</w:t>
            </w:r>
            <w:r w:rsidRPr="0076565F">
              <w:rPr>
                <w:color w:val="000000"/>
                <w:szCs w:val="24"/>
                <w:vertAlign w:val="superscript"/>
              </w:rPr>
              <w:t>*</w:t>
            </w:r>
          </w:p>
        </w:tc>
        <w:tc>
          <w:tcPr>
            <w:tcW w:w="1209" w:type="dxa"/>
            <w:tcBorders>
              <w:top w:val="nil"/>
              <w:left w:val="nil"/>
              <w:bottom w:val="nil"/>
              <w:right w:val="nil"/>
            </w:tcBorders>
            <w:shd w:val="clear" w:color="auto" w:fill="FFFFFF"/>
            <w:vAlign w:val="center"/>
          </w:tcPr>
          <w:p w14:paraId="68FE7460" w14:textId="77777777" w:rsidR="00FA127C" w:rsidRPr="0076565F" w:rsidRDefault="00FA127C" w:rsidP="009344C9">
            <w:pPr>
              <w:spacing w:line="240" w:lineRule="auto"/>
              <w:contextualSpacing/>
              <w:jc w:val="center"/>
              <w:rPr>
                <w:color w:val="000000"/>
              </w:rPr>
            </w:pPr>
            <w:r w:rsidRPr="0076565F">
              <w:rPr>
                <w:color w:val="000000"/>
              </w:rPr>
              <w:t>2</w:t>
            </w:r>
            <w:r>
              <w:rPr>
                <w:color w:val="000000"/>
              </w:rPr>
              <w:t>.</w:t>
            </w:r>
            <w:r w:rsidRPr="0076565F">
              <w:rPr>
                <w:color w:val="000000"/>
              </w:rPr>
              <w:t>65</w:t>
            </w:r>
          </w:p>
        </w:tc>
        <w:tc>
          <w:tcPr>
            <w:tcW w:w="723" w:type="dxa"/>
            <w:tcBorders>
              <w:top w:val="nil"/>
              <w:left w:val="nil"/>
              <w:bottom w:val="nil"/>
            </w:tcBorders>
            <w:shd w:val="clear" w:color="auto" w:fill="FFFFFF"/>
            <w:vAlign w:val="center"/>
          </w:tcPr>
          <w:p w14:paraId="04C3660A" w14:textId="77777777" w:rsidR="00FA127C" w:rsidRPr="0076565F" w:rsidRDefault="00FA127C" w:rsidP="009344C9">
            <w:pPr>
              <w:spacing w:line="240" w:lineRule="auto"/>
              <w:contextualSpacing/>
              <w:jc w:val="center"/>
              <w:rPr>
                <w:color w:val="000000"/>
              </w:rPr>
            </w:pPr>
            <w:r>
              <w:rPr>
                <w:color w:val="000000"/>
              </w:rPr>
              <w:t>.</w:t>
            </w:r>
            <w:r w:rsidRPr="0076565F">
              <w:rPr>
                <w:color w:val="000000"/>
              </w:rPr>
              <w:t>00</w:t>
            </w:r>
          </w:p>
        </w:tc>
      </w:tr>
      <w:tr w:rsidR="00FA127C" w:rsidRPr="0076565F" w14:paraId="50E7BB29" w14:textId="77777777" w:rsidTr="009344C9">
        <w:trPr>
          <w:cantSplit/>
          <w:trHeight w:val="108"/>
        </w:trPr>
        <w:tc>
          <w:tcPr>
            <w:tcW w:w="2556" w:type="dxa"/>
            <w:tcBorders>
              <w:top w:val="nil"/>
              <w:bottom w:val="nil"/>
              <w:right w:val="nil"/>
            </w:tcBorders>
            <w:shd w:val="clear" w:color="auto" w:fill="FFFFFF"/>
            <w:vAlign w:val="center"/>
          </w:tcPr>
          <w:p w14:paraId="22B2F5CC" w14:textId="77777777" w:rsidR="00FA127C" w:rsidRPr="0076565F" w:rsidRDefault="00FA127C" w:rsidP="009344C9">
            <w:pPr>
              <w:autoSpaceDE w:val="0"/>
              <w:autoSpaceDN w:val="0"/>
              <w:adjustRightInd w:val="0"/>
              <w:spacing w:line="240" w:lineRule="auto"/>
              <w:ind w:left="0" w:firstLine="0"/>
              <w:contextualSpacing/>
              <w:rPr>
                <w:b/>
                <w:color w:val="000000"/>
                <w:szCs w:val="24"/>
              </w:rPr>
            </w:pPr>
            <w:r w:rsidRPr="0076565F">
              <w:rPr>
                <w:b/>
                <w:color w:val="000000"/>
                <w:szCs w:val="24"/>
              </w:rPr>
              <w:t>Çaba Düzenlemesi</w:t>
            </w:r>
          </w:p>
        </w:tc>
        <w:tc>
          <w:tcPr>
            <w:tcW w:w="1555" w:type="dxa"/>
            <w:tcBorders>
              <w:top w:val="nil"/>
              <w:left w:val="nil"/>
              <w:bottom w:val="nil"/>
              <w:right w:val="nil"/>
            </w:tcBorders>
            <w:shd w:val="clear" w:color="auto" w:fill="FFFFFF"/>
            <w:vAlign w:val="center"/>
          </w:tcPr>
          <w:p w14:paraId="468C5592" w14:textId="77777777" w:rsidR="00FA127C" w:rsidRPr="0076565F" w:rsidRDefault="00FA127C" w:rsidP="009344C9">
            <w:pPr>
              <w:autoSpaceDE w:val="0"/>
              <w:autoSpaceDN w:val="0"/>
              <w:adjustRightInd w:val="0"/>
              <w:spacing w:line="240" w:lineRule="auto"/>
              <w:ind w:left="0" w:firstLine="0"/>
              <w:contextualSpacing/>
              <w:jc w:val="center"/>
              <w:rPr>
                <w:color w:val="000000"/>
                <w:szCs w:val="24"/>
              </w:rPr>
            </w:pPr>
            <w:r w:rsidRPr="0076565F">
              <w:rPr>
                <w:color w:val="000000"/>
                <w:szCs w:val="24"/>
              </w:rPr>
              <w:t>Düşük başarı</w:t>
            </w:r>
          </w:p>
        </w:tc>
        <w:tc>
          <w:tcPr>
            <w:tcW w:w="1710" w:type="dxa"/>
            <w:tcBorders>
              <w:top w:val="nil"/>
              <w:left w:val="nil"/>
              <w:bottom w:val="nil"/>
              <w:right w:val="nil"/>
            </w:tcBorders>
            <w:shd w:val="clear" w:color="auto" w:fill="FFFFFF"/>
            <w:vAlign w:val="center"/>
          </w:tcPr>
          <w:p w14:paraId="10BBA04D"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Yüksek başarı</w:t>
            </w:r>
          </w:p>
        </w:tc>
        <w:tc>
          <w:tcPr>
            <w:tcW w:w="1278" w:type="dxa"/>
            <w:tcBorders>
              <w:top w:val="nil"/>
              <w:left w:val="nil"/>
              <w:bottom w:val="nil"/>
              <w:right w:val="nil"/>
            </w:tcBorders>
            <w:shd w:val="clear" w:color="auto" w:fill="FFFFFF"/>
          </w:tcPr>
          <w:p w14:paraId="090170C9"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-1</w:t>
            </w:r>
            <w:r>
              <w:rPr>
                <w:color w:val="000000"/>
                <w:szCs w:val="24"/>
              </w:rPr>
              <w:t>.</w:t>
            </w:r>
            <w:r w:rsidRPr="0076565F">
              <w:rPr>
                <w:color w:val="000000"/>
                <w:szCs w:val="24"/>
              </w:rPr>
              <w:t>12</w:t>
            </w:r>
            <w:r w:rsidRPr="0076565F">
              <w:rPr>
                <w:color w:val="000000"/>
                <w:szCs w:val="24"/>
                <w:vertAlign w:val="superscript"/>
              </w:rPr>
              <w:t>*</w:t>
            </w:r>
          </w:p>
        </w:tc>
        <w:tc>
          <w:tcPr>
            <w:tcW w:w="1209" w:type="dxa"/>
            <w:tcBorders>
              <w:top w:val="nil"/>
              <w:left w:val="nil"/>
              <w:bottom w:val="nil"/>
              <w:right w:val="nil"/>
            </w:tcBorders>
            <w:shd w:val="clear" w:color="auto" w:fill="FFFFFF"/>
            <w:vAlign w:val="center"/>
          </w:tcPr>
          <w:p w14:paraId="17507516" w14:textId="77777777" w:rsidR="00FA127C" w:rsidRPr="0076565F" w:rsidRDefault="00FA127C" w:rsidP="009344C9">
            <w:pPr>
              <w:spacing w:line="240" w:lineRule="auto"/>
              <w:contextualSpacing/>
              <w:jc w:val="center"/>
              <w:rPr>
                <w:color w:val="000000"/>
              </w:rPr>
            </w:pPr>
            <w:r>
              <w:rPr>
                <w:color w:val="000000"/>
              </w:rPr>
              <w:t>.</w:t>
            </w:r>
            <w:r w:rsidRPr="0076565F">
              <w:rPr>
                <w:color w:val="000000"/>
              </w:rPr>
              <w:t>32</w:t>
            </w:r>
          </w:p>
        </w:tc>
        <w:tc>
          <w:tcPr>
            <w:tcW w:w="723" w:type="dxa"/>
            <w:tcBorders>
              <w:top w:val="nil"/>
              <w:left w:val="nil"/>
              <w:bottom w:val="nil"/>
            </w:tcBorders>
            <w:shd w:val="clear" w:color="auto" w:fill="FFFFFF"/>
            <w:vAlign w:val="center"/>
          </w:tcPr>
          <w:p w14:paraId="04A88AF6" w14:textId="77777777" w:rsidR="00FA127C" w:rsidRPr="0076565F" w:rsidRDefault="00FA127C" w:rsidP="009344C9">
            <w:pPr>
              <w:spacing w:line="240" w:lineRule="auto"/>
              <w:contextualSpacing/>
              <w:jc w:val="center"/>
              <w:rPr>
                <w:color w:val="000000"/>
              </w:rPr>
            </w:pPr>
            <w:r>
              <w:rPr>
                <w:color w:val="000000"/>
              </w:rPr>
              <w:t>.</w:t>
            </w:r>
            <w:r w:rsidRPr="0076565F">
              <w:rPr>
                <w:color w:val="000000"/>
              </w:rPr>
              <w:t>00</w:t>
            </w:r>
          </w:p>
        </w:tc>
      </w:tr>
      <w:tr w:rsidR="00FA127C" w:rsidRPr="0076565F" w14:paraId="0CEE7B98" w14:textId="77777777" w:rsidTr="009344C9">
        <w:trPr>
          <w:cantSplit/>
          <w:trHeight w:val="177"/>
        </w:trPr>
        <w:tc>
          <w:tcPr>
            <w:tcW w:w="2556" w:type="dxa"/>
            <w:tcBorders>
              <w:top w:val="nil"/>
              <w:bottom w:val="nil"/>
              <w:right w:val="nil"/>
            </w:tcBorders>
            <w:shd w:val="clear" w:color="auto" w:fill="FFFFFF"/>
            <w:vAlign w:val="center"/>
          </w:tcPr>
          <w:p w14:paraId="6503EBC9" w14:textId="77777777" w:rsidR="00FA127C" w:rsidRPr="0076565F" w:rsidRDefault="00FA127C" w:rsidP="009344C9">
            <w:pPr>
              <w:autoSpaceDE w:val="0"/>
              <w:autoSpaceDN w:val="0"/>
              <w:adjustRightInd w:val="0"/>
              <w:spacing w:line="240" w:lineRule="auto"/>
              <w:ind w:left="0" w:firstLine="0"/>
              <w:contextualSpacing/>
              <w:rPr>
                <w:b/>
                <w:color w:val="000000"/>
                <w:szCs w:val="24"/>
              </w:rPr>
            </w:pPr>
            <w:r w:rsidRPr="0076565F">
              <w:rPr>
                <w:b/>
                <w:color w:val="000000"/>
                <w:szCs w:val="24"/>
              </w:rPr>
              <w:t>Biliş üstü stratejiler</w:t>
            </w:r>
          </w:p>
        </w:tc>
        <w:tc>
          <w:tcPr>
            <w:tcW w:w="1555" w:type="dxa"/>
            <w:tcBorders>
              <w:top w:val="nil"/>
              <w:left w:val="nil"/>
              <w:bottom w:val="nil"/>
              <w:right w:val="nil"/>
            </w:tcBorders>
            <w:shd w:val="clear" w:color="auto" w:fill="FFFFFF"/>
            <w:vAlign w:val="center"/>
          </w:tcPr>
          <w:p w14:paraId="62795A54" w14:textId="77777777" w:rsidR="00FA127C" w:rsidRPr="0076565F" w:rsidRDefault="00FA127C" w:rsidP="009344C9">
            <w:pPr>
              <w:autoSpaceDE w:val="0"/>
              <w:autoSpaceDN w:val="0"/>
              <w:adjustRightInd w:val="0"/>
              <w:spacing w:line="240" w:lineRule="auto"/>
              <w:ind w:left="0" w:firstLine="0"/>
              <w:contextualSpacing/>
              <w:jc w:val="center"/>
              <w:rPr>
                <w:color w:val="000000"/>
                <w:szCs w:val="24"/>
              </w:rPr>
            </w:pPr>
            <w:r w:rsidRPr="0076565F">
              <w:rPr>
                <w:color w:val="000000"/>
                <w:szCs w:val="24"/>
              </w:rPr>
              <w:t>Düşük başarı</w:t>
            </w:r>
          </w:p>
        </w:tc>
        <w:tc>
          <w:tcPr>
            <w:tcW w:w="1710" w:type="dxa"/>
            <w:tcBorders>
              <w:top w:val="nil"/>
              <w:left w:val="nil"/>
              <w:bottom w:val="nil"/>
              <w:right w:val="nil"/>
            </w:tcBorders>
            <w:shd w:val="clear" w:color="auto" w:fill="FFFFFF"/>
            <w:vAlign w:val="center"/>
          </w:tcPr>
          <w:p w14:paraId="648B4053"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Yüksek başarı</w:t>
            </w:r>
          </w:p>
        </w:tc>
        <w:tc>
          <w:tcPr>
            <w:tcW w:w="1278" w:type="dxa"/>
            <w:tcBorders>
              <w:top w:val="nil"/>
              <w:left w:val="nil"/>
              <w:bottom w:val="nil"/>
              <w:right w:val="nil"/>
            </w:tcBorders>
            <w:shd w:val="clear" w:color="auto" w:fill="FFFFFF"/>
          </w:tcPr>
          <w:p w14:paraId="4D2F9B00"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w:t>
            </w:r>
            <w:r>
              <w:rPr>
                <w:color w:val="000000"/>
                <w:szCs w:val="24"/>
              </w:rPr>
              <w:t>.</w:t>
            </w:r>
            <w:r w:rsidRPr="0076565F">
              <w:rPr>
                <w:color w:val="000000"/>
                <w:szCs w:val="24"/>
              </w:rPr>
              <w:t>59</w:t>
            </w:r>
            <w:r w:rsidRPr="0076565F">
              <w:rPr>
                <w:color w:val="000000"/>
                <w:szCs w:val="24"/>
                <w:vertAlign w:val="superscript"/>
              </w:rPr>
              <w:t>*</w:t>
            </w:r>
          </w:p>
        </w:tc>
        <w:tc>
          <w:tcPr>
            <w:tcW w:w="1209" w:type="dxa"/>
            <w:tcBorders>
              <w:top w:val="nil"/>
              <w:left w:val="nil"/>
              <w:bottom w:val="nil"/>
              <w:right w:val="nil"/>
            </w:tcBorders>
            <w:shd w:val="clear" w:color="auto" w:fill="FFFFFF"/>
            <w:vAlign w:val="center"/>
          </w:tcPr>
          <w:p w14:paraId="365A2997" w14:textId="77777777" w:rsidR="00FA127C" w:rsidRPr="0076565F" w:rsidRDefault="00FA127C" w:rsidP="009344C9">
            <w:pPr>
              <w:spacing w:line="240" w:lineRule="auto"/>
              <w:contextualSpacing/>
              <w:jc w:val="center"/>
              <w:rPr>
                <w:color w:val="000000"/>
              </w:rPr>
            </w:pPr>
            <w:r>
              <w:rPr>
                <w:color w:val="000000"/>
              </w:rPr>
              <w:t>.</w:t>
            </w:r>
            <w:r w:rsidRPr="0076565F">
              <w:rPr>
                <w:color w:val="000000"/>
              </w:rPr>
              <w:t>22</w:t>
            </w:r>
          </w:p>
        </w:tc>
        <w:tc>
          <w:tcPr>
            <w:tcW w:w="723" w:type="dxa"/>
            <w:tcBorders>
              <w:top w:val="nil"/>
              <w:left w:val="nil"/>
              <w:bottom w:val="nil"/>
            </w:tcBorders>
            <w:shd w:val="clear" w:color="auto" w:fill="FFFFFF"/>
            <w:vAlign w:val="center"/>
          </w:tcPr>
          <w:p w14:paraId="3BFA507C" w14:textId="77777777" w:rsidR="00FA127C" w:rsidRPr="0076565F" w:rsidRDefault="00FA127C" w:rsidP="009344C9">
            <w:pPr>
              <w:spacing w:line="240" w:lineRule="auto"/>
              <w:contextualSpacing/>
              <w:jc w:val="center"/>
              <w:rPr>
                <w:color w:val="000000"/>
              </w:rPr>
            </w:pPr>
            <w:r>
              <w:rPr>
                <w:color w:val="000000"/>
              </w:rPr>
              <w:t>.</w:t>
            </w:r>
            <w:r w:rsidRPr="0076565F">
              <w:rPr>
                <w:color w:val="000000"/>
              </w:rPr>
              <w:t>03</w:t>
            </w:r>
          </w:p>
        </w:tc>
      </w:tr>
      <w:tr w:rsidR="00FA127C" w:rsidRPr="0076565F" w14:paraId="6876EA7C" w14:textId="77777777" w:rsidTr="009344C9">
        <w:trPr>
          <w:cantSplit/>
          <w:trHeight w:val="108"/>
        </w:trPr>
        <w:tc>
          <w:tcPr>
            <w:tcW w:w="2556" w:type="dxa"/>
            <w:vMerge w:val="restart"/>
            <w:tcBorders>
              <w:top w:val="nil"/>
              <w:bottom w:val="nil"/>
              <w:right w:val="nil"/>
            </w:tcBorders>
            <w:shd w:val="clear" w:color="auto" w:fill="FFFFFF"/>
            <w:vAlign w:val="center"/>
          </w:tcPr>
          <w:p w14:paraId="340821D4" w14:textId="77777777" w:rsidR="00FA127C" w:rsidRPr="0076565F" w:rsidRDefault="00FA127C" w:rsidP="009344C9">
            <w:pPr>
              <w:autoSpaceDE w:val="0"/>
              <w:autoSpaceDN w:val="0"/>
              <w:adjustRightInd w:val="0"/>
              <w:spacing w:line="240" w:lineRule="auto"/>
              <w:ind w:left="0" w:firstLine="0"/>
              <w:contextualSpacing/>
              <w:rPr>
                <w:b/>
                <w:color w:val="000000"/>
                <w:szCs w:val="24"/>
              </w:rPr>
            </w:pPr>
            <w:r w:rsidRPr="0076565F">
              <w:rPr>
                <w:b/>
                <w:color w:val="000000"/>
                <w:szCs w:val="24"/>
              </w:rPr>
              <w:t>Öz yeterlik</w:t>
            </w:r>
          </w:p>
        </w:tc>
        <w:tc>
          <w:tcPr>
            <w:tcW w:w="1555" w:type="dxa"/>
            <w:tcBorders>
              <w:top w:val="nil"/>
              <w:left w:val="nil"/>
              <w:bottom w:val="nil"/>
              <w:right w:val="nil"/>
            </w:tcBorders>
            <w:shd w:val="clear" w:color="auto" w:fill="FFFFFF"/>
            <w:vAlign w:val="center"/>
          </w:tcPr>
          <w:p w14:paraId="370690EA" w14:textId="77777777" w:rsidR="00FA127C" w:rsidRPr="0076565F" w:rsidRDefault="00FA127C" w:rsidP="009344C9">
            <w:pPr>
              <w:autoSpaceDE w:val="0"/>
              <w:autoSpaceDN w:val="0"/>
              <w:adjustRightInd w:val="0"/>
              <w:spacing w:line="240" w:lineRule="auto"/>
              <w:ind w:left="0" w:firstLine="0"/>
              <w:contextualSpacing/>
              <w:jc w:val="center"/>
              <w:rPr>
                <w:color w:val="000000"/>
                <w:szCs w:val="24"/>
              </w:rPr>
            </w:pPr>
            <w:r w:rsidRPr="0076565F">
              <w:rPr>
                <w:color w:val="000000"/>
                <w:szCs w:val="24"/>
              </w:rPr>
              <w:t>Düşük başarı</w:t>
            </w:r>
          </w:p>
        </w:tc>
        <w:tc>
          <w:tcPr>
            <w:tcW w:w="1710" w:type="dxa"/>
            <w:tcBorders>
              <w:top w:val="nil"/>
              <w:left w:val="nil"/>
              <w:bottom w:val="nil"/>
              <w:right w:val="nil"/>
            </w:tcBorders>
            <w:shd w:val="clear" w:color="auto" w:fill="FFFFFF"/>
            <w:vAlign w:val="center"/>
          </w:tcPr>
          <w:p w14:paraId="11F2451D"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Yüksek başarı</w:t>
            </w:r>
          </w:p>
        </w:tc>
        <w:tc>
          <w:tcPr>
            <w:tcW w:w="1278" w:type="dxa"/>
            <w:tcBorders>
              <w:top w:val="nil"/>
              <w:left w:val="nil"/>
              <w:bottom w:val="nil"/>
              <w:right w:val="nil"/>
            </w:tcBorders>
            <w:shd w:val="clear" w:color="auto" w:fill="FFFFFF"/>
          </w:tcPr>
          <w:p w14:paraId="165236CA"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w:t>
            </w:r>
            <w:r>
              <w:rPr>
                <w:color w:val="000000"/>
                <w:szCs w:val="24"/>
              </w:rPr>
              <w:t>.</w:t>
            </w:r>
            <w:r w:rsidRPr="0076565F">
              <w:rPr>
                <w:color w:val="000000"/>
                <w:szCs w:val="24"/>
              </w:rPr>
              <w:t>95*</w:t>
            </w:r>
          </w:p>
        </w:tc>
        <w:tc>
          <w:tcPr>
            <w:tcW w:w="1209" w:type="dxa"/>
            <w:tcBorders>
              <w:top w:val="nil"/>
              <w:left w:val="nil"/>
              <w:bottom w:val="nil"/>
              <w:right w:val="nil"/>
            </w:tcBorders>
            <w:shd w:val="clear" w:color="auto" w:fill="FFFFFF"/>
            <w:vAlign w:val="center"/>
          </w:tcPr>
          <w:p w14:paraId="6B0CA145" w14:textId="77777777" w:rsidR="00FA127C" w:rsidRPr="0076565F" w:rsidRDefault="00FA127C" w:rsidP="009344C9">
            <w:pPr>
              <w:spacing w:line="240" w:lineRule="auto"/>
              <w:contextualSpacing/>
              <w:jc w:val="center"/>
              <w:rPr>
                <w:color w:val="000000"/>
              </w:rPr>
            </w:pPr>
            <w:r>
              <w:rPr>
                <w:color w:val="000000"/>
              </w:rPr>
              <w:t>.</w:t>
            </w:r>
            <w:r w:rsidRPr="0076565F">
              <w:rPr>
                <w:color w:val="000000"/>
              </w:rPr>
              <w:t>30</w:t>
            </w:r>
          </w:p>
        </w:tc>
        <w:tc>
          <w:tcPr>
            <w:tcW w:w="723" w:type="dxa"/>
            <w:tcBorders>
              <w:top w:val="nil"/>
              <w:left w:val="nil"/>
              <w:bottom w:val="nil"/>
            </w:tcBorders>
            <w:shd w:val="clear" w:color="auto" w:fill="FFFFFF"/>
            <w:vAlign w:val="center"/>
          </w:tcPr>
          <w:p w14:paraId="5E93D59E" w14:textId="77777777" w:rsidR="00FA127C" w:rsidRPr="0076565F" w:rsidRDefault="00FA127C" w:rsidP="009344C9">
            <w:pPr>
              <w:spacing w:line="240" w:lineRule="auto"/>
              <w:contextualSpacing/>
              <w:jc w:val="center"/>
              <w:rPr>
                <w:color w:val="000000"/>
              </w:rPr>
            </w:pPr>
            <w:r>
              <w:rPr>
                <w:color w:val="000000"/>
              </w:rPr>
              <w:t>.</w:t>
            </w:r>
            <w:r w:rsidRPr="0076565F">
              <w:rPr>
                <w:color w:val="000000"/>
              </w:rPr>
              <w:t>01</w:t>
            </w:r>
          </w:p>
        </w:tc>
      </w:tr>
      <w:tr w:rsidR="00FA127C" w:rsidRPr="0076565F" w14:paraId="3AF8BAFE" w14:textId="77777777" w:rsidTr="009344C9">
        <w:trPr>
          <w:cantSplit/>
          <w:trHeight w:val="333"/>
        </w:trPr>
        <w:tc>
          <w:tcPr>
            <w:tcW w:w="2556" w:type="dxa"/>
            <w:vMerge/>
            <w:tcBorders>
              <w:top w:val="nil"/>
              <w:right w:val="nil"/>
            </w:tcBorders>
            <w:shd w:val="clear" w:color="auto" w:fill="FFFFFF"/>
            <w:vAlign w:val="center"/>
          </w:tcPr>
          <w:p w14:paraId="350E79F4" w14:textId="77777777" w:rsidR="00FA127C" w:rsidRPr="0076565F" w:rsidRDefault="00FA127C" w:rsidP="009344C9">
            <w:pPr>
              <w:autoSpaceDE w:val="0"/>
              <w:autoSpaceDN w:val="0"/>
              <w:adjustRightInd w:val="0"/>
              <w:spacing w:line="240" w:lineRule="auto"/>
              <w:ind w:left="0" w:firstLine="0"/>
              <w:contextualSpacing/>
              <w:rPr>
                <w:color w:val="000000"/>
                <w:szCs w:val="24"/>
              </w:rPr>
            </w:pPr>
          </w:p>
        </w:tc>
        <w:tc>
          <w:tcPr>
            <w:tcW w:w="1555" w:type="dxa"/>
            <w:tcBorders>
              <w:top w:val="nil"/>
              <w:left w:val="nil"/>
              <w:right w:val="nil"/>
            </w:tcBorders>
            <w:shd w:val="clear" w:color="auto" w:fill="FFFFFF"/>
            <w:vAlign w:val="center"/>
          </w:tcPr>
          <w:p w14:paraId="0769567E"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Orta Başarı</w:t>
            </w:r>
          </w:p>
        </w:tc>
        <w:tc>
          <w:tcPr>
            <w:tcW w:w="1710" w:type="dxa"/>
            <w:tcBorders>
              <w:top w:val="nil"/>
              <w:left w:val="nil"/>
              <w:right w:val="nil"/>
            </w:tcBorders>
            <w:shd w:val="clear" w:color="auto" w:fill="FFFFFF"/>
            <w:vAlign w:val="center"/>
          </w:tcPr>
          <w:p w14:paraId="6F27D2DF"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Yüksek başarı</w:t>
            </w:r>
          </w:p>
        </w:tc>
        <w:tc>
          <w:tcPr>
            <w:tcW w:w="1278" w:type="dxa"/>
            <w:tcBorders>
              <w:top w:val="nil"/>
              <w:left w:val="nil"/>
              <w:right w:val="nil"/>
            </w:tcBorders>
            <w:shd w:val="clear" w:color="auto" w:fill="FFFFFF"/>
          </w:tcPr>
          <w:p w14:paraId="65D1B091" w14:textId="77777777" w:rsidR="00FA127C" w:rsidRPr="0076565F" w:rsidRDefault="00FA127C" w:rsidP="009344C9">
            <w:pPr>
              <w:autoSpaceDE w:val="0"/>
              <w:autoSpaceDN w:val="0"/>
              <w:adjustRightInd w:val="0"/>
              <w:spacing w:line="240" w:lineRule="auto"/>
              <w:ind w:left="60" w:right="60" w:firstLine="0"/>
              <w:contextualSpacing/>
              <w:jc w:val="center"/>
              <w:rPr>
                <w:color w:val="000000"/>
                <w:szCs w:val="24"/>
              </w:rPr>
            </w:pPr>
            <w:r w:rsidRPr="0076565F">
              <w:rPr>
                <w:color w:val="000000"/>
                <w:szCs w:val="24"/>
              </w:rPr>
              <w:t>-</w:t>
            </w:r>
            <w:r>
              <w:rPr>
                <w:color w:val="000000"/>
                <w:szCs w:val="24"/>
              </w:rPr>
              <w:t>.</w:t>
            </w:r>
            <w:r w:rsidRPr="0076565F">
              <w:rPr>
                <w:color w:val="000000"/>
                <w:szCs w:val="24"/>
              </w:rPr>
              <w:t>80</w:t>
            </w:r>
            <w:r w:rsidRPr="0076565F">
              <w:rPr>
                <w:color w:val="000000"/>
                <w:szCs w:val="24"/>
                <w:vertAlign w:val="superscript"/>
              </w:rPr>
              <w:t>*</w:t>
            </w:r>
          </w:p>
        </w:tc>
        <w:tc>
          <w:tcPr>
            <w:tcW w:w="1209" w:type="dxa"/>
            <w:tcBorders>
              <w:top w:val="nil"/>
              <w:left w:val="nil"/>
              <w:right w:val="nil"/>
            </w:tcBorders>
            <w:shd w:val="clear" w:color="auto" w:fill="FFFFFF"/>
            <w:vAlign w:val="center"/>
          </w:tcPr>
          <w:p w14:paraId="386F98BF" w14:textId="77777777" w:rsidR="00FA127C" w:rsidRPr="0076565F" w:rsidRDefault="00FA127C" w:rsidP="009344C9">
            <w:pPr>
              <w:spacing w:line="240" w:lineRule="auto"/>
              <w:contextualSpacing/>
              <w:jc w:val="center"/>
              <w:rPr>
                <w:color w:val="000000"/>
              </w:rPr>
            </w:pPr>
            <w:r>
              <w:rPr>
                <w:color w:val="000000"/>
              </w:rPr>
              <w:t>.</w:t>
            </w:r>
            <w:r w:rsidRPr="0076565F">
              <w:rPr>
                <w:color w:val="000000"/>
              </w:rPr>
              <w:t>29</w:t>
            </w:r>
          </w:p>
        </w:tc>
        <w:tc>
          <w:tcPr>
            <w:tcW w:w="723" w:type="dxa"/>
            <w:tcBorders>
              <w:top w:val="nil"/>
              <w:left w:val="nil"/>
            </w:tcBorders>
            <w:shd w:val="clear" w:color="auto" w:fill="FFFFFF"/>
            <w:vAlign w:val="center"/>
          </w:tcPr>
          <w:p w14:paraId="2C43AAB5" w14:textId="77777777" w:rsidR="00FA127C" w:rsidRPr="0076565F" w:rsidRDefault="00FA127C" w:rsidP="009344C9">
            <w:pPr>
              <w:spacing w:line="240" w:lineRule="auto"/>
              <w:contextualSpacing/>
              <w:jc w:val="center"/>
              <w:rPr>
                <w:color w:val="000000"/>
              </w:rPr>
            </w:pPr>
            <w:r>
              <w:rPr>
                <w:color w:val="000000"/>
              </w:rPr>
              <w:t>.</w:t>
            </w:r>
            <w:r w:rsidRPr="0076565F">
              <w:rPr>
                <w:color w:val="000000"/>
              </w:rPr>
              <w:t>03</w:t>
            </w:r>
          </w:p>
        </w:tc>
      </w:tr>
    </w:tbl>
    <w:p w14:paraId="093A1866" w14:textId="77777777" w:rsidR="00F45E4B" w:rsidRDefault="00F45E4B" w:rsidP="00F45E4B">
      <w:pPr>
        <w:autoSpaceDE w:val="0"/>
        <w:autoSpaceDN w:val="0"/>
        <w:adjustRightInd w:val="0"/>
        <w:spacing w:line="400" w:lineRule="atLeast"/>
        <w:ind w:left="0" w:firstLine="0"/>
        <w:rPr>
          <w:szCs w:val="24"/>
        </w:rPr>
      </w:pPr>
      <w:r w:rsidRPr="0076565F">
        <w:rPr>
          <w:szCs w:val="24"/>
        </w:rPr>
        <w:t>*</w:t>
      </w:r>
      <w:r w:rsidRPr="0076565F">
        <w:rPr>
          <w:i/>
          <w:szCs w:val="24"/>
        </w:rPr>
        <w:t>p</w:t>
      </w:r>
      <w:r w:rsidRPr="0076565F">
        <w:rPr>
          <w:szCs w:val="24"/>
        </w:rPr>
        <w:t>&lt;</w:t>
      </w:r>
      <w:r>
        <w:rPr>
          <w:szCs w:val="24"/>
        </w:rPr>
        <w:t>.</w:t>
      </w:r>
      <w:r w:rsidRPr="0076565F">
        <w:rPr>
          <w:szCs w:val="24"/>
        </w:rPr>
        <w:t>05</w:t>
      </w:r>
    </w:p>
    <w:p w14:paraId="065BA5CF" w14:textId="77777777" w:rsidR="00FA127C" w:rsidRDefault="00FA127C" w:rsidP="004D51BC">
      <w:pPr>
        <w:ind w:left="0" w:firstLine="0"/>
        <w:jc w:val="both"/>
      </w:pPr>
    </w:p>
    <w:p w14:paraId="14C51A06" w14:textId="5DEA6D79" w:rsidR="005829AB" w:rsidRDefault="008748DD" w:rsidP="004D51BC">
      <w:pPr>
        <w:ind w:left="0" w:firstLine="0"/>
        <w:jc w:val="both"/>
      </w:pPr>
      <w:r>
        <w:t xml:space="preserve">Tablo 6’da </w:t>
      </w:r>
      <w:proofErr w:type="spellStart"/>
      <w:r w:rsidR="005829AB" w:rsidRPr="0076565F">
        <w:t>Scheffe</w:t>
      </w:r>
      <w:proofErr w:type="spellEnd"/>
      <w:r w:rsidR="005829AB" w:rsidRPr="0076565F">
        <w:t xml:space="preserve"> testine göre</w:t>
      </w:r>
      <w:r w:rsidR="000E0F89" w:rsidRPr="0076565F">
        <w:t xml:space="preserve"> </w:t>
      </w:r>
      <w:proofErr w:type="gramStart"/>
      <w:r w:rsidR="000E0F89" w:rsidRPr="0076565F">
        <w:t>kalibrasyon</w:t>
      </w:r>
      <w:proofErr w:type="gramEnd"/>
      <w:r w:rsidR="000E0F89" w:rsidRPr="0076565F">
        <w:t xml:space="preserve"> üç grup için istatistiksel olarak anlamlı şekilde farklıdır. </w:t>
      </w:r>
      <w:r w:rsidR="000C6B37" w:rsidRPr="0076565F">
        <w:t xml:space="preserve">Bir başka deyişle düşük başarı grubunun kalibrasyonu orta ve yüksek başarı grubundan istatistiksel olarak anlamlı şekilde farklıdır. Burada fark orta ve yüksek başarı grubu lehinedir. Orta başarı grubu da yüksek başarı grubundan istatistiksel olarak anlamlı şekilde farklı olup fark yüksek başarı grubu lehinedir. </w:t>
      </w:r>
      <w:r w:rsidR="000E0F89" w:rsidRPr="0076565F">
        <w:t xml:space="preserve">Ancak </w:t>
      </w:r>
      <w:proofErr w:type="spellStart"/>
      <w:r w:rsidR="000E0F89" w:rsidRPr="0076565F">
        <w:t>güdüsel</w:t>
      </w:r>
      <w:proofErr w:type="spellEnd"/>
      <w:r w:rsidR="000E0F89" w:rsidRPr="0076565F">
        <w:t xml:space="preserve"> stratejilerde</w:t>
      </w:r>
      <w:r w:rsidR="00DB5537" w:rsidRPr="0076565F">
        <w:t xml:space="preserve"> </w:t>
      </w:r>
      <w:r w:rsidR="000E0F89" w:rsidRPr="0076565F">
        <w:t>üç grubun</w:t>
      </w:r>
      <w:r w:rsidR="00DB5537" w:rsidRPr="0076565F">
        <w:t xml:space="preserve"> </w:t>
      </w:r>
      <w:r w:rsidR="000E0F89" w:rsidRPr="0076565F">
        <w:t>da istatistiksel olarak farklılaştığı değişkene rastlanmamıştır. Çaba düzenlemesi ve biliş üstü stratejilerde düşük ve yüksek başarılı gruplar istatistiksel olarak anlamlı şekilde birbirinden farklılaşırken, öz yeterlikte yüksek başarılı grup hem düşük hem de orta başarılı gruptan istatistiksel olarak anlamlı şekilde farklılaşmaktadır</w:t>
      </w:r>
      <w:r w:rsidR="00F126FD">
        <w:t>.</w:t>
      </w:r>
      <w:r w:rsidR="000E0F89" w:rsidRPr="0076565F">
        <w:t xml:space="preserve"> </w:t>
      </w:r>
      <w:r w:rsidR="004E1F40" w:rsidRPr="0076565F">
        <w:t>Bu değişkenler için fark yüksek grup lehinedir</w:t>
      </w:r>
      <w:r>
        <w:t>.</w:t>
      </w:r>
      <w:r w:rsidR="004E1F40" w:rsidRPr="0076565F">
        <w:t xml:space="preserve"> </w:t>
      </w:r>
    </w:p>
    <w:p w14:paraId="48BF293B" w14:textId="77777777" w:rsidR="00035A33" w:rsidRPr="00D70C47" w:rsidRDefault="00035A33" w:rsidP="004D51BC">
      <w:pPr>
        <w:ind w:left="0" w:firstLine="0"/>
        <w:jc w:val="center"/>
        <w:rPr>
          <w:b/>
        </w:rPr>
      </w:pPr>
      <w:r w:rsidRPr="00D70C47">
        <w:rPr>
          <w:b/>
        </w:rPr>
        <w:t>Tartışma ve Sonuç</w:t>
      </w:r>
    </w:p>
    <w:p w14:paraId="689DA688" w14:textId="77777777" w:rsidR="00FF2B8A" w:rsidRPr="00D70C47" w:rsidRDefault="00FE3DFA" w:rsidP="004D51BC">
      <w:pPr>
        <w:ind w:left="0" w:firstLine="0"/>
        <w:jc w:val="both"/>
      </w:pPr>
      <w:r w:rsidRPr="00D70C47">
        <w:tab/>
      </w:r>
      <w:r w:rsidR="00FF2B8A" w:rsidRPr="00D70C47">
        <w:t xml:space="preserve">Bu çalışmada fen bilimleri öğretmen adaylarının </w:t>
      </w:r>
      <w:r w:rsidR="008A38B1" w:rsidRPr="00D70C47">
        <w:t>organik kimya dersinde</w:t>
      </w:r>
      <w:r w:rsidR="00637196" w:rsidRPr="00D70C47">
        <w:t>ki</w:t>
      </w:r>
      <w:r w:rsidR="008A38B1" w:rsidRPr="00D70C47">
        <w:t xml:space="preserve"> kalibrasyon becerileri</w:t>
      </w:r>
      <w:r w:rsidR="002F6E80" w:rsidRPr="00D70C47">
        <w:t>,</w:t>
      </w:r>
      <w:r w:rsidR="008A38B1" w:rsidRPr="00D70C47">
        <w:t xml:space="preserve"> öğrenme stratejil</w:t>
      </w:r>
      <w:r w:rsidR="002F6E80" w:rsidRPr="00D70C47">
        <w:t>eri ve motivasyon değişkenleriy</w:t>
      </w:r>
      <w:r w:rsidR="008A38B1" w:rsidRPr="00D70C47">
        <w:t xml:space="preserve">le ilişkilendirilerek incelenmiştir. </w:t>
      </w:r>
      <w:r w:rsidR="003E5F93" w:rsidRPr="00D70C47">
        <w:t>Çalışma sonucunda f</w:t>
      </w:r>
      <w:r w:rsidR="008A38B1" w:rsidRPr="00D70C47">
        <w:t xml:space="preserve">en bilimleri öğretmen adaylarının kalibrasyon becerilerinin başarı ile ilişkili olduğu sonucuna varılmıştır. Yüksek başarılı öğretmen adaylarının kalibrasyon </w:t>
      </w:r>
      <w:r w:rsidR="003A2B4B" w:rsidRPr="00D70C47">
        <w:t>becerilerinin</w:t>
      </w:r>
      <w:r w:rsidR="008A38B1" w:rsidRPr="00D70C47">
        <w:t xml:space="preserve"> de yüksek olduğu, düşük başarılı olanların kalibrasyon becerilerinin de düşük olduğu sonucuna ulaşılmıştır. Fen bilimleri öğretmen adaylarının organik kimya dersindeki kalibrasyon becerileri </w:t>
      </w:r>
      <w:r w:rsidR="002922DF" w:rsidRPr="00D70C47">
        <w:t>biliş üstü strat</w:t>
      </w:r>
      <w:r w:rsidR="002F6E80" w:rsidRPr="00D70C47">
        <w:t>ejileriy</w:t>
      </w:r>
      <w:r w:rsidR="002922DF" w:rsidRPr="00D70C47">
        <w:t xml:space="preserve">le istatistiksel olarak anlamlı bulunmazken, çaba düzenlemesi ve öz yeterlik inanışları ile negatif ilişkili bulunmuştur. Buradaki negatif ilişki </w:t>
      </w:r>
      <w:r w:rsidR="002922DF" w:rsidRPr="00D70C47">
        <w:lastRenderedPageBreak/>
        <w:t xml:space="preserve">kalibrasyon becerisinin hesaplanmasından kaynaklı bir durumdur. Kalibrasyon mutlak değer olarak hesaplandığından ve sıfıra yakın </w:t>
      </w:r>
      <w:r w:rsidR="003A2B4B" w:rsidRPr="00D70C47">
        <w:t>değerler</w:t>
      </w:r>
      <w:r w:rsidR="002922DF" w:rsidRPr="00D70C47">
        <w:t xml:space="preserve"> </w:t>
      </w:r>
      <w:r w:rsidR="003E5F93" w:rsidRPr="00D70C47">
        <w:t>yüksek</w:t>
      </w:r>
      <w:r w:rsidR="002922DF" w:rsidRPr="00D70C47">
        <w:t xml:space="preserve"> kalibrasyon</w:t>
      </w:r>
      <w:r w:rsidR="003E5F93" w:rsidRPr="00D70C47">
        <w:t xml:space="preserve"> becerisini</w:t>
      </w:r>
      <w:r w:rsidR="002922DF" w:rsidRPr="00D70C47">
        <w:t xml:space="preserve"> nitelediğinden bu şekilde bir sonuç ortaya çıkmıştır. </w:t>
      </w:r>
      <w:r w:rsidR="00827711" w:rsidRPr="00D70C47">
        <w:t>Ancak yorumlanırken bu durumun dikkate alınması gerekmektedir. Bu açıdan bakıldığında kalibrasyon becerisi yüksek öğrencilerin daha yüksek öz yeterliğe ve çaba düzenlemesine sahip olduğu ifade edilebilir.</w:t>
      </w:r>
    </w:p>
    <w:p w14:paraId="030A910B" w14:textId="2E5E30B8" w:rsidR="009B3E6F" w:rsidRPr="00D70C47" w:rsidRDefault="00FE3DFA" w:rsidP="004D51BC">
      <w:pPr>
        <w:ind w:left="0" w:firstLine="0"/>
        <w:jc w:val="both"/>
        <w:rPr>
          <w:rFonts w:eastAsiaTheme="minorEastAsia"/>
          <w:b/>
        </w:rPr>
      </w:pPr>
      <w:r w:rsidRPr="00D70C47">
        <w:tab/>
      </w:r>
      <w:r w:rsidR="009B3E6F" w:rsidRPr="00D70C47">
        <w:t>Çalışmaya katılan fen bilimleri öğretmen adaylarının organik kimya dersi yarıyıl sonu sınavı</w:t>
      </w:r>
      <w:r w:rsidR="00BD3A03" w:rsidRPr="00D70C47">
        <w:t xml:space="preserve"> ortalamalarının</w:t>
      </w:r>
      <w:r w:rsidR="009B3E6F" w:rsidRPr="00D70C47">
        <w:t xml:space="preserve"> </w:t>
      </w:r>
      <w:r w:rsidR="00BD3A03" w:rsidRPr="00D70C47">
        <w:t xml:space="preserve">geçme notu olan altmış puandan yarım standart sapma civarında yüksek olması, ortalamanın yükseğe yakın bir değerde olduğuna işaret etmektedir. </w:t>
      </w:r>
      <w:r w:rsidR="001826BA" w:rsidRPr="00D70C47">
        <w:t xml:space="preserve">Bu durum sınavın </w:t>
      </w:r>
      <w:r w:rsidR="001902B5" w:rsidRPr="00D70C47">
        <w:t>yarıyıl</w:t>
      </w:r>
      <w:r w:rsidR="00661673" w:rsidRPr="00D70C47">
        <w:t xml:space="preserve"> sonu </w:t>
      </w:r>
      <w:r w:rsidR="001826BA" w:rsidRPr="00D70C47">
        <w:t xml:space="preserve">sınavı olmasından dolayı öğrencilerin yoğun bir gayret göstererek </w:t>
      </w:r>
      <w:r w:rsidR="001902B5" w:rsidRPr="00D70C47">
        <w:t>yarıyıl</w:t>
      </w:r>
      <w:r w:rsidR="00661673" w:rsidRPr="00D70C47">
        <w:t xml:space="preserve"> sonu </w:t>
      </w:r>
      <w:r w:rsidR="001826BA" w:rsidRPr="00D70C47">
        <w:t>sınavından yüksek not alma çabası içinde olmaları şeklinde yorumlanabilir. Diğer yandan sınavın güçlük derecesi de bu duruma etkendir. Fen bilimleri öğretmen adaylarının kalibrasyon puan ortalamaları ise geçme notunun bir standart sapmadan daha fazla üzerinde, sınav not ortalamasının ise yarım standart sapma üzerinde bulunmuştur. Bu durum öğretmen adaylarının kalibrasyon becerilerinin ortalama olarak zayıf olduğuna işaret etmektedir. Öğretmen adaylarının kendi sınav başarıları hakkında kestirimde bulunmada zorluk yaşadıkları da söylenebilir. Benzer eğitim seviyelerinde yapılan kalibrasyon araştırmalarında da mevcut çalı</w:t>
      </w:r>
      <w:r w:rsidR="003C4928" w:rsidRPr="00D70C47">
        <w:t>ş</w:t>
      </w:r>
      <w:r w:rsidR="001826BA" w:rsidRPr="00D70C47">
        <w:t xml:space="preserve">ma bulgularına yakın değerler bulunmuştur. Örneğin Aşık ve Sevimli (2015), mühendislik fakültesi öğrencileriyle genel matematik (analiz) dersi </w:t>
      </w:r>
      <w:r w:rsidR="001902B5" w:rsidRPr="00D70C47">
        <w:t>yarıyıl</w:t>
      </w:r>
      <w:r w:rsidR="00661673" w:rsidRPr="00D70C47">
        <w:t xml:space="preserve"> sonu </w:t>
      </w:r>
      <w:r w:rsidR="001826BA" w:rsidRPr="00D70C47">
        <w:t xml:space="preserve">sınavında yaptıkları </w:t>
      </w:r>
      <w:r w:rsidR="003C4928" w:rsidRPr="00D70C47">
        <w:t>kalibrasyon</w:t>
      </w:r>
      <w:r w:rsidR="001826BA" w:rsidRPr="00D70C47">
        <w:t xml:space="preserve"> çalışmasında mühendislik fakültesi öğrencilerinin sınav öncesi alacakları not tahmininin sınav notunun çok üzerinde olduğunu belirtmişlerdir. Bir başka çalışmada ise </w:t>
      </w:r>
      <w:proofErr w:type="spellStart"/>
      <w:r w:rsidR="001826BA" w:rsidRPr="00D70C47">
        <w:t>Valdez</w:t>
      </w:r>
      <w:proofErr w:type="spellEnd"/>
      <w:r w:rsidR="001826BA" w:rsidRPr="00D70C47">
        <w:t xml:space="preserve"> (2013) yine üniversite öğrencileri ile çalışmıştır. Katılımcılarını dil eğitimi öğrencilerinin oluşturduğu çalışmada, farklı sınavlarla ilgili </w:t>
      </w:r>
      <w:r w:rsidR="003C4928" w:rsidRPr="00D70C47">
        <w:t>kalibrasyon</w:t>
      </w:r>
      <w:r w:rsidR="001826BA" w:rsidRPr="00D70C47">
        <w:t xml:space="preserve"> hesaplamaları yapmıştır. </w:t>
      </w:r>
      <w:r w:rsidR="00661E54" w:rsidRPr="00D70C47">
        <w:t xml:space="preserve">Kalibrasyon ortalamalarının 13-24 puan aralığında değiştiği çalışmada, dil eğitimi öğrencilerinin de kalibrasyon anlamında zayıf kaldığını belirtmiştir. </w:t>
      </w:r>
    </w:p>
    <w:p w14:paraId="476AFA1C" w14:textId="5BDE1F4B" w:rsidR="00DD52E9" w:rsidRPr="00D70C47" w:rsidRDefault="00FE3DFA" w:rsidP="004D51BC">
      <w:pPr>
        <w:ind w:left="0" w:firstLine="0"/>
        <w:jc w:val="both"/>
      </w:pPr>
      <w:r w:rsidRPr="00D70C47">
        <w:tab/>
      </w:r>
      <w:r w:rsidR="00DD52E9" w:rsidRPr="00D70C47">
        <w:t xml:space="preserve">Bu çalışmada kalibrasyon ve başarı ilişkisinin araştırılması alan yazınla benzer sonuçlar ortaya çıkarmıştır. Mevcut çalışmada organik kimya </w:t>
      </w:r>
      <w:r w:rsidR="001902B5" w:rsidRPr="00D70C47">
        <w:t>yarıyıl</w:t>
      </w:r>
      <w:r w:rsidR="00661673" w:rsidRPr="00D70C47">
        <w:t xml:space="preserve"> sonu </w:t>
      </w:r>
      <w:r w:rsidR="00DD52E9" w:rsidRPr="00D70C47">
        <w:t xml:space="preserve">sınavından yüksek notlar alan fen bilimleri öğretmen adaylarının alacakları notları tahmin edebilme becerileri (kalibrasyonları) düşük not alan öğretmen adaylarından daha yüksek bulunmuştur. Buna göre bu çalışma bulguları </w:t>
      </w:r>
      <w:r w:rsidR="00DD52E9" w:rsidRPr="00D70C47">
        <w:rPr>
          <w:i/>
        </w:rPr>
        <w:t>yüksek başarılı öğrencilerin kalibrasyon becerileri de yüksektir</w:t>
      </w:r>
      <w:r w:rsidR="00DD52E9" w:rsidRPr="00D70C47">
        <w:t xml:space="preserve"> çıkarımını desteklemektedir. Uluslararası alan yazın ve Türkiye’de yapılan az sayıda çalışma da bu bulguyu desteklemektedir</w:t>
      </w:r>
      <w:r w:rsidR="00CC1183" w:rsidRPr="00D70C47">
        <w:t xml:space="preserve"> (Dang ve </w:t>
      </w:r>
      <w:proofErr w:type="spellStart"/>
      <w:r w:rsidR="00CC1183" w:rsidRPr="00D70C47">
        <w:t>diğ</w:t>
      </w:r>
      <w:proofErr w:type="spellEnd"/>
      <w:r w:rsidR="00CC1183" w:rsidRPr="00D70C47">
        <w:t xml:space="preserve">., 2018; </w:t>
      </w:r>
      <w:proofErr w:type="spellStart"/>
      <w:r w:rsidR="00CC1183" w:rsidRPr="00D70C47">
        <w:t>Garcia</w:t>
      </w:r>
      <w:proofErr w:type="spellEnd"/>
      <w:r w:rsidR="00CC1183" w:rsidRPr="00D70C47">
        <w:t xml:space="preserve"> ve </w:t>
      </w:r>
      <w:proofErr w:type="spellStart"/>
      <w:r w:rsidR="00CC1183" w:rsidRPr="00D70C47">
        <w:t>diğ</w:t>
      </w:r>
      <w:proofErr w:type="spellEnd"/>
      <w:r w:rsidR="00CC1183" w:rsidRPr="00D70C47">
        <w:t>., 2016</w:t>
      </w:r>
      <w:r w:rsidR="000E52A7" w:rsidRPr="00D70C47">
        <w:t>;</w:t>
      </w:r>
      <w:r w:rsidR="00CC1183" w:rsidRPr="00D70C47">
        <w:t xml:space="preserve"> </w:t>
      </w:r>
      <w:proofErr w:type="spellStart"/>
      <w:r w:rsidR="00CC1183" w:rsidRPr="00D70C47">
        <w:t>Kallia</w:t>
      </w:r>
      <w:proofErr w:type="spellEnd"/>
      <w:r w:rsidR="00CC1183" w:rsidRPr="00D70C47">
        <w:t xml:space="preserve"> ve </w:t>
      </w:r>
      <w:proofErr w:type="spellStart"/>
      <w:r w:rsidR="00CC1183" w:rsidRPr="00D70C47">
        <w:t>Sentance</w:t>
      </w:r>
      <w:proofErr w:type="spellEnd"/>
      <w:r w:rsidR="00CC1183" w:rsidRPr="00D70C47">
        <w:t xml:space="preserve">, 2018; </w:t>
      </w:r>
      <w:proofErr w:type="spellStart"/>
      <w:r w:rsidR="00CC1183" w:rsidRPr="00D70C47">
        <w:t>Morphew</w:t>
      </w:r>
      <w:proofErr w:type="spellEnd"/>
      <w:r w:rsidR="00CC1183" w:rsidRPr="00D70C47">
        <w:t>, 2021</w:t>
      </w:r>
      <w:r w:rsidR="00CF3310" w:rsidRPr="00D70C47">
        <w:t>; Özsoy, 2012</w:t>
      </w:r>
      <w:r w:rsidR="00CC1183" w:rsidRPr="00D70C47">
        <w:t>)</w:t>
      </w:r>
      <w:r w:rsidR="00DD52E9" w:rsidRPr="00D70C47">
        <w:t xml:space="preserve">. Örneğin </w:t>
      </w:r>
      <w:proofErr w:type="spellStart"/>
      <w:r w:rsidR="00DD52E9" w:rsidRPr="00D70C47">
        <w:t>Kallia</w:t>
      </w:r>
      <w:proofErr w:type="spellEnd"/>
      <w:r w:rsidR="00DD52E9" w:rsidRPr="00D70C47">
        <w:t xml:space="preserve"> ve </w:t>
      </w:r>
      <w:proofErr w:type="spellStart"/>
      <w:r w:rsidR="00DD52E9" w:rsidRPr="00D70C47">
        <w:t>Sentance</w:t>
      </w:r>
      <w:proofErr w:type="spellEnd"/>
      <w:r w:rsidR="00DD52E9" w:rsidRPr="00D70C47">
        <w:t xml:space="preserve"> (2018) yüksek başarılı öğrencilerin notları ile kalibrasyonları arasında negatif ilişki olduğunu belirtmiştir. Kalibrasyonun mutlak </w:t>
      </w:r>
      <w:r w:rsidR="00DD52E9" w:rsidRPr="00D70C47">
        <w:lastRenderedPageBreak/>
        <w:t xml:space="preserve">değer olarak hesaplandığı göz önüne alınırsa çalışma bulguları mevcut çalışma ile tutarlıdır. Yine Hacker, Bol ve </w:t>
      </w:r>
      <w:proofErr w:type="spellStart"/>
      <w:r w:rsidR="00DD52E9" w:rsidRPr="00D70C47">
        <w:t>Bahbahani</w:t>
      </w:r>
      <w:proofErr w:type="spellEnd"/>
      <w:r w:rsidR="00DD52E9" w:rsidRPr="00D70C47">
        <w:t xml:space="preserve"> (2008) yüksek başarılı öğrencilerin kalibrasyon becerilerinin de yüksek olduğunu, düşük başarılı öğrencilerinse kalibrasyon becerilerinin de düşük olduğunu belirtmiştir. Ayrıca Hacker ve </w:t>
      </w:r>
      <w:proofErr w:type="spellStart"/>
      <w:r w:rsidR="00DD52E9" w:rsidRPr="00D70C47">
        <w:t>diğ</w:t>
      </w:r>
      <w:proofErr w:type="spellEnd"/>
      <w:r w:rsidR="00DD52E9" w:rsidRPr="00D70C47">
        <w:t xml:space="preserve">. (2008) yüksek başarılı öğrencilerin kalibrasyon becerilerinin dönem boyu süren sınavlarda tutarlılık gösterdiğini ve bu öğrencilerin kalibrasyon becerilerindeki istikrarı sürdürdüklerini belirtmiştir. </w:t>
      </w:r>
      <w:r w:rsidR="00840A50" w:rsidRPr="00D70C47">
        <w:t xml:space="preserve">Benzer şekilde Dang ve </w:t>
      </w:r>
      <w:proofErr w:type="spellStart"/>
      <w:r w:rsidR="00840A50" w:rsidRPr="00D70C47">
        <w:t>diğ</w:t>
      </w:r>
      <w:proofErr w:type="spellEnd"/>
      <w:r w:rsidR="00840A50" w:rsidRPr="00D70C47">
        <w:t xml:space="preserve">. (2018), </w:t>
      </w:r>
      <w:r w:rsidR="00FD39EF" w:rsidRPr="00D70C47">
        <w:t>düşük başarılı öğrenciler</w:t>
      </w:r>
      <w:r w:rsidR="00547C53">
        <w:t>in</w:t>
      </w:r>
      <w:r w:rsidR="00FD39EF" w:rsidRPr="00D70C47">
        <w:t xml:space="preserve"> </w:t>
      </w:r>
      <w:r w:rsidR="00C97B5E" w:rsidRPr="00D70C47">
        <w:t xml:space="preserve">biyoloji dersinde </w:t>
      </w:r>
      <w:r w:rsidR="00FD39EF" w:rsidRPr="00D70C47">
        <w:t>düşük kalibrasyon sergile</w:t>
      </w:r>
      <w:r w:rsidR="00547C53">
        <w:t>dikle</w:t>
      </w:r>
      <w:r w:rsidR="00C97B5E">
        <w:t>rini</w:t>
      </w:r>
      <w:r w:rsidR="00547C53">
        <w:t>,</w:t>
      </w:r>
      <w:r w:rsidR="00FD39EF" w:rsidRPr="00D70C47">
        <w:t xml:space="preserve"> yüksek başarılı </w:t>
      </w:r>
      <w:r w:rsidR="00C97B5E" w:rsidRPr="00D70C47">
        <w:t>öğrenciler</w:t>
      </w:r>
      <w:r w:rsidR="00C97B5E">
        <w:t>in</w:t>
      </w:r>
      <w:r w:rsidR="00922C85">
        <w:t xml:space="preserve">se yüksek kalibrasyon sergilediklerini </w:t>
      </w:r>
      <w:r w:rsidR="00C97B5E">
        <w:t>belirtmişlerdir</w:t>
      </w:r>
      <w:r w:rsidR="00FD39EF" w:rsidRPr="00D70C47">
        <w:t xml:space="preserve">. Biyoloji dersinde üniversite öğrencileri ile yapılan çalışmada da </w:t>
      </w:r>
      <w:proofErr w:type="spellStart"/>
      <w:r w:rsidR="00FD39EF" w:rsidRPr="00D70C47">
        <w:t>Osterhage</w:t>
      </w:r>
      <w:proofErr w:type="spellEnd"/>
      <w:r w:rsidR="00FD39EF" w:rsidRPr="00D70C47">
        <w:t xml:space="preserve"> (2021)</w:t>
      </w:r>
      <w:r w:rsidR="00C97B5E">
        <w:t>,</w:t>
      </w:r>
      <w:r w:rsidR="00FD39EF" w:rsidRPr="00D70C47">
        <w:t xml:space="preserve"> düşük başarılı öğrencilerin gerçek notlarından yüksek tahminlerde </w:t>
      </w:r>
      <w:r w:rsidR="00D87495" w:rsidRPr="00D70C47">
        <w:t>bulunduklarını</w:t>
      </w:r>
      <w:r w:rsidR="00FD39EF" w:rsidRPr="00D70C47">
        <w:t>, başarılı</w:t>
      </w:r>
      <w:r w:rsidR="00D87495" w:rsidRPr="00D70C47">
        <w:t xml:space="preserve"> olan</w:t>
      </w:r>
      <w:r w:rsidR="00FD39EF" w:rsidRPr="00D70C47">
        <w:t xml:space="preserve"> </w:t>
      </w:r>
      <w:r w:rsidR="00D87495" w:rsidRPr="00D70C47">
        <w:t>öğrencilerin</w:t>
      </w:r>
      <w:r w:rsidR="00FD39EF" w:rsidRPr="00D70C47">
        <w:t xml:space="preserve"> ise not tahminlerin</w:t>
      </w:r>
      <w:r w:rsidR="00D87495" w:rsidRPr="00D70C47">
        <w:t xml:space="preserve">in gerçek notlarından </w:t>
      </w:r>
      <w:r w:rsidR="00C97B5E">
        <w:t xml:space="preserve">daha </w:t>
      </w:r>
      <w:r w:rsidR="00D87495" w:rsidRPr="00D70C47">
        <w:t xml:space="preserve">düşük olduğunu belirtmiştir. </w:t>
      </w:r>
      <w:proofErr w:type="spellStart"/>
      <w:r w:rsidR="00DD3D82" w:rsidRPr="00D70C47">
        <w:t>Garcia</w:t>
      </w:r>
      <w:proofErr w:type="spellEnd"/>
      <w:r w:rsidR="00DD3D82" w:rsidRPr="00D70C47">
        <w:t xml:space="preserve"> ve </w:t>
      </w:r>
      <w:proofErr w:type="spellStart"/>
      <w:r w:rsidR="00DD3D82" w:rsidRPr="00D70C47">
        <w:t>diğ</w:t>
      </w:r>
      <w:proofErr w:type="spellEnd"/>
      <w:r w:rsidR="00DD3D82" w:rsidRPr="00D70C47">
        <w:t xml:space="preserve">., (2016), ortaokul öğrencilerinin matematik dersindeki kalibrasyon becerilerini belirlemek için yaptıkları çalışmada yine yüksek başarılı öğrencilerin düşük başarılı öğrencilere göre daha yüksek bir kalibrasyon beceri düzeyine sahip olduklarını tespit etmişlerdir. </w:t>
      </w:r>
      <w:r w:rsidR="00914D77" w:rsidRPr="00D70C47">
        <w:t xml:space="preserve">Türkiye’de yapılan çalışmalarda da mevcut çalışma bulgularına benzer sonuçlar elde edilmiştir. Özsoy (2012), beşinci sınıf öğrencileriyle yaptığı çalışmada </w:t>
      </w:r>
      <w:r w:rsidR="00CE43E2" w:rsidRPr="00D70C47">
        <w:t xml:space="preserve">matematik ders başarısı yüksek olan öğrencilerin daha yüksek kalibrasyon becerisine sahip olduğunu belirtmiştir. Üniversite öğrencileri ile yaptıkları çalışmada </w:t>
      </w:r>
      <w:r w:rsidR="00D8465B" w:rsidRPr="00D70C47">
        <w:t xml:space="preserve">Aşık ve </w:t>
      </w:r>
      <w:r w:rsidR="00CE43E2" w:rsidRPr="00D70C47">
        <w:t xml:space="preserve">Sevimli </w:t>
      </w:r>
      <w:r w:rsidR="00D8465B" w:rsidRPr="00D70C47">
        <w:t xml:space="preserve">(2015) de matematik </w:t>
      </w:r>
      <w:r w:rsidR="001902B5" w:rsidRPr="00D70C47">
        <w:t>yarıyıl</w:t>
      </w:r>
      <w:r w:rsidR="00661673" w:rsidRPr="00D70C47">
        <w:t xml:space="preserve"> sonu </w:t>
      </w:r>
      <w:r w:rsidR="00D8465B" w:rsidRPr="00D70C47">
        <w:t xml:space="preserve">sınavında yüksek başarılı öğrencilerin daha yüksek kalibrasyon becerisine sahip olduklarını bulmuşlardır. </w:t>
      </w:r>
      <w:r w:rsidR="00E35978" w:rsidRPr="00D70C47">
        <w:t xml:space="preserve">Kalibrasyon-başarı ilişkisi genellikle doğru orantılı olarak yorumlanabilir ancak </w:t>
      </w:r>
      <w:r w:rsidR="006805E1" w:rsidRPr="00D70C47">
        <w:t>farklı derslerde yapılacak çalışmalarla alan yazının zenginleştirilmesi yorumları derinleştirecektir.</w:t>
      </w:r>
    </w:p>
    <w:p w14:paraId="6E09D6F8" w14:textId="509E8D96" w:rsidR="000A5D37" w:rsidRPr="00D70C47" w:rsidRDefault="00FE3DFA" w:rsidP="004D51BC">
      <w:pPr>
        <w:ind w:left="0" w:firstLine="0"/>
        <w:jc w:val="both"/>
      </w:pPr>
      <w:r w:rsidRPr="00D70C47">
        <w:tab/>
      </w:r>
      <w:r w:rsidR="000A5D37" w:rsidRPr="00D70C47">
        <w:t>Kalibrasyon çalışmal</w:t>
      </w:r>
      <w:r w:rsidR="006D40D4" w:rsidRPr="00D70C47">
        <w:t>ar</w:t>
      </w:r>
      <w:r w:rsidR="000A5D37" w:rsidRPr="00D70C47">
        <w:t>ında alan yazın</w:t>
      </w:r>
      <w:r w:rsidR="00EB25D6">
        <w:t>,</w:t>
      </w:r>
      <w:r w:rsidR="000A5D37" w:rsidRPr="00D70C47">
        <w:t xml:space="preserve"> yaş ve zihinsel gelişimin önemine dikkat çekmektedir (</w:t>
      </w:r>
      <w:r w:rsidR="00B169FC" w:rsidRPr="00D70C47">
        <w:t>Aş</w:t>
      </w:r>
      <w:r w:rsidR="009D5129" w:rsidRPr="00D70C47">
        <w:t xml:space="preserve">ık </w:t>
      </w:r>
      <w:r w:rsidR="00AC62AA" w:rsidRPr="00D70C47">
        <w:t>ve</w:t>
      </w:r>
      <w:r w:rsidR="009D5129" w:rsidRPr="00D70C47">
        <w:t xml:space="preserve"> Sevimli, 2015; Özsoy, 2012</w:t>
      </w:r>
      <w:r w:rsidR="000A5D37" w:rsidRPr="00D70C47">
        <w:t>). Farklı yaş gruplarındaki öğrenciler için kalibrasyon becerisi farklılıklar gösterebilmektedir. Alan yazındaki pek çok araştırma üniversite seviyesindeki öğrencilerle yapılmış olsa da</w:t>
      </w:r>
      <w:r w:rsidR="00D87495" w:rsidRPr="00D70C47">
        <w:t xml:space="preserve"> (Dang ve </w:t>
      </w:r>
      <w:proofErr w:type="spellStart"/>
      <w:r w:rsidR="00D87495" w:rsidRPr="00D70C47">
        <w:t>diğ</w:t>
      </w:r>
      <w:proofErr w:type="spellEnd"/>
      <w:r w:rsidR="00D87495" w:rsidRPr="00D70C47">
        <w:t xml:space="preserve">., 2018; </w:t>
      </w:r>
      <w:proofErr w:type="spellStart"/>
      <w:r w:rsidR="00D87495" w:rsidRPr="00D70C47">
        <w:t>Jensen</w:t>
      </w:r>
      <w:proofErr w:type="spellEnd"/>
      <w:r w:rsidR="00D87495" w:rsidRPr="00D70C47">
        <w:t xml:space="preserve"> ve </w:t>
      </w:r>
      <w:proofErr w:type="spellStart"/>
      <w:r w:rsidR="00D87495" w:rsidRPr="00D70C47">
        <w:t>Moore</w:t>
      </w:r>
      <w:proofErr w:type="spellEnd"/>
      <w:r w:rsidR="00D87495" w:rsidRPr="00D70C47">
        <w:t xml:space="preserve">, 2008; </w:t>
      </w:r>
      <w:proofErr w:type="spellStart"/>
      <w:r w:rsidR="00D87495" w:rsidRPr="00D70C47">
        <w:t>Osterhage</w:t>
      </w:r>
      <w:proofErr w:type="spellEnd"/>
      <w:r w:rsidR="00D87495" w:rsidRPr="00D70C47">
        <w:t>, 2021;)</w:t>
      </w:r>
      <w:r w:rsidR="000A5D37" w:rsidRPr="00D70C47">
        <w:t xml:space="preserve"> az sayıda ve daha küçük yaş gruplarıyla </w:t>
      </w:r>
      <w:r w:rsidR="00EB25D6">
        <w:t xml:space="preserve">yapılmış </w:t>
      </w:r>
      <w:r w:rsidR="000A5D37" w:rsidRPr="00D70C47">
        <w:t>çalışmalar da mevcuttur</w:t>
      </w:r>
      <w:r w:rsidR="00D82DF9" w:rsidRPr="00D70C47">
        <w:t xml:space="preserve"> (</w:t>
      </w:r>
      <w:proofErr w:type="spellStart"/>
      <w:r w:rsidR="00D82DF9" w:rsidRPr="00D70C47">
        <w:t>Garcia</w:t>
      </w:r>
      <w:proofErr w:type="spellEnd"/>
      <w:r w:rsidR="00D82DF9" w:rsidRPr="00D70C47">
        <w:t xml:space="preserve"> ve </w:t>
      </w:r>
      <w:proofErr w:type="spellStart"/>
      <w:r w:rsidR="00D82DF9" w:rsidRPr="00D70C47">
        <w:t>diğ</w:t>
      </w:r>
      <w:proofErr w:type="spellEnd"/>
      <w:r w:rsidR="00D82DF9" w:rsidRPr="00D70C47">
        <w:t>., 2016)</w:t>
      </w:r>
      <w:r w:rsidR="000A5D37" w:rsidRPr="00D70C47">
        <w:t>. Yaş ve zihinsel gelişim göz önüne alındığında, alan yazın bulguları büyük yaşlardaki öğrencilerin küçük yaşlardaki öğrencilere göre daha iyi kalibrasyon becerisine sahip olduklarını göstermektedir. Mevcut çalışmada da her ne kadar ortalama kalibrasyon görece yüksek bulunsa da küçük yaş grupları ile yapılan çalışmalardaki kadar yüksek bir sapmaya rastlanmamıştır. Özsoy (2012) beşinci sınıf öğrencileriyle gerçekleştirdiği çalışmasında matematik</w:t>
      </w:r>
      <w:r w:rsidR="002C439D" w:rsidRPr="00D70C47">
        <w:t xml:space="preserve"> dersi</w:t>
      </w:r>
      <w:r w:rsidR="000A5D37" w:rsidRPr="00D70C47">
        <w:t xml:space="preserve"> kalibrasyon</w:t>
      </w:r>
      <w:r w:rsidR="002C439D" w:rsidRPr="00D70C47">
        <w:t xml:space="preserve"> becerisini</w:t>
      </w:r>
      <w:r w:rsidR="000A5D37" w:rsidRPr="00D70C47">
        <w:t xml:space="preserve"> araştırmıştır. Beşinci sınıf öğrencilerinin </w:t>
      </w:r>
      <w:r w:rsidR="000E21F1" w:rsidRPr="00D70C47">
        <w:t>kalibrasyon</w:t>
      </w:r>
      <w:r w:rsidR="000A5D37" w:rsidRPr="00D70C47">
        <w:t xml:space="preserve"> puan ortalamaları yüzde ellilik bir sapma göstermiştir. Bu durum küçük yaşlardaki </w:t>
      </w:r>
      <w:r w:rsidR="000A5D37" w:rsidRPr="00D70C47">
        <w:lastRenderedPageBreak/>
        <w:t xml:space="preserve">öğrencilerin </w:t>
      </w:r>
      <w:r w:rsidR="000E21F1" w:rsidRPr="00D70C47">
        <w:t>kalibrasyon</w:t>
      </w:r>
      <w:r w:rsidR="000A5D37" w:rsidRPr="00D70C47">
        <w:t xml:space="preserve"> konusunda henüz zayıf olduklarını işaret etm</w:t>
      </w:r>
      <w:r w:rsidR="00296FCB" w:rsidRPr="00D70C47">
        <w:t>ektedir</w:t>
      </w:r>
      <w:r w:rsidR="000A5D37" w:rsidRPr="00D70C47">
        <w:t xml:space="preserve">. Üniversite öğrencileri ile karşılaştırıldığında yüzde ellilik sapma hayli yüksektir. </w:t>
      </w:r>
      <w:r w:rsidR="00EB25D6">
        <w:t>Az</w:t>
      </w:r>
      <w:r w:rsidR="00EB25D6" w:rsidRPr="00D70C47">
        <w:t xml:space="preserve"> </w:t>
      </w:r>
      <w:r w:rsidR="0001586F" w:rsidRPr="00D70C47">
        <w:t>sayıdaki</w:t>
      </w:r>
      <w:r w:rsidR="000A5D37" w:rsidRPr="00D70C47">
        <w:t xml:space="preserve"> çalışma örnekleri daha doyurucu yorumlar yapabilmeyi sınırlasa da mevcut çalışmalarda yaş ve zihinsel gelişim bakımından bir tutarlılık olduğu ifade edilebilir. Her</w:t>
      </w:r>
      <w:r w:rsidR="0001586F" w:rsidRPr="00D70C47">
        <w:t xml:space="preserve"> </w:t>
      </w:r>
      <w:r w:rsidR="00681F66" w:rsidRPr="00D70C47">
        <w:t>iki</w:t>
      </w:r>
      <w:r w:rsidR="000A5D37" w:rsidRPr="00D70C47">
        <w:t xml:space="preserve"> yaş grubunda </w:t>
      </w:r>
      <w:r w:rsidR="000E21F1" w:rsidRPr="00D70C47">
        <w:t>kalibrasyon</w:t>
      </w:r>
      <w:r w:rsidR="000A5D37" w:rsidRPr="00D70C47">
        <w:t xml:space="preserve"> becerisinin geliştirilmesi gerekliliği açık olmakla birlikte</w:t>
      </w:r>
      <w:r w:rsidR="0001586F" w:rsidRPr="00D70C47">
        <w:t>,</w:t>
      </w:r>
      <w:r w:rsidR="000A5D37" w:rsidRPr="00D70C47">
        <w:t xml:space="preserve"> farklı yaş grupları</w:t>
      </w:r>
      <w:r w:rsidR="0001586F" w:rsidRPr="00D70C47">
        <w:t>yla</w:t>
      </w:r>
      <w:r w:rsidR="000A5D37" w:rsidRPr="00D70C47">
        <w:t xml:space="preserve"> farklı derslerde ve </w:t>
      </w:r>
      <w:proofErr w:type="spellStart"/>
      <w:r w:rsidR="000A5D37" w:rsidRPr="00D70C47">
        <w:t>boylamsal</w:t>
      </w:r>
      <w:proofErr w:type="spellEnd"/>
      <w:r w:rsidR="000A5D37" w:rsidRPr="00D70C47">
        <w:t xml:space="preserve"> tasarlanacak kalibrasyon çalışmalarının </w:t>
      </w:r>
      <w:r w:rsidR="000E21F1" w:rsidRPr="00D70C47">
        <w:t>kalibrasyonla</w:t>
      </w:r>
      <w:r w:rsidR="000A5D37" w:rsidRPr="00D70C47">
        <w:t xml:space="preserve"> ilgili çıkarımları güçlendireceği düşünülmektedir. </w:t>
      </w:r>
    </w:p>
    <w:p w14:paraId="0A88CDED" w14:textId="2FF08EAB" w:rsidR="00E77F12" w:rsidRPr="00D70C47" w:rsidRDefault="00FE3DFA" w:rsidP="004D51BC">
      <w:pPr>
        <w:ind w:left="0" w:firstLine="0"/>
        <w:jc w:val="both"/>
      </w:pPr>
      <w:r w:rsidRPr="00D70C47">
        <w:tab/>
      </w:r>
      <w:r w:rsidR="0079718D" w:rsidRPr="00D70C47">
        <w:t>Kalibrasyonun alan yazında biliş üstü bir beceri olarak tanımlanması ve biliş üstü stratejilerle ilişkili olduğunun vurgulanması</w:t>
      </w:r>
      <w:r w:rsidR="00EA1D24" w:rsidRPr="00D70C47">
        <w:t>,</w:t>
      </w:r>
      <w:r w:rsidR="0079718D" w:rsidRPr="00D70C47">
        <w:t xml:space="preserve"> kalibrasyon ve biliş üstü stratejiler arasında bir ilişki olabileceği varsayımını güçlendirmektedir. Ancak mevcut çalışmada kalibrasyon ve biliş üstü stratejiler arasında anlamlı bir ilişki bulunmazken, öz yeterlik ve çaba düzenlemesi ile kalibrasyon arasında zayıf da olsa anlamlı ilişkiler bulunmuştur.</w:t>
      </w:r>
      <w:r w:rsidR="00681F66" w:rsidRPr="00D70C47">
        <w:t xml:space="preserve"> Aşık ve Sevimli (2015) de, mühendislik fakültesi öğrencileriyle matematik kalibras</w:t>
      </w:r>
      <w:r w:rsidR="00FD73D5" w:rsidRPr="00D70C47">
        <w:t xml:space="preserve">yonu üzerine yaptıkları çalışmada biliş üstü stratejilerle kalibrasyon becerisi arasında istatistiksel olarak anlamlı bir ilişki bulamamışlardır. </w:t>
      </w:r>
      <w:r w:rsidR="00A4426F" w:rsidRPr="00D70C47">
        <w:t xml:space="preserve">Bu durumun olası nedenleri arasında biliş üstü stratejilerle ilgili veri toplama yönteminden kaynaklı bir </w:t>
      </w:r>
      <w:r w:rsidR="00921AF0" w:rsidRPr="00D70C47">
        <w:t xml:space="preserve">aksaklığın olabileceğini belirtmişlerdir. Alan yazında biliş üstü stratejilerin belirlenmesinde kullanılan ölçeklerde katılımcıların puanlarının genellikle yüksek olduğuna değinilmektedir (Aşık </w:t>
      </w:r>
      <w:r w:rsidR="00AC62AA" w:rsidRPr="00D70C47">
        <w:t>ve</w:t>
      </w:r>
      <w:r w:rsidR="00921AF0" w:rsidRPr="00D70C47">
        <w:t xml:space="preserve"> Sevimli, 2015; </w:t>
      </w:r>
      <w:proofErr w:type="spellStart"/>
      <w:r w:rsidR="00921AF0" w:rsidRPr="00D70C47">
        <w:t>Desoete</w:t>
      </w:r>
      <w:proofErr w:type="spellEnd"/>
      <w:r w:rsidR="00921AF0" w:rsidRPr="00D70C47">
        <w:t xml:space="preserve">, 2008; </w:t>
      </w:r>
      <w:proofErr w:type="spellStart"/>
      <w:r w:rsidR="00921AF0" w:rsidRPr="00D70C47">
        <w:t>Veenman</w:t>
      </w:r>
      <w:proofErr w:type="spellEnd"/>
      <w:r w:rsidR="00921AF0" w:rsidRPr="00D70C47">
        <w:t>, 2011)</w:t>
      </w:r>
      <w:r w:rsidR="00D16395" w:rsidRPr="00D70C47">
        <w:t xml:space="preserve">. Örneğin </w:t>
      </w:r>
      <w:proofErr w:type="spellStart"/>
      <w:r w:rsidR="00D16395" w:rsidRPr="00D70C47">
        <w:t>Veenman</w:t>
      </w:r>
      <w:proofErr w:type="spellEnd"/>
      <w:r w:rsidR="00D16395" w:rsidRPr="00D70C47">
        <w:t xml:space="preserve"> (2011), “</w:t>
      </w:r>
      <w:r w:rsidR="009D5129" w:rsidRPr="00D70C47">
        <w:t>[e]</w:t>
      </w:r>
      <w:proofErr w:type="spellStart"/>
      <w:r w:rsidR="009101BB" w:rsidRPr="00D70C47">
        <w:t>ğer</w:t>
      </w:r>
      <w:proofErr w:type="spellEnd"/>
      <w:r w:rsidR="009101BB" w:rsidRPr="00D70C47">
        <w:t xml:space="preserve"> tüm öğrenciler doldurdukları ölçekleri aynı oranda yüksek puanlarlarsa, o zaman tüm ölçeklerde strateji kullanımı eşit derecede yüksek puan sunacaktır</w:t>
      </w:r>
      <w:r w:rsidR="00D16395" w:rsidRPr="00D70C47">
        <w:t>”</w:t>
      </w:r>
      <w:r w:rsidR="009101BB" w:rsidRPr="00D70C47">
        <w:t xml:space="preserve"> (s. 207)</w:t>
      </w:r>
      <w:r w:rsidR="001B0362" w:rsidRPr="00D70C47">
        <w:t xml:space="preserve"> ifadesinde bu duruma dikkat çekmektedir. Nitekim mevcut çalışmada da fen bilimleri öğretmen</w:t>
      </w:r>
      <w:r w:rsidR="00EA1D24" w:rsidRPr="00D70C47">
        <w:t xml:space="preserve"> adaylarının</w:t>
      </w:r>
      <w:r w:rsidR="001B0362" w:rsidRPr="00D70C47">
        <w:t xml:space="preserve"> biliş üstü strateji puanları yedili </w:t>
      </w:r>
      <w:proofErr w:type="spellStart"/>
      <w:r w:rsidR="001B0362" w:rsidRPr="00D70C47">
        <w:t>Likert</w:t>
      </w:r>
      <w:proofErr w:type="spellEnd"/>
      <w:r w:rsidR="001B0362" w:rsidRPr="00D70C47">
        <w:t xml:space="preserve"> tipi bir ölçekle belirlenmiş ve ortalama beş puan civarında bulunmuştur. Bu puanın yüksek olduğu söylenebilir. Bu açıdan bakıldığında öz bildirimli ölçeklerle toplanan biliş üstü strateji verilerinde</w:t>
      </w:r>
      <w:r w:rsidR="0005512F" w:rsidRPr="00D70C47">
        <w:t>ki katılımcı kaynaklı yüksek puanlar kuramsal olarak sunulan kalibrasyon-biliş üstü stratejiler ilişkisini etkileyebilir. Dolayısıyla mevcut alan yazındaki çalışma sayısının da kısıtlı olduğu göz önüne alındığında, farklı derslerde yapılacak kalibrasyon-biliş üstü stratejiler ilişkisi araştırmaları alan yazını zenginleşti</w:t>
      </w:r>
      <w:r w:rsidR="00EA1D24" w:rsidRPr="00D70C47">
        <w:t>r</w:t>
      </w:r>
      <w:r w:rsidR="0005512F" w:rsidRPr="00D70C47">
        <w:t>mesi bakımından önem t</w:t>
      </w:r>
      <w:r w:rsidR="00E77F12" w:rsidRPr="00D70C47">
        <w:t>a</w:t>
      </w:r>
      <w:r w:rsidR="0005512F" w:rsidRPr="00D70C47">
        <w:t xml:space="preserve">şımaktadır. </w:t>
      </w:r>
      <w:r w:rsidR="00E77F12" w:rsidRPr="00D70C47">
        <w:t xml:space="preserve">Ayrıca biliş üstü stratejilerin ölçümü için sadece öğrencilerin öz bildirimleri değil öğretmenlerinin görüşlerine de başvurulabilir. </w:t>
      </w:r>
      <w:proofErr w:type="spellStart"/>
      <w:r w:rsidR="00E77F12" w:rsidRPr="00D70C47">
        <w:t>Sperling</w:t>
      </w:r>
      <w:proofErr w:type="spellEnd"/>
      <w:r w:rsidR="00E77F12" w:rsidRPr="00D70C47">
        <w:t xml:space="preserve">, </w:t>
      </w:r>
      <w:proofErr w:type="spellStart"/>
      <w:r w:rsidR="00E77F12" w:rsidRPr="00D70C47">
        <w:t>Howard</w:t>
      </w:r>
      <w:proofErr w:type="spellEnd"/>
      <w:r w:rsidR="00E77F12" w:rsidRPr="00D70C47">
        <w:t xml:space="preserve">, Miller ve Murphy (2002), </w:t>
      </w:r>
      <w:r w:rsidR="00C90553" w:rsidRPr="00D70C47">
        <w:t xml:space="preserve">öğrencilerin kendi bildirimlerine dayalı olarak topladıkları biliş üstü strateji verileriyle aynı öğrencilerin öğretmenlerinden bu öğrencilerin biliş üstü stratejileriyle ilgili topladıkları verilerin ilişkisini </w:t>
      </w:r>
      <w:r w:rsidR="00F7537A" w:rsidRPr="00D70C47">
        <w:t>inceledikleri çalışmalarında, iki veri seti</w:t>
      </w:r>
      <w:r w:rsidR="00C90553" w:rsidRPr="00D70C47">
        <w:t xml:space="preserve"> arasında zayıf bir korelasyon olduğunu tespit etmişlerdir.</w:t>
      </w:r>
      <w:r w:rsidR="003C4928" w:rsidRPr="00D70C47">
        <w:t xml:space="preserve"> Bu durum, biliş üstü stratejilerin </w:t>
      </w:r>
      <w:r w:rsidR="003C4928" w:rsidRPr="00D70C47">
        <w:lastRenderedPageBreak/>
        <w:t xml:space="preserve">nasıl ölçüldüğünün, biliş üstü stratejilerin diğer değişkenlerle ilişkilerine etki edebileceğinin bir göstergesi olarak değerlendirilebilir. </w:t>
      </w:r>
    </w:p>
    <w:p w14:paraId="3D50AAE1" w14:textId="3A9DFE3D" w:rsidR="00170950" w:rsidRPr="0076565F" w:rsidRDefault="00FE3DFA" w:rsidP="004D51BC">
      <w:pPr>
        <w:ind w:left="0" w:firstLine="0"/>
        <w:jc w:val="both"/>
      </w:pPr>
      <w:r w:rsidRPr="00D70C47">
        <w:tab/>
      </w:r>
      <w:r w:rsidR="00C04450" w:rsidRPr="00D70C47">
        <w:t>Kuramsal olarak ele alındığında öz düzenleme becerileri</w:t>
      </w:r>
      <w:r w:rsidR="00DF0A9E" w:rsidRPr="00D70C47">
        <w:t xml:space="preserve"> ve motivasyonu</w:t>
      </w:r>
      <w:r w:rsidR="00C04450" w:rsidRPr="00D70C47">
        <w:t xml:space="preserve"> yüksek</w:t>
      </w:r>
      <w:r w:rsidR="00DF0A9E" w:rsidRPr="00D70C47">
        <w:t xml:space="preserve"> olan öğrencilerin hem yüksek başarılı hem de biliş üstü stratejilerini iyi kullanan öğrenciler olması beklenmektedir</w:t>
      </w:r>
      <w:r w:rsidR="00433D1A" w:rsidRPr="00D70C47">
        <w:t xml:space="preserve"> (</w:t>
      </w:r>
      <w:proofErr w:type="spellStart"/>
      <w:r w:rsidR="00602944" w:rsidRPr="00D70C47">
        <w:t>B</w:t>
      </w:r>
      <w:r w:rsidR="00734370" w:rsidRPr="00D70C47">
        <w:t>a</w:t>
      </w:r>
      <w:r w:rsidR="00602944" w:rsidRPr="00D70C47">
        <w:t>ndura</w:t>
      </w:r>
      <w:proofErr w:type="spellEnd"/>
      <w:r w:rsidR="00602944" w:rsidRPr="00D70C47">
        <w:t>,</w:t>
      </w:r>
      <w:r w:rsidR="00734370" w:rsidRPr="00D70C47">
        <w:t xml:space="preserve"> 1997; </w:t>
      </w:r>
      <w:proofErr w:type="spellStart"/>
      <w:r w:rsidR="00734370" w:rsidRPr="00D70C47">
        <w:t>Zimmerman</w:t>
      </w:r>
      <w:proofErr w:type="spellEnd"/>
      <w:r w:rsidR="00734370" w:rsidRPr="00D70C47">
        <w:t xml:space="preserve">, </w:t>
      </w:r>
      <w:r w:rsidR="0012713F" w:rsidRPr="00C61D6E">
        <w:t>2011</w:t>
      </w:r>
      <w:r w:rsidR="00433D1A" w:rsidRPr="00D70C47">
        <w:t>)</w:t>
      </w:r>
      <w:r w:rsidR="00DF0A9E" w:rsidRPr="00D70C47">
        <w:t xml:space="preserve">. Kalibrasyon becerisi de </w:t>
      </w:r>
      <w:proofErr w:type="spellStart"/>
      <w:r w:rsidR="00DF0A9E" w:rsidRPr="00D70C47">
        <w:t>bilişüstü</w:t>
      </w:r>
      <w:proofErr w:type="spellEnd"/>
      <w:r w:rsidR="00DF0A9E" w:rsidRPr="00D70C47">
        <w:t xml:space="preserve"> bir beceri olarak değerlendirildiğinde çaba düzenlemesi ve öz yeterlik gibi öz düzenleme ve motivasyon kavramlarıyla ilişkili olması beklenebilir. Bu açıdan bakıldığında mevcut çalışmada elde edilen kalibrasyon becerisi öz yeterlik ve çaba düzenleme ilişkileri beklendiği doğrultudadır.</w:t>
      </w:r>
      <w:r w:rsidR="00B97010" w:rsidRPr="00D70C47">
        <w:t xml:space="preserve"> İlişkinin negatif olması kalibrasyonun mutlak değer olarak hesaplanmasından kaynaklanmaktadır. Bir başka ifadeyle, fen bilimleri öğretmen adaylarının </w:t>
      </w:r>
      <w:r w:rsidR="00433D1A" w:rsidRPr="00D70C47">
        <w:t>kalibrasyon</w:t>
      </w:r>
      <w:r w:rsidR="00BE427D" w:rsidRPr="00D70C47">
        <w:t xml:space="preserve"> beceri puanları sıfıra yaklaştıkça (iyi kalibre oldukça) öz yeterlik ve çaba düzenlemeleri artmaktadır. Bu çalışmada elde edilen bulgular her ne kadar kuramsal olarak uyumlu sonuçlar sunsa da daha derinlemesine yorumlar yapabilmek için yeni çalışmalara ihtiyaç duyulmaktadır. Dolayısıyla farklı çalışma grupları ve farklı derslerde yapılacak çalışmalar bulguların yorumlanmasında yol gösterici rol üstlenecektir.</w:t>
      </w:r>
    </w:p>
    <w:p w14:paraId="5AB852E7" w14:textId="77777777" w:rsidR="00BE427D" w:rsidRPr="0076565F" w:rsidRDefault="009F23BF" w:rsidP="00602463">
      <w:pPr>
        <w:ind w:left="0" w:firstLine="0"/>
        <w:jc w:val="center"/>
        <w:rPr>
          <w:b/>
        </w:rPr>
      </w:pPr>
      <w:r w:rsidRPr="0076565F">
        <w:rPr>
          <w:b/>
        </w:rPr>
        <w:t xml:space="preserve">Öneriler ve </w:t>
      </w:r>
      <w:r w:rsidR="002F52C1" w:rsidRPr="0076565F">
        <w:rPr>
          <w:b/>
        </w:rPr>
        <w:t>Sınırlılıklar</w:t>
      </w:r>
    </w:p>
    <w:p w14:paraId="51F0E767" w14:textId="5A2F50A0" w:rsidR="00F855B1" w:rsidRDefault="00FE3DFA" w:rsidP="004D51BC">
      <w:pPr>
        <w:ind w:left="0" w:firstLine="0"/>
        <w:jc w:val="both"/>
      </w:pPr>
      <w:r w:rsidRPr="0076565F">
        <w:tab/>
      </w:r>
      <w:r w:rsidR="000941C1">
        <w:t xml:space="preserve">Çalışma sonucunda kalibrasyon becerisiyle başarı, öz yeterlik ve çaba düzenlemesinin pozitif ilişkili olduğu ortaya çıkmıştır. Bu doğrultuda </w:t>
      </w:r>
      <w:r w:rsidR="00980C77">
        <w:t xml:space="preserve">fen bilimleri </w:t>
      </w:r>
      <w:r w:rsidR="000941C1">
        <w:t xml:space="preserve">öğretmen adaylarının kalibrasyon becerilerini arttırabilmek için çalışmalar yapılması önerilebilir. </w:t>
      </w:r>
      <w:r w:rsidR="00575BFD">
        <w:t>Fen bilimleri öğretmen adaylarının organik kimya dersinde en çok hata yaptıkları</w:t>
      </w:r>
      <w:r w:rsidR="00375AB7">
        <w:t>, başarabileceklerini düşünüp yanıldıkları</w:t>
      </w:r>
      <w:r w:rsidR="00575BFD">
        <w:t xml:space="preserve"> ve öğrenme güçlüğü yaşadıkları konular tespit edilerek alternatif öğretme yöntemleriyle bu konular sunulabilir. Böylelikle akademik başarıya etki edebilecek öğretim yöntem ve teknikleri çeşitlendirilebilir.</w:t>
      </w:r>
      <w:r w:rsidR="00262251">
        <w:t xml:space="preserve"> Özellikle bileşik adlandırma, yapı formülleri ve tepkime yazma konularındaki eksiklikler giderilerek öz yeterlik duygularının gelişmesi sağlanabilir. </w:t>
      </w:r>
      <w:r w:rsidR="000941C1">
        <w:t xml:space="preserve">Öz düzenleme ve öz </w:t>
      </w:r>
      <w:r w:rsidR="00980C77">
        <w:t>becerileri doğru değerlendirme</w:t>
      </w:r>
      <w:r w:rsidR="000941C1">
        <w:t xml:space="preserve"> eğitimleri </w:t>
      </w:r>
      <w:r w:rsidR="00F855B1">
        <w:t>öğretmen adaylarına sunulabilir. Bu araştırmanın konuları eğitim psikolojisi kavramları barındırdığından öğretmen adayları gelişim ve öğrenm</w:t>
      </w:r>
      <w:r w:rsidR="00095109">
        <w:t>e psikolojisi derslerini alır</w:t>
      </w:r>
      <w:r w:rsidR="00F855B1">
        <w:t xml:space="preserve">ken bu kavramların üzerinde durulabilir. Ayrıca Rehberlik Araştırma Merkezleri ve </w:t>
      </w:r>
      <w:r w:rsidR="00980C77">
        <w:t>üniversite</w:t>
      </w:r>
      <w:r w:rsidR="00F855B1">
        <w:t xml:space="preserve"> bünyesinde bulunan psikolojik danışma merkezlerinden bu konularla ilgili destek alınabilir. Kalibrasyon becerisine paralel olarak akademik başarının arttırılması noktasında da öğretmen adaylarına danışmanlık yapılabilir. </w:t>
      </w:r>
      <w:r w:rsidR="00980C77">
        <w:t xml:space="preserve">Doğru ve planlı ders çalışma stratejilerinin öğretimi, zaman planlaması ve zamanı etkili kullanma eğitimleri </w:t>
      </w:r>
      <w:r w:rsidR="00095109">
        <w:t xml:space="preserve">fen bilimleri </w:t>
      </w:r>
      <w:r w:rsidR="00980C77">
        <w:t>öğretmen adaylarına sunulabilir.</w:t>
      </w:r>
    </w:p>
    <w:p w14:paraId="6C514799" w14:textId="28A9ABEB" w:rsidR="00BE427D" w:rsidRPr="0076565F" w:rsidRDefault="00BF2F9E" w:rsidP="00FD36D7">
      <w:pPr>
        <w:ind w:left="0" w:firstLine="708"/>
        <w:jc w:val="both"/>
      </w:pPr>
      <w:r w:rsidRPr="0076565F">
        <w:lastRenderedPageBreak/>
        <w:t xml:space="preserve">Bu çalışma her ne kadar kalibrasyon becerisi ile ilgili farkındalık yaratsa da bazı sınırlılıkları olduğunu da belirtmek gerekmektedir. Öncelikle bu çalışma sınırlı bir örneklemle gerçekleştirilmiştir. Daha yüksek katılımcı sayısı ile gerçekleştirilecek bir çalışma </w:t>
      </w:r>
      <w:proofErr w:type="spellStart"/>
      <w:r w:rsidRPr="0076565F">
        <w:t>genellenebilirliği</w:t>
      </w:r>
      <w:proofErr w:type="spellEnd"/>
      <w:r w:rsidRPr="0076565F">
        <w:t xml:space="preserve"> arttıracaktır. Öte yandan bu çalışmada toplanan veriler organik kimya dersi ve </w:t>
      </w:r>
      <w:r w:rsidR="001902B5">
        <w:t>yarıyıl</w:t>
      </w:r>
      <w:r w:rsidR="00661673" w:rsidRPr="0076565F">
        <w:t xml:space="preserve"> sonu sınavı </w:t>
      </w:r>
      <w:r w:rsidRPr="0076565F">
        <w:t xml:space="preserve">ile sınırlıdır. Ayrıca </w:t>
      </w:r>
      <w:r w:rsidR="001902B5">
        <w:t>yarıyıl</w:t>
      </w:r>
      <w:r w:rsidR="00661673" w:rsidRPr="0076565F">
        <w:t xml:space="preserve"> sonu </w:t>
      </w:r>
      <w:r w:rsidRPr="0076565F">
        <w:t>sınavı</w:t>
      </w:r>
      <w:r w:rsidR="00E97598" w:rsidRPr="0076565F">
        <w:t xml:space="preserve"> da dersi veren öğretim elemanının hazırladığı sorulardan oluşmaktadır. </w:t>
      </w:r>
      <w:r w:rsidR="00B52BDA">
        <w:t>İleride</w:t>
      </w:r>
      <w:r w:rsidR="00B52BDA" w:rsidRPr="0076565F">
        <w:t xml:space="preserve"> </w:t>
      </w:r>
      <w:r w:rsidR="00E97598" w:rsidRPr="0076565F">
        <w:t>yapılacak çalışmalar farklı derslerde standartlaştırılmış bir sınav yapılarak</w:t>
      </w:r>
      <w:r w:rsidRPr="0076565F">
        <w:t xml:space="preserve"> </w:t>
      </w:r>
      <w:r w:rsidR="00E97598" w:rsidRPr="0076565F">
        <w:t xml:space="preserve">veri toplama yolunu seçebilir. Son olarak bu çalışma tamamen nicel verilerden yararlanılarak gerçekleştirilmiştir. </w:t>
      </w:r>
      <w:r w:rsidR="00B52BDA">
        <w:t xml:space="preserve">İleride </w:t>
      </w:r>
      <w:r w:rsidR="00E97598" w:rsidRPr="0076565F">
        <w:t xml:space="preserve">bu konu ile ilgilenecek araştırmacılar öğrencilerin </w:t>
      </w:r>
      <w:proofErr w:type="gramStart"/>
      <w:r w:rsidR="00E97598" w:rsidRPr="0076565F">
        <w:t>kalibrasyon</w:t>
      </w:r>
      <w:proofErr w:type="gramEnd"/>
      <w:r w:rsidR="00E97598" w:rsidRPr="0076565F">
        <w:t xml:space="preserve"> becerilerini nicel olarak ölçtükten sonra nitel veri toplayarak çalışmalarını güçlendirebilirler.</w:t>
      </w:r>
    </w:p>
    <w:p w14:paraId="0534B711" w14:textId="77777777" w:rsidR="00554906" w:rsidRPr="0076565F" w:rsidRDefault="00554906" w:rsidP="00602463">
      <w:pPr>
        <w:shd w:val="clear" w:color="auto" w:fill="FFFFFF"/>
        <w:contextualSpacing/>
        <w:jc w:val="center"/>
        <w:textAlignment w:val="baseline"/>
        <w:rPr>
          <w:rFonts w:eastAsia="Times New Roman"/>
          <w:b/>
          <w:bCs/>
          <w:color w:val="000000"/>
          <w:szCs w:val="21"/>
          <w:bdr w:val="none" w:sz="0" w:space="0" w:color="auto" w:frame="1"/>
          <w:lang w:eastAsia="tr-TR"/>
        </w:rPr>
      </w:pPr>
      <w:r w:rsidRPr="0076565F">
        <w:rPr>
          <w:b/>
        </w:rPr>
        <w:t>Makalenin Bilimdeki Konumu</w:t>
      </w:r>
    </w:p>
    <w:p w14:paraId="525FABAA" w14:textId="77777777" w:rsidR="00554906" w:rsidRPr="0076565F" w:rsidRDefault="00554906" w:rsidP="004D51BC">
      <w:pPr>
        <w:shd w:val="clear" w:color="auto" w:fill="FFFFFF"/>
        <w:ind w:left="0" w:firstLine="0"/>
        <w:contextualSpacing/>
        <w:textAlignment w:val="baseline"/>
        <w:rPr>
          <w:rFonts w:eastAsia="Times New Roman"/>
          <w:b/>
          <w:bCs/>
          <w:color w:val="000000"/>
          <w:szCs w:val="21"/>
          <w:bdr w:val="none" w:sz="0" w:space="0" w:color="auto" w:frame="1"/>
          <w:lang w:eastAsia="tr-TR"/>
        </w:rPr>
      </w:pPr>
      <w:r w:rsidRPr="0076565F">
        <w:rPr>
          <w:rFonts w:eastAsia="Times New Roman"/>
          <w:bCs/>
          <w:color w:val="000000"/>
          <w:szCs w:val="21"/>
          <w:bdr w:val="none" w:sz="0" w:space="0" w:color="auto" w:frame="1"/>
          <w:lang w:eastAsia="tr-TR"/>
        </w:rPr>
        <w:t>Matematik ve Fen Bilimleri Eğitimi, Fen Bilgisi Eğitimi Ana Bilim Dalı</w:t>
      </w:r>
    </w:p>
    <w:p w14:paraId="3B498435" w14:textId="77777777" w:rsidR="00554906" w:rsidRPr="0076565F" w:rsidRDefault="00554906" w:rsidP="00602463">
      <w:pPr>
        <w:shd w:val="clear" w:color="auto" w:fill="FFFFFF"/>
        <w:contextualSpacing/>
        <w:jc w:val="center"/>
        <w:textAlignment w:val="baseline"/>
        <w:rPr>
          <w:rFonts w:eastAsia="Times New Roman"/>
          <w:b/>
          <w:bCs/>
          <w:color w:val="000000"/>
          <w:szCs w:val="21"/>
          <w:bdr w:val="none" w:sz="0" w:space="0" w:color="auto" w:frame="1"/>
          <w:lang w:eastAsia="tr-TR"/>
        </w:rPr>
      </w:pPr>
      <w:r w:rsidRPr="0076565F">
        <w:rPr>
          <w:b/>
        </w:rPr>
        <w:t>Makalenin Bilimdeki Özgünlüğü</w:t>
      </w:r>
    </w:p>
    <w:p w14:paraId="0E61AADE" w14:textId="161ED689" w:rsidR="00170950" w:rsidRDefault="00FE3DFA" w:rsidP="004D51BC">
      <w:pPr>
        <w:ind w:left="0" w:firstLine="0"/>
        <w:jc w:val="both"/>
      </w:pPr>
      <w:r w:rsidRPr="0076565F">
        <w:tab/>
      </w:r>
      <w:r w:rsidR="00554906" w:rsidRPr="0076565F">
        <w:t xml:space="preserve">Kalibrasyon kavramı </w:t>
      </w:r>
      <w:r w:rsidR="00F86A26" w:rsidRPr="0076565F">
        <w:t xml:space="preserve">kuramsal olarak </w:t>
      </w:r>
      <w:r w:rsidR="00554906" w:rsidRPr="0076565F">
        <w:t xml:space="preserve">çeşitli öz düzenleme, motivasyon ve öğrenme stratejileri ile ilişkili bir kavramdır. Özellikle öğrencilerin sahip oldukları bilgi ve becerileri hakkında kestirimlerde bulunmaları ve </w:t>
      </w:r>
      <w:r w:rsidR="000C62D3" w:rsidRPr="0076565F">
        <w:t xml:space="preserve">bilişsel olarak </w:t>
      </w:r>
      <w:r w:rsidR="00B4656A" w:rsidRPr="0076565F">
        <w:t>durumlarını</w:t>
      </w:r>
      <w:r w:rsidR="00554906" w:rsidRPr="0076565F">
        <w:t xml:space="preserve"> </w:t>
      </w:r>
      <w:r w:rsidR="000C62D3" w:rsidRPr="0076565F">
        <w:t xml:space="preserve">tartabilmeleri hem okul başarılarını hem de bireysel olarak sınavlarda gösterecekleri performansları etkileyebilmektedir. Bu bakımdan iyi kalibre olmuş öğrencilerin kendi (öz) algıları gelişmiştir denebilir. Dolayısıyla böyle kritik bir kavramın araştırılması ve çeşitli bilişsel, </w:t>
      </w:r>
      <w:proofErr w:type="spellStart"/>
      <w:r w:rsidR="000C62D3" w:rsidRPr="0076565F">
        <w:t>duyuşsal</w:t>
      </w:r>
      <w:proofErr w:type="spellEnd"/>
      <w:r w:rsidR="000C62D3" w:rsidRPr="0076565F">
        <w:t xml:space="preserve"> ve </w:t>
      </w:r>
      <w:proofErr w:type="spellStart"/>
      <w:r w:rsidR="000C62D3" w:rsidRPr="0076565F">
        <w:t>bilişüstü</w:t>
      </w:r>
      <w:proofErr w:type="spellEnd"/>
      <w:r w:rsidR="000C62D3" w:rsidRPr="0076565F">
        <w:t xml:space="preserve"> kavramlarla </w:t>
      </w:r>
      <w:r w:rsidR="00C13398" w:rsidRPr="0076565F">
        <w:t>ilişkilendirilerek incelenmesi</w:t>
      </w:r>
      <w:r w:rsidR="000C62D3" w:rsidRPr="0076565F">
        <w:t xml:space="preserve"> önem taşımaktadır. Türkiye’de kalibrasyon üzerine yapılan çalışmaların azlığı göz önüne alındığından mevcut çalışmanın alana katkı sağlayacağı düşünülmektedir.</w:t>
      </w:r>
      <w:r w:rsidR="00A65B37" w:rsidRPr="0076565F">
        <w:t xml:space="preserve"> Geleceğin </w:t>
      </w:r>
      <w:r w:rsidR="00A4064C" w:rsidRPr="0076565F">
        <w:t xml:space="preserve">fen bilimleri </w:t>
      </w:r>
      <w:r w:rsidR="00A65B37" w:rsidRPr="0076565F">
        <w:t>öğretmenlerinin başarı kalibrasyonları, öğrenme stratejileri ve motivasyonları arasındaki ilişkilerin ortaya çıkarılmasının, öğretmen yetiştiren kurumlar için de önemli bir bulgu niteliği taşıdığı düşünülmektedir.</w:t>
      </w:r>
    </w:p>
    <w:p w14:paraId="38190FB5" w14:textId="77777777" w:rsidR="005A1879" w:rsidRPr="0076565F" w:rsidRDefault="005A1879" w:rsidP="004D51BC">
      <w:pPr>
        <w:ind w:left="0" w:firstLine="0"/>
        <w:jc w:val="both"/>
      </w:pPr>
    </w:p>
    <w:p w14:paraId="074CA03E" w14:textId="39679CEB" w:rsidR="00035A33" w:rsidRPr="0076565F" w:rsidRDefault="00035A33" w:rsidP="00025A1E">
      <w:pPr>
        <w:ind w:left="0" w:firstLine="0"/>
        <w:jc w:val="center"/>
        <w:rPr>
          <w:b/>
        </w:rPr>
      </w:pPr>
      <w:r w:rsidRPr="0076565F">
        <w:rPr>
          <w:b/>
        </w:rPr>
        <w:t>Kaynak</w:t>
      </w:r>
      <w:r w:rsidR="00602463">
        <w:rPr>
          <w:b/>
        </w:rPr>
        <w:t>lar</w:t>
      </w:r>
    </w:p>
    <w:p w14:paraId="0329D359" w14:textId="77777777" w:rsidR="009D5129" w:rsidRPr="0076565F" w:rsidRDefault="009D5129" w:rsidP="004D51BC">
      <w:pPr>
        <w:pStyle w:val="NormalWeb"/>
        <w:spacing w:before="0" w:beforeAutospacing="0" w:after="0" w:afterAutospacing="0" w:line="360" w:lineRule="auto"/>
        <w:ind w:left="709" w:hanging="709"/>
        <w:contextualSpacing/>
        <w:jc w:val="both"/>
        <w:rPr>
          <w:lang w:val="en-US"/>
        </w:rPr>
      </w:pPr>
      <w:r w:rsidRPr="0076565F">
        <w:rPr>
          <w:lang w:val="en-US"/>
        </w:rPr>
        <w:t xml:space="preserve">Alexander, P. A. (2013). Calibration: What is it and why it matters? An introduction to the special issue on calibrating calibration. </w:t>
      </w:r>
      <w:r w:rsidRPr="0076565F">
        <w:rPr>
          <w:i/>
          <w:iCs/>
          <w:lang w:val="en-US"/>
        </w:rPr>
        <w:t>Learning and Instruction</w:t>
      </w:r>
      <w:r w:rsidRPr="0076565F">
        <w:rPr>
          <w:lang w:val="en-US"/>
        </w:rPr>
        <w:t xml:space="preserve">, </w:t>
      </w:r>
      <w:r w:rsidRPr="0076565F">
        <w:rPr>
          <w:i/>
          <w:iCs/>
          <w:lang w:val="en-US"/>
        </w:rPr>
        <w:t>24</w:t>
      </w:r>
      <w:r w:rsidRPr="0076565F">
        <w:rPr>
          <w:lang w:val="en-US"/>
        </w:rPr>
        <w:t xml:space="preserve">(1), 1–3. </w:t>
      </w:r>
      <w:hyperlink r:id="rId7" w:history="1">
        <w:r w:rsidRPr="0076565F">
          <w:rPr>
            <w:rStyle w:val="Kpr"/>
            <w:lang w:val="en-US"/>
          </w:rPr>
          <w:t>https://doi.org/10.1016/j.learninstruc.2012.10.003</w:t>
        </w:r>
      </w:hyperlink>
    </w:p>
    <w:p w14:paraId="769DA2DE" w14:textId="77777777" w:rsidR="009D5129" w:rsidRPr="0076565F" w:rsidRDefault="009D5129" w:rsidP="004D51BC">
      <w:pPr>
        <w:pStyle w:val="NormalWeb"/>
        <w:spacing w:before="0" w:beforeAutospacing="0" w:after="0" w:afterAutospacing="0" w:line="360" w:lineRule="auto"/>
        <w:ind w:left="709" w:hanging="709"/>
        <w:contextualSpacing/>
        <w:jc w:val="both"/>
        <w:rPr>
          <w:lang w:val="en-US"/>
        </w:rPr>
      </w:pPr>
      <w:proofErr w:type="spellStart"/>
      <w:r w:rsidRPr="0076565F">
        <w:rPr>
          <w:lang w:val="en-US"/>
        </w:rPr>
        <w:t>Aşık</w:t>
      </w:r>
      <w:proofErr w:type="spellEnd"/>
      <w:r w:rsidRPr="0076565F">
        <w:rPr>
          <w:lang w:val="en-US"/>
        </w:rPr>
        <w:t xml:space="preserve">, G. &amp; </w:t>
      </w:r>
      <w:proofErr w:type="spellStart"/>
      <w:r w:rsidRPr="0076565F">
        <w:rPr>
          <w:lang w:val="en-US"/>
        </w:rPr>
        <w:t>Sevimli</w:t>
      </w:r>
      <w:proofErr w:type="spellEnd"/>
      <w:r w:rsidRPr="0076565F">
        <w:rPr>
          <w:lang w:val="en-US"/>
        </w:rPr>
        <w:t xml:space="preserve">, E. (2015). </w:t>
      </w:r>
      <w:proofErr w:type="spellStart"/>
      <w:r w:rsidRPr="0076565F">
        <w:rPr>
          <w:lang w:val="en-US"/>
        </w:rPr>
        <w:t>Üstbiliş</w:t>
      </w:r>
      <w:proofErr w:type="spellEnd"/>
      <w:r w:rsidRPr="0076565F">
        <w:rPr>
          <w:lang w:val="en-US"/>
        </w:rPr>
        <w:t xml:space="preserve"> </w:t>
      </w:r>
      <w:proofErr w:type="spellStart"/>
      <w:r w:rsidRPr="0076565F">
        <w:rPr>
          <w:lang w:val="en-US"/>
        </w:rPr>
        <w:t>kalibrasyonunun</w:t>
      </w:r>
      <w:proofErr w:type="spellEnd"/>
      <w:r w:rsidRPr="0076565F">
        <w:rPr>
          <w:lang w:val="en-US"/>
        </w:rPr>
        <w:t xml:space="preserve"> </w:t>
      </w:r>
      <w:proofErr w:type="spellStart"/>
      <w:r w:rsidRPr="0076565F">
        <w:rPr>
          <w:lang w:val="en-US"/>
        </w:rPr>
        <w:t>matematik</w:t>
      </w:r>
      <w:proofErr w:type="spellEnd"/>
      <w:r w:rsidRPr="0076565F">
        <w:rPr>
          <w:lang w:val="en-US"/>
        </w:rPr>
        <w:t xml:space="preserve"> </w:t>
      </w:r>
      <w:proofErr w:type="spellStart"/>
      <w:r w:rsidRPr="0076565F">
        <w:rPr>
          <w:lang w:val="en-US"/>
        </w:rPr>
        <w:t>başarısı</w:t>
      </w:r>
      <w:proofErr w:type="spellEnd"/>
      <w:r w:rsidRPr="0076565F">
        <w:rPr>
          <w:lang w:val="en-US"/>
        </w:rPr>
        <w:t xml:space="preserve"> </w:t>
      </w:r>
      <w:proofErr w:type="spellStart"/>
      <w:r w:rsidRPr="0076565F">
        <w:rPr>
          <w:lang w:val="en-US"/>
        </w:rPr>
        <w:t>bağlamında</w:t>
      </w:r>
      <w:proofErr w:type="spellEnd"/>
      <w:r w:rsidRPr="0076565F">
        <w:rPr>
          <w:lang w:val="en-US"/>
        </w:rPr>
        <w:t xml:space="preserve"> </w:t>
      </w:r>
      <w:proofErr w:type="spellStart"/>
      <w:r w:rsidRPr="0076565F">
        <w:rPr>
          <w:lang w:val="en-US"/>
        </w:rPr>
        <w:t>incelenmesi</w:t>
      </w:r>
      <w:proofErr w:type="spellEnd"/>
      <w:r w:rsidRPr="0076565F">
        <w:rPr>
          <w:lang w:val="en-US"/>
        </w:rPr>
        <w:t xml:space="preserve">: </w:t>
      </w:r>
      <w:proofErr w:type="spellStart"/>
      <w:r w:rsidRPr="0076565F">
        <w:rPr>
          <w:lang w:val="en-US"/>
        </w:rPr>
        <w:t>Mühendislik</w:t>
      </w:r>
      <w:proofErr w:type="spellEnd"/>
      <w:r w:rsidRPr="0076565F">
        <w:rPr>
          <w:lang w:val="en-US"/>
        </w:rPr>
        <w:t xml:space="preserve"> </w:t>
      </w:r>
      <w:proofErr w:type="spellStart"/>
      <w:r w:rsidRPr="0076565F">
        <w:rPr>
          <w:lang w:val="en-US"/>
        </w:rPr>
        <w:t>öğrencileri</w:t>
      </w:r>
      <w:proofErr w:type="spellEnd"/>
      <w:r w:rsidRPr="0076565F">
        <w:rPr>
          <w:lang w:val="en-US"/>
        </w:rPr>
        <w:t xml:space="preserve"> </w:t>
      </w:r>
      <w:proofErr w:type="spellStart"/>
      <w:r w:rsidRPr="0076565F">
        <w:rPr>
          <w:lang w:val="en-US"/>
        </w:rPr>
        <w:t>örneği</w:t>
      </w:r>
      <w:proofErr w:type="spellEnd"/>
      <w:r w:rsidRPr="0076565F">
        <w:rPr>
          <w:lang w:val="en-US"/>
        </w:rPr>
        <w:t xml:space="preserve">. </w:t>
      </w:r>
      <w:proofErr w:type="spellStart"/>
      <w:r w:rsidRPr="0076565F">
        <w:rPr>
          <w:i/>
          <w:iCs/>
          <w:lang w:val="en-US"/>
        </w:rPr>
        <w:t>Boğaziçi</w:t>
      </w:r>
      <w:proofErr w:type="spellEnd"/>
      <w:r w:rsidRPr="0076565F">
        <w:rPr>
          <w:i/>
          <w:iCs/>
          <w:lang w:val="en-US"/>
        </w:rPr>
        <w:t xml:space="preserve"> </w:t>
      </w:r>
      <w:proofErr w:type="spellStart"/>
      <w:r w:rsidRPr="0076565F">
        <w:rPr>
          <w:i/>
          <w:iCs/>
          <w:lang w:val="en-US"/>
        </w:rPr>
        <w:t>Üniversitesi</w:t>
      </w:r>
      <w:proofErr w:type="spellEnd"/>
      <w:r w:rsidRPr="0076565F">
        <w:rPr>
          <w:i/>
          <w:iCs/>
          <w:lang w:val="en-US"/>
        </w:rPr>
        <w:t xml:space="preserve"> </w:t>
      </w:r>
      <w:proofErr w:type="spellStart"/>
      <w:r w:rsidRPr="0076565F">
        <w:rPr>
          <w:i/>
          <w:iCs/>
          <w:lang w:val="en-US"/>
        </w:rPr>
        <w:t>Eğitim</w:t>
      </w:r>
      <w:proofErr w:type="spellEnd"/>
      <w:r w:rsidRPr="0076565F">
        <w:rPr>
          <w:i/>
          <w:iCs/>
          <w:lang w:val="en-US"/>
        </w:rPr>
        <w:t xml:space="preserve"> </w:t>
      </w:r>
      <w:proofErr w:type="spellStart"/>
      <w:r w:rsidRPr="0076565F">
        <w:rPr>
          <w:i/>
          <w:iCs/>
          <w:lang w:val="en-US"/>
        </w:rPr>
        <w:t>Dergisi</w:t>
      </w:r>
      <w:proofErr w:type="spellEnd"/>
      <w:r w:rsidRPr="0076565F">
        <w:rPr>
          <w:lang w:val="en-US"/>
        </w:rPr>
        <w:t xml:space="preserve">, </w:t>
      </w:r>
      <w:r w:rsidRPr="0076565F">
        <w:rPr>
          <w:i/>
          <w:iCs/>
          <w:lang w:val="en-US"/>
        </w:rPr>
        <w:t>32</w:t>
      </w:r>
      <w:r w:rsidRPr="0076565F">
        <w:rPr>
          <w:lang w:val="en-US"/>
        </w:rPr>
        <w:t>(2), 19-36.</w:t>
      </w:r>
    </w:p>
    <w:p w14:paraId="187E1EEE" w14:textId="77777777" w:rsidR="009D5129" w:rsidRPr="0076565F" w:rsidRDefault="009D5129" w:rsidP="004D51BC">
      <w:pPr>
        <w:ind w:left="709" w:hanging="709"/>
        <w:contextualSpacing/>
        <w:jc w:val="both"/>
        <w:rPr>
          <w:lang w:val="en-US"/>
        </w:rPr>
      </w:pPr>
      <w:r w:rsidRPr="0076565F">
        <w:rPr>
          <w:lang w:val="en-US"/>
        </w:rPr>
        <w:lastRenderedPageBreak/>
        <w:t xml:space="preserve">Bandura, A. (1977). Self-efficacy: Toward a unifying theory of behavioral change. </w:t>
      </w:r>
      <w:r w:rsidRPr="0076565F">
        <w:rPr>
          <w:i/>
          <w:lang w:val="en-US"/>
        </w:rPr>
        <w:t>Psychology Review, 84</w:t>
      </w:r>
      <w:r w:rsidRPr="0076565F">
        <w:rPr>
          <w:lang w:val="en-US"/>
        </w:rPr>
        <w:t>, 191-215.</w:t>
      </w:r>
    </w:p>
    <w:p w14:paraId="397559D1" w14:textId="77777777" w:rsidR="009D5129" w:rsidRPr="0076565F" w:rsidRDefault="009D5129" w:rsidP="004D51BC">
      <w:pPr>
        <w:ind w:left="709" w:hanging="709"/>
        <w:contextualSpacing/>
        <w:jc w:val="both"/>
        <w:rPr>
          <w:lang w:val="en-US"/>
        </w:rPr>
      </w:pPr>
      <w:r w:rsidRPr="0076565F">
        <w:rPr>
          <w:lang w:val="en-US"/>
        </w:rPr>
        <w:t xml:space="preserve">Bandura, A. (1997). </w:t>
      </w:r>
      <w:r w:rsidRPr="0076565F">
        <w:rPr>
          <w:i/>
          <w:lang w:val="en-US"/>
        </w:rPr>
        <w:t>Self-efficacy: The exercise of control.</w:t>
      </w:r>
      <w:r w:rsidRPr="0076565F">
        <w:rPr>
          <w:lang w:val="en-US"/>
        </w:rPr>
        <w:t xml:space="preserve"> New York: W.H. Freeman. </w:t>
      </w:r>
    </w:p>
    <w:p w14:paraId="66037A18" w14:textId="77777777" w:rsidR="009D5129" w:rsidRPr="0076565F" w:rsidRDefault="009D5129" w:rsidP="004D51BC">
      <w:pPr>
        <w:pStyle w:val="NormalWeb"/>
        <w:spacing w:before="0" w:beforeAutospacing="0" w:after="0" w:afterAutospacing="0" w:line="360" w:lineRule="auto"/>
        <w:ind w:left="709" w:hanging="709"/>
        <w:contextualSpacing/>
        <w:jc w:val="both"/>
        <w:rPr>
          <w:lang w:val="en-US"/>
        </w:rPr>
      </w:pPr>
      <w:proofErr w:type="spellStart"/>
      <w:r w:rsidRPr="0076565F">
        <w:rPr>
          <w:lang w:val="en-US"/>
        </w:rPr>
        <w:t>Bol</w:t>
      </w:r>
      <w:proofErr w:type="spellEnd"/>
      <w:r w:rsidRPr="0076565F">
        <w:rPr>
          <w:lang w:val="en-US"/>
        </w:rPr>
        <w:t xml:space="preserve">, L., &amp; Hacker, D. J. (2012). Calibration research: Where do we go from here? </w:t>
      </w:r>
      <w:r w:rsidRPr="0076565F">
        <w:rPr>
          <w:i/>
          <w:iCs/>
          <w:lang w:val="en-US"/>
        </w:rPr>
        <w:t>Frontiers in Psychology</w:t>
      </w:r>
      <w:r w:rsidRPr="0076565F">
        <w:rPr>
          <w:lang w:val="en-US"/>
        </w:rPr>
        <w:t xml:space="preserve">, </w:t>
      </w:r>
      <w:r w:rsidRPr="0076565F">
        <w:rPr>
          <w:i/>
          <w:iCs/>
          <w:lang w:val="en-US"/>
        </w:rPr>
        <w:t>3</w:t>
      </w:r>
      <w:r w:rsidRPr="0076565F">
        <w:rPr>
          <w:lang w:val="en-US"/>
        </w:rPr>
        <w:t xml:space="preserve">, 1–6. </w:t>
      </w:r>
      <w:hyperlink r:id="rId8" w:history="1">
        <w:r w:rsidRPr="0076565F">
          <w:rPr>
            <w:rStyle w:val="Kpr"/>
            <w:lang w:val="en-US"/>
          </w:rPr>
          <w:t>https://doi.org/10.3389/fpsyg.2012.00229</w:t>
        </w:r>
      </w:hyperlink>
    </w:p>
    <w:p w14:paraId="2E6FDC63" w14:textId="77777777" w:rsidR="009D5129" w:rsidRPr="0076565F" w:rsidRDefault="009D5129" w:rsidP="004D51BC">
      <w:pPr>
        <w:pStyle w:val="NormalWeb"/>
        <w:spacing w:before="0" w:beforeAutospacing="0" w:after="0" w:afterAutospacing="0" w:line="360" w:lineRule="auto"/>
        <w:ind w:left="709" w:hanging="709"/>
        <w:contextualSpacing/>
        <w:jc w:val="both"/>
        <w:rPr>
          <w:lang w:val="en-US"/>
        </w:rPr>
      </w:pPr>
      <w:proofErr w:type="spellStart"/>
      <w:r w:rsidRPr="0076565F">
        <w:rPr>
          <w:lang w:val="en-US"/>
        </w:rPr>
        <w:t>Bol</w:t>
      </w:r>
      <w:proofErr w:type="spellEnd"/>
      <w:r w:rsidRPr="0076565F">
        <w:rPr>
          <w:lang w:val="en-US"/>
        </w:rPr>
        <w:t xml:space="preserve">, L., Hacker, D. J., O’Shea, P., &amp; Allen, D. (2005). The influence of overt practice, achievement level, and explanatory style on calibration accuracy and performance. </w:t>
      </w:r>
      <w:r w:rsidRPr="0076565F">
        <w:rPr>
          <w:i/>
          <w:iCs/>
          <w:lang w:val="en-US"/>
        </w:rPr>
        <w:t>Journal of Experimental Education</w:t>
      </w:r>
      <w:r w:rsidRPr="0076565F">
        <w:rPr>
          <w:lang w:val="en-US"/>
        </w:rPr>
        <w:t xml:space="preserve">, </w:t>
      </w:r>
      <w:r w:rsidRPr="0076565F">
        <w:rPr>
          <w:i/>
          <w:iCs/>
          <w:lang w:val="en-US"/>
        </w:rPr>
        <w:t>73</w:t>
      </w:r>
      <w:r w:rsidRPr="0076565F">
        <w:rPr>
          <w:lang w:val="en-US"/>
        </w:rPr>
        <w:t xml:space="preserve">(4), 269–290. </w:t>
      </w:r>
      <w:hyperlink r:id="rId9" w:history="1">
        <w:r w:rsidRPr="0076565F">
          <w:rPr>
            <w:rStyle w:val="Kpr"/>
            <w:lang w:val="en-US"/>
          </w:rPr>
          <w:t>https://doi.org/10.3200/JEXE.73.4.269-290</w:t>
        </w:r>
      </w:hyperlink>
    </w:p>
    <w:p w14:paraId="14668A80" w14:textId="77777777" w:rsidR="009D5129" w:rsidRPr="0076565F" w:rsidRDefault="009D5129" w:rsidP="004D51BC">
      <w:pPr>
        <w:ind w:left="709" w:hanging="709"/>
        <w:contextualSpacing/>
        <w:jc w:val="both"/>
        <w:rPr>
          <w:color w:val="000000"/>
          <w:lang w:val="en-US"/>
        </w:rPr>
      </w:pPr>
      <w:r w:rsidRPr="0076565F">
        <w:rPr>
          <w:color w:val="000000"/>
          <w:lang w:val="en-US"/>
        </w:rPr>
        <w:t xml:space="preserve">Chen, P. P. (2003). Exploring the accuracy and predictability of the self-efficacy beliefs of seventh-grade mathematics students. </w:t>
      </w:r>
      <w:r w:rsidRPr="0076565F">
        <w:rPr>
          <w:i/>
          <w:color w:val="000000"/>
          <w:lang w:val="en-US"/>
        </w:rPr>
        <w:t>Learning and Individual Differences, 14</w:t>
      </w:r>
      <w:r w:rsidRPr="0076565F">
        <w:rPr>
          <w:color w:val="000000"/>
          <w:lang w:val="en-US"/>
        </w:rPr>
        <w:t>, 79-92.</w:t>
      </w:r>
    </w:p>
    <w:p w14:paraId="58D1DE4D" w14:textId="77777777" w:rsidR="008156FD" w:rsidRPr="008156FD" w:rsidRDefault="008156FD" w:rsidP="008156FD">
      <w:pPr>
        <w:ind w:left="709" w:hanging="709"/>
        <w:contextualSpacing/>
        <w:rPr>
          <w:rFonts w:eastAsia="Times New Roman"/>
          <w:szCs w:val="24"/>
          <w:lang w:val="en-US" w:eastAsia="tr-TR"/>
        </w:rPr>
      </w:pPr>
      <w:r w:rsidRPr="008156FD">
        <w:rPr>
          <w:rFonts w:eastAsia="Times New Roman"/>
          <w:szCs w:val="24"/>
          <w:lang w:val="en-US" w:eastAsia="tr-TR"/>
        </w:rPr>
        <w:t xml:space="preserve">Dang, N. V., Chiang, J. C., Brown, H. M., &amp; McDonald, K. K. (2018). Curricular activities that promote metacognitive skills impact lower-performing students in an introductory biology course. </w:t>
      </w:r>
      <w:r w:rsidRPr="008156FD">
        <w:rPr>
          <w:rFonts w:eastAsia="Times New Roman"/>
          <w:i/>
          <w:iCs/>
          <w:szCs w:val="24"/>
          <w:lang w:val="en-US" w:eastAsia="tr-TR"/>
        </w:rPr>
        <w:t>Journal of Microbiology &amp; Biology Education</w:t>
      </w:r>
      <w:r w:rsidRPr="008156FD">
        <w:rPr>
          <w:rFonts w:eastAsia="Times New Roman"/>
          <w:szCs w:val="24"/>
          <w:lang w:val="en-US" w:eastAsia="tr-TR"/>
        </w:rPr>
        <w:t xml:space="preserve">, </w:t>
      </w:r>
      <w:r w:rsidRPr="008156FD">
        <w:rPr>
          <w:rFonts w:eastAsia="Times New Roman"/>
          <w:i/>
          <w:iCs/>
          <w:szCs w:val="24"/>
          <w:lang w:val="en-US" w:eastAsia="tr-TR"/>
        </w:rPr>
        <w:t>19</w:t>
      </w:r>
      <w:r w:rsidRPr="008156FD">
        <w:rPr>
          <w:rFonts w:eastAsia="Times New Roman"/>
          <w:szCs w:val="24"/>
          <w:lang w:val="en-US" w:eastAsia="tr-TR"/>
        </w:rPr>
        <w:t>(1), 1-9.</w:t>
      </w:r>
    </w:p>
    <w:p w14:paraId="3CDBFD62" w14:textId="77777777" w:rsidR="009D5129" w:rsidRPr="0076565F" w:rsidRDefault="009D5129" w:rsidP="004D51BC">
      <w:pPr>
        <w:ind w:left="709" w:hanging="709"/>
        <w:contextualSpacing/>
        <w:jc w:val="both"/>
        <w:rPr>
          <w:lang w:val="en-US"/>
        </w:rPr>
      </w:pPr>
      <w:proofErr w:type="spellStart"/>
      <w:r w:rsidRPr="0076565F">
        <w:rPr>
          <w:lang w:val="en-US"/>
        </w:rPr>
        <w:t>Desoete</w:t>
      </w:r>
      <w:proofErr w:type="spellEnd"/>
      <w:r w:rsidRPr="0076565F">
        <w:rPr>
          <w:lang w:val="en-US"/>
        </w:rPr>
        <w:t xml:space="preserve">, A. (2008). Multi-method assessment of metacognitive skills in elementary school children: How you test is what you get. </w:t>
      </w:r>
      <w:r w:rsidRPr="0076565F">
        <w:rPr>
          <w:i/>
          <w:lang w:val="en-US"/>
        </w:rPr>
        <w:t>Metacognition and Learning, 3</w:t>
      </w:r>
      <w:r w:rsidRPr="0076565F">
        <w:rPr>
          <w:lang w:val="en-US"/>
        </w:rPr>
        <w:t>(3), 189-206.</w:t>
      </w:r>
    </w:p>
    <w:p w14:paraId="00713B00" w14:textId="77777777" w:rsidR="00190C10" w:rsidRPr="002C4F9F" w:rsidRDefault="00190C10" w:rsidP="00190C10">
      <w:pPr>
        <w:ind w:left="709" w:hanging="709"/>
        <w:contextualSpacing/>
        <w:jc w:val="both"/>
        <w:rPr>
          <w:color w:val="000000" w:themeColor="text1"/>
          <w:szCs w:val="24"/>
          <w:lang w:val="en-US"/>
        </w:rPr>
      </w:pPr>
      <w:proofErr w:type="spellStart"/>
      <w:r w:rsidRPr="002C4F9F">
        <w:rPr>
          <w:color w:val="000000" w:themeColor="text1"/>
          <w:szCs w:val="24"/>
          <w:lang w:val="en-US"/>
        </w:rPr>
        <w:t>Dunlosky</w:t>
      </w:r>
      <w:proofErr w:type="spellEnd"/>
      <w:r w:rsidRPr="002C4F9F">
        <w:rPr>
          <w:color w:val="000000" w:themeColor="text1"/>
          <w:szCs w:val="24"/>
          <w:lang w:val="en-US"/>
        </w:rPr>
        <w:t xml:space="preserve">, J., &amp; </w:t>
      </w:r>
      <w:proofErr w:type="spellStart"/>
      <w:r w:rsidRPr="002C4F9F">
        <w:rPr>
          <w:color w:val="000000" w:themeColor="text1"/>
          <w:szCs w:val="24"/>
          <w:lang w:val="en-US"/>
        </w:rPr>
        <w:t>Thiede</w:t>
      </w:r>
      <w:proofErr w:type="spellEnd"/>
      <w:r w:rsidRPr="002C4F9F">
        <w:rPr>
          <w:color w:val="000000" w:themeColor="text1"/>
          <w:szCs w:val="24"/>
          <w:lang w:val="en-US"/>
        </w:rPr>
        <w:t xml:space="preserve">, K. W. (2013). Four cornerstones of calibration research: Why understanding students’ judgments can improve their achievement. </w:t>
      </w:r>
      <w:r w:rsidRPr="00540981">
        <w:rPr>
          <w:i/>
          <w:color w:val="000000" w:themeColor="text1"/>
          <w:szCs w:val="24"/>
          <w:lang w:val="en-US"/>
        </w:rPr>
        <w:t>Learning and Instruction, 24</w:t>
      </w:r>
      <w:r w:rsidRPr="002C4F9F">
        <w:rPr>
          <w:color w:val="000000" w:themeColor="text1"/>
          <w:szCs w:val="24"/>
          <w:lang w:val="en-US"/>
        </w:rPr>
        <w:t>(1), 58–61. https://doi.org/10.1016/j.learninstruc.2012.05.002</w:t>
      </w:r>
    </w:p>
    <w:p w14:paraId="2D94241C" w14:textId="3F3A9AAA" w:rsidR="00FD36D7" w:rsidRPr="00250531" w:rsidRDefault="00FD36D7" w:rsidP="00FD36D7">
      <w:pPr>
        <w:ind w:left="709" w:hanging="709"/>
        <w:rPr>
          <w:rFonts w:eastAsia="Times New Roman"/>
          <w:szCs w:val="24"/>
          <w:lang w:val="en-US" w:eastAsia="tr-TR"/>
        </w:rPr>
      </w:pPr>
      <w:r w:rsidRPr="00250531">
        <w:rPr>
          <w:rFonts w:eastAsia="Times New Roman"/>
          <w:szCs w:val="24"/>
          <w:lang w:val="en-US" w:eastAsia="tr-TR"/>
        </w:rPr>
        <w:t xml:space="preserve">Emory, B., &amp; Luo, T. (2020). Metacognitive training and online community college students’ learning calibration and performance. </w:t>
      </w:r>
      <w:r w:rsidRPr="00250531">
        <w:rPr>
          <w:rFonts w:eastAsia="Times New Roman"/>
          <w:i/>
          <w:iCs/>
          <w:szCs w:val="24"/>
          <w:lang w:val="en-US" w:eastAsia="tr-TR"/>
        </w:rPr>
        <w:t>Community College Journal of Research and Practice</w:t>
      </w:r>
      <w:r w:rsidRPr="00250531">
        <w:rPr>
          <w:rFonts w:eastAsia="Times New Roman"/>
          <w:szCs w:val="24"/>
          <w:lang w:val="en-US" w:eastAsia="tr-TR"/>
        </w:rPr>
        <w:t>, 1-17.</w:t>
      </w:r>
    </w:p>
    <w:p w14:paraId="6EAA8CE3" w14:textId="77777777" w:rsidR="007C3B1A" w:rsidRPr="00250531" w:rsidRDefault="007C3B1A" w:rsidP="007C3B1A">
      <w:pPr>
        <w:ind w:left="709" w:hanging="709"/>
        <w:contextualSpacing/>
        <w:jc w:val="both"/>
        <w:rPr>
          <w:szCs w:val="21"/>
          <w:lang w:val="en-US"/>
        </w:rPr>
      </w:pPr>
      <w:r w:rsidRPr="00250531">
        <w:rPr>
          <w:szCs w:val="21"/>
          <w:lang w:val="en-US"/>
        </w:rPr>
        <w:t xml:space="preserve">Flavell, J. H., Miller, P. H., &amp; Miller, S. A. (2002). </w:t>
      </w:r>
      <w:r w:rsidRPr="00250531">
        <w:rPr>
          <w:i/>
          <w:szCs w:val="21"/>
          <w:lang w:val="en-US"/>
        </w:rPr>
        <w:t xml:space="preserve">Cognitive development </w:t>
      </w:r>
      <w:r w:rsidRPr="00250531">
        <w:rPr>
          <w:szCs w:val="21"/>
          <w:lang w:val="en-US"/>
        </w:rPr>
        <w:t>(4th ed.). Upper Saddle River: Prentice-Hall.</w:t>
      </w:r>
    </w:p>
    <w:p w14:paraId="7ED4D7C8" w14:textId="163CAE57" w:rsidR="009D5129" w:rsidRPr="0036522C" w:rsidRDefault="009D5129" w:rsidP="004D51BC">
      <w:pPr>
        <w:ind w:left="709" w:hanging="709"/>
        <w:contextualSpacing/>
        <w:jc w:val="both"/>
        <w:rPr>
          <w:lang w:val="en-US"/>
        </w:rPr>
      </w:pPr>
      <w:r w:rsidRPr="0036522C">
        <w:rPr>
          <w:lang w:val="en-US"/>
        </w:rPr>
        <w:t xml:space="preserve">Fraenkel, J. R., Wallen, N. E., &amp; Hyun, H. H. (2012). </w:t>
      </w:r>
      <w:r w:rsidRPr="0036522C">
        <w:rPr>
          <w:i/>
          <w:lang w:val="en-US"/>
        </w:rPr>
        <w:t>How to design and evaluate research in education</w:t>
      </w:r>
      <w:r w:rsidRPr="0036522C">
        <w:rPr>
          <w:lang w:val="en-US"/>
        </w:rPr>
        <w:t xml:space="preserve"> (8th ed.). New York: </w:t>
      </w:r>
      <w:r w:rsidR="004607BD" w:rsidRPr="0036522C">
        <w:rPr>
          <w:lang w:val="en-US"/>
        </w:rPr>
        <w:t>McGra</w:t>
      </w:r>
      <w:r w:rsidR="004607BD">
        <w:rPr>
          <w:lang w:val="en-US"/>
        </w:rPr>
        <w:t>w</w:t>
      </w:r>
      <w:r w:rsidRPr="0036522C">
        <w:rPr>
          <w:lang w:val="en-US"/>
        </w:rPr>
        <w:t>-Hill Companies.</w:t>
      </w:r>
    </w:p>
    <w:p w14:paraId="5D149632" w14:textId="77777777" w:rsidR="00190C10" w:rsidRPr="002C4F9F" w:rsidRDefault="00190C10" w:rsidP="00190C10">
      <w:pPr>
        <w:ind w:left="709" w:hanging="709"/>
        <w:contextualSpacing/>
        <w:jc w:val="both"/>
        <w:rPr>
          <w:color w:val="222222"/>
          <w:szCs w:val="20"/>
          <w:shd w:val="clear" w:color="auto" w:fill="FFFFFF"/>
          <w:lang w:val="en-US"/>
        </w:rPr>
      </w:pPr>
      <w:r w:rsidRPr="002C4F9F">
        <w:rPr>
          <w:color w:val="222222"/>
          <w:szCs w:val="20"/>
          <w:shd w:val="clear" w:color="auto" w:fill="FFFFFF"/>
          <w:lang w:val="en-US"/>
        </w:rPr>
        <w:t>García, T., Rodríguez, C., González-Castro, P., González-</w:t>
      </w:r>
      <w:proofErr w:type="spellStart"/>
      <w:r w:rsidRPr="002C4F9F">
        <w:rPr>
          <w:color w:val="222222"/>
          <w:szCs w:val="20"/>
          <w:shd w:val="clear" w:color="auto" w:fill="FFFFFF"/>
          <w:lang w:val="en-US"/>
        </w:rPr>
        <w:t>Pienda</w:t>
      </w:r>
      <w:proofErr w:type="spellEnd"/>
      <w:r w:rsidRPr="002C4F9F">
        <w:rPr>
          <w:color w:val="222222"/>
          <w:szCs w:val="20"/>
          <w:shd w:val="clear" w:color="auto" w:fill="FFFFFF"/>
          <w:lang w:val="en-US"/>
        </w:rPr>
        <w:t xml:space="preserve">, J. A., &amp; Torrance, M. (2016). Elementary students’ metacognitive processes and post-performance calibration on mathematical problem-solving tasks. </w:t>
      </w:r>
      <w:r w:rsidRPr="002C4F9F">
        <w:rPr>
          <w:i/>
          <w:iCs/>
          <w:color w:val="222222"/>
          <w:szCs w:val="20"/>
          <w:shd w:val="clear" w:color="auto" w:fill="FFFFFF"/>
          <w:lang w:val="en-US"/>
        </w:rPr>
        <w:t>Metacognition and Learning</w:t>
      </w:r>
      <w:r w:rsidRPr="002C4F9F">
        <w:rPr>
          <w:color w:val="222222"/>
          <w:szCs w:val="20"/>
          <w:shd w:val="clear" w:color="auto" w:fill="FFFFFF"/>
          <w:lang w:val="en-US"/>
        </w:rPr>
        <w:t xml:space="preserve">, </w:t>
      </w:r>
      <w:r w:rsidRPr="002C4F9F">
        <w:rPr>
          <w:i/>
          <w:iCs/>
          <w:color w:val="222222"/>
          <w:szCs w:val="20"/>
          <w:shd w:val="clear" w:color="auto" w:fill="FFFFFF"/>
          <w:lang w:val="en-US"/>
        </w:rPr>
        <w:t>11</w:t>
      </w:r>
      <w:r w:rsidRPr="002C4F9F">
        <w:rPr>
          <w:color w:val="222222"/>
          <w:szCs w:val="20"/>
          <w:shd w:val="clear" w:color="auto" w:fill="FFFFFF"/>
          <w:lang w:val="en-US"/>
        </w:rPr>
        <w:t>(2), 139-170.</w:t>
      </w:r>
    </w:p>
    <w:p w14:paraId="46670DA4" w14:textId="77777777" w:rsidR="009D5129" w:rsidRPr="0036522C" w:rsidRDefault="009D5129" w:rsidP="004D51BC">
      <w:pPr>
        <w:ind w:left="709" w:hanging="709"/>
        <w:contextualSpacing/>
        <w:jc w:val="both"/>
        <w:rPr>
          <w:color w:val="222222"/>
          <w:szCs w:val="20"/>
          <w:shd w:val="clear" w:color="auto" w:fill="FFFFFF"/>
          <w:lang w:val="en-US"/>
        </w:rPr>
      </w:pPr>
      <w:r w:rsidRPr="0036522C">
        <w:rPr>
          <w:color w:val="222222"/>
          <w:szCs w:val="20"/>
          <w:shd w:val="clear" w:color="auto" w:fill="FFFFFF"/>
          <w:lang w:val="en-US"/>
        </w:rPr>
        <w:t xml:space="preserve">George, D., &amp; Mallery, P. (2019). </w:t>
      </w:r>
      <w:r w:rsidRPr="0036522C">
        <w:rPr>
          <w:i/>
          <w:iCs/>
          <w:color w:val="222222"/>
          <w:szCs w:val="20"/>
          <w:shd w:val="clear" w:color="auto" w:fill="FFFFFF"/>
          <w:lang w:val="en-US"/>
        </w:rPr>
        <w:t>IBM SPSS statistics 26 step by step: A simple guide and reference</w:t>
      </w:r>
      <w:r w:rsidRPr="0036522C">
        <w:rPr>
          <w:color w:val="222222"/>
          <w:szCs w:val="20"/>
          <w:shd w:val="clear" w:color="auto" w:fill="FFFFFF"/>
          <w:lang w:val="en-US"/>
        </w:rPr>
        <w:t>. Routledge.</w:t>
      </w:r>
    </w:p>
    <w:p w14:paraId="7A831B53" w14:textId="77777777" w:rsidR="009D5129" w:rsidRPr="0036522C" w:rsidRDefault="009D5129" w:rsidP="004D51BC">
      <w:pPr>
        <w:ind w:left="709" w:hanging="709"/>
        <w:contextualSpacing/>
        <w:jc w:val="both"/>
        <w:rPr>
          <w:color w:val="222222"/>
          <w:szCs w:val="24"/>
          <w:shd w:val="clear" w:color="auto" w:fill="FFFFFF"/>
          <w:lang w:val="en-US"/>
        </w:rPr>
      </w:pPr>
      <w:r w:rsidRPr="0036522C">
        <w:rPr>
          <w:color w:val="222222"/>
          <w:szCs w:val="24"/>
          <w:shd w:val="clear" w:color="auto" w:fill="FFFFFF"/>
          <w:lang w:val="en-US"/>
        </w:rPr>
        <w:t xml:space="preserve">Grimes, P. W. (2002). The overconfident principles of economics student: An examination of a metacognitive skill. </w:t>
      </w:r>
      <w:r w:rsidRPr="0036522C">
        <w:rPr>
          <w:i/>
          <w:iCs/>
          <w:color w:val="222222"/>
          <w:szCs w:val="24"/>
          <w:shd w:val="clear" w:color="auto" w:fill="FFFFFF"/>
          <w:lang w:val="en-US"/>
        </w:rPr>
        <w:t>The Journal of Economic Education</w:t>
      </w:r>
      <w:r w:rsidRPr="0036522C">
        <w:rPr>
          <w:color w:val="222222"/>
          <w:szCs w:val="24"/>
          <w:shd w:val="clear" w:color="auto" w:fill="FFFFFF"/>
          <w:lang w:val="en-US"/>
        </w:rPr>
        <w:t xml:space="preserve">, </w:t>
      </w:r>
      <w:r w:rsidRPr="0036522C">
        <w:rPr>
          <w:i/>
          <w:iCs/>
          <w:color w:val="222222"/>
          <w:szCs w:val="24"/>
          <w:shd w:val="clear" w:color="auto" w:fill="FFFFFF"/>
          <w:lang w:val="en-US"/>
        </w:rPr>
        <w:t>33</w:t>
      </w:r>
      <w:r w:rsidRPr="0036522C">
        <w:rPr>
          <w:color w:val="222222"/>
          <w:szCs w:val="24"/>
          <w:shd w:val="clear" w:color="auto" w:fill="FFFFFF"/>
          <w:lang w:val="en-US"/>
        </w:rPr>
        <w:t>(1), 15-30.</w:t>
      </w:r>
    </w:p>
    <w:p w14:paraId="47E132B3" w14:textId="30F8F82D" w:rsidR="00190C10" w:rsidRPr="002C4F9F" w:rsidRDefault="00190C10" w:rsidP="00190C10">
      <w:pPr>
        <w:ind w:left="709" w:hanging="709"/>
        <w:contextualSpacing/>
        <w:jc w:val="both"/>
        <w:rPr>
          <w:color w:val="222222"/>
          <w:szCs w:val="20"/>
          <w:shd w:val="clear" w:color="auto" w:fill="FFFFFF"/>
          <w:lang w:val="en-US"/>
        </w:rPr>
      </w:pPr>
      <w:r w:rsidRPr="002C4F9F">
        <w:rPr>
          <w:color w:val="222222"/>
          <w:szCs w:val="20"/>
          <w:shd w:val="clear" w:color="auto" w:fill="FFFFFF"/>
          <w:lang w:val="en-US"/>
        </w:rPr>
        <w:lastRenderedPageBreak/>
        <w:t>Gutierrez, A. P., &amp; Price, A. F. (201</w:t>
      </w:r>
      <w:r w:rsidR="00DC1B34">
        <w:rPr>
          <w:color w:val="222222"/>
          <w:szCs w:val="20"/>
          <w:shd w:val="clear" w:color="auto" w:fill="FFFFFF"/>
          <w:lang w:val="en-US"/>
        </w:rPr>
        <w:t>6</w:t>
      </w:r>
      <w:r w:rsidRPr="002C4F9F">
        <w:rPr>
          <w:color w:val="222222"/>
          <w:szCs w:val="20"/>
          <w:shd w:val="clear" w:color="auto" w:fill="FFFFFF"/>
          <w:lang w:val="en-US"/>
        </w:rPr>
        <w:t xml:space="preserve">). Calibration between undergraduate students' prediction of and actual performance: The role of gender and performance attributions. </w:t>
      </w:r>
      <w:r w:rsidRPr="002C4F9F">
        <w:rPr>
          <w:i/>
          <w:iCs/>
          <w:color w:val="222222"/>
          <w:szCs w:val="20"/>
          <w:shd w:val="clear" w:color="auto" w:fill="FFFFFF"/>
          <w:lang w:val="en-US"/>
        </w:rPr>
        <w:t>The Journal of Experimental Education</w:t>
      </w:r>
      <w:r w:rsidRPr="002C4F9F">
        <w:rPr>
          <w:color w:val="222222"/>
          <w:szCs w:val="20"/>
          <w:shd w:val="clear" w:color="auto" w:fill="FFFFFF"/>
          <w:lang w:val="en-US"/>
        </w:rPr>
        <w:t xml:space="preserve">, </w:t>
      </w:r>
      <w:r w:rsidRPr="002C4F9F">
        <w:rPr>
          <w:i/>
          <w:iCs/>
          <w:color w:val="222222"/>
          <w:szCs w:val="20"/>
          <w:shd w:val="clear" w:color="auto" w:fill="FFFFFF"/>
          <w:lang w:val="en-US"/>
        </w:rPr>
        <w:t>85</w:t>
      </w:r>
      <w:r w:rsidRPr="002C4F9F">
        <w:rPr>
          <w:color w:val="222222"/>
          <w:szCs w:val="20"/>
          <w:shd w:val="clear" w:color="auto" w:fill="FFFFFF"/>
          <w:lang w:val="en-US"/>
        </w:rPr>
        <w:t>(3), 486-500.</w:t>
      </w:r>
    </w:p>
    <w:p w14:paraId="12BC3BB0" w14:textId="77777777" w:rsidR="009D5129" w:rsidRPr="0076565F" w:rsidRDefault="009D5129" w:rsidP="00837F9C">
      <w:pPr>
        <w:pStyle w:val="NormalWeb"/>
        <w:spacing w:before="0" w:beforeAutospacing="0" w:after="0" w:afterAutospacing="0" w:line="360" w:lineRule="auto"/>
        <w:ind w:left="709" w:hanging="709"/>
        <w:contextualSpacing/>
      </w:pPr>
      <w:r w:rsidRPr="0036522C">
        <w:rPr>
          <w:lang w:val="en-US"/>
        </w:rPr>
        <w:t xml:space="preserve">Hacker, D. J., </w:t>
      </w:r>
      <w:proofErr w:type="spellStart"/>
      <w:r w:rsidRPr="0036522C">
        <w:rPr>
          <w:lang w:val="en-US"/>
        </w:rPr>
        <w:t>Bol</w:t>
      </w:r>
      <w:proofErr w:type="spellEnd"/>
      <w:r w:rsidRPr="0036522C">
        <w:rPr>
          <w:lang w:val="en-US"/>
        </w:rPr>
        <w:t xml:space="preserve">, L., &amp; </w:t>
      </w:r>
      <w:proofErr w:type="spellStart"/>
      <w:r w:rsidRPr="0036522C">
        <w:rPr>
          <w:lang w:val="en-US"/>
        </w:rPr>
        <w:t>Bahbahani</w:t>
      </w:r>
      <w:proofErr w:type="spellEnd"/>
      <w:r w:rsidRPr="0036522C">
        <w:rPr>
          <w:lang w:val="en-US"/>
        </w:rPr>
        <w:t xml:space="preserve">, K. (2008). Explaining calibration accuracy in classroom contexts: The effects of incentives, reflection, and explanatory style. </w:t>
      </w:r>
      <w:r w:rsidRPr="0036522C">
        <w:rPr>
          <w:i/>
          <w:iCs/>
          <w:lang w:val="en-US"/>
        </w:rPr>
        <w:t>Metacognition and</w:t>
      </w:r>
      <w:r w:rsidRPr="0076565F">
        <w:rPr>
          <w:i/>
          <w:iCs/>
        </w:rPr>
        <w:t xml:space="preserve"> Learning</w:t>
      </w:r>
      <w:r w:rsidRPr="0076565F">
        <w:t xml:space="preserve">, </w:t>
      </w:r>
      <w:r w:rsidRPr="0076565F">
        <w:rPr>
          <w:i/>
          <w:iCs/>
        </w:rPr>
        <w:t>3</w:t>
      </w:r>
      <w:r w:rsidRPr="0076565F">
        <w:t xml:space="preserve">(2), 101–121. </w:t>
      </w:r>
      <w:hyperlink r:id="rId10" w:history="1">
        <w:r w:rsidRPr="0076565F">
          <w:rPr>
            <w:rStyle w:val="Kpr"/>
          </w:rPr>
          <w:t>https://doi.org/10.1007/s11409-008-9021-5</w:t>
        </w:r>
      </w:hyperlink>
    </w:p>
    <w:p w14:paraId="5A4A7E37" w14:textId="77777777" w:rsidR="009D5129" w:rsidRPr="0076565F" w:rsidRDefault="009D5129" w:rsidP="004D51BC">
      <w:pPr>
        <w:pStyle w:val="NormalWeb"/>
        <w:spacing w:before="0" w:beforeAutospacing="0" w:after="0" w:afterAutospacing="0" w:line="360" w:lineRule="auto"/>
        <w:ind w:left="709" w:hanging="709"/>
        <w:contextualSpacing/>
        <w:jc w:val="both"/>
        <w:rPr>
          <w:lang w:val="en-US"/>
        </w:rPr>
      </w:pPr>
      <w:r w:rsidRPr="0076565F">
        <w:rPr>
          <w:lang w:val="en-US"/>
        </w:rPr>
        <w:t xml:space="preserve">Hacker, D. J., </w:t>
      </w:r>
      <w:proofErr w:type="spellStart"/>
      <w:r w:rsidRPr="0076565F">
        <w:rPr>
          <w:lang w:val="en-US"/>
        </w:rPr>
        <w:t>Bol</w:t>
      </w:r>
      <w:proofErr w:type="spellEnd"/>
      <w:r w:rsidRPr="0076565F">
        <w:rPr>
          <w:lang w:val="en-US"/>
        </w:rPr>
        <w:t xml:space="preserve">, L., Horgan, D. D., &amp; </w:t>
      </w:r>
      <w:proofErr w:type="spellStart"/>
      <w:r w:rsidRPr="0076565F">
        <w:rPr>
          <w:lang w:val="en-US"/>
        </w:rPr>
        <w:t>Rakow</w:t>
      </w:r>
      <w:proofErr w:type="spellEnd"/>
      <w:r w:rsidRPr="0076565F">
        <w:rPr>
          <w:lang w:val="en-US"/>
        </w:rPr>
        <w:t xml:space="preserve">, E. A. (2000). Test prediction and performance in a classroom context. </w:t>
      </w:r>
      <w:r w:rsidRPr="0076565F">
        <w:rPr>
          <w:i/>
          <w:iCs/>
          <w:lang w:val="en-US"/>
        </w:rPr>
        <w:t>Journal of Educational Psychology</w:t>
      </w:r>
      <w:r w:rsidRPr="0076565F">
        <w:rPr>
          <w:lang w:val="en-US"/>
        </w:rPr>
        <w:t xml:space="preserve">, </w:t>
      </w:r>
      <w:r w:rsidRPr="0076565F">
        <w:rPr>
          <w:i/>
          <w:iCs/>
          <w:lang w:val="en-US"/>
        </w:rPr>
        <w:t>92</w:t>
      </w:r>
      <w:r w:rsidRPr="0076565F">
        <w:rPr>
          <w:lang w:val="en-US"/>
        </w:rPr>
        <w:t xml:space="preserve">(1), 160–170. </w:t>
      </w:r>
      <w:hyperlink r:id="rId11" w:history="1">
        <w:r w:rsidRPr="0076565F">
          <w:rPr>
            <w:rStyle w:val="Kpr"/>
            <w:lang w:val="en-US"/>
          </w:rPr>
          <w:t>https://doi.org/10.1037/0022-0663.92.1.160</w:t>
        </w:r>
      </w:hyperlink>
    </w:p>
    <w:p w14:paraId="05A974AB" w14:textId="77777777" w:rsidR="00EE7C9C" w:rsidRPr="002C4F9F" w:rsidRDefault="00EE7C9C" w:rsidP="00EE7C9C">
      <w:pPr>
        <w:ind w:left="709" w:hanging="709"/>
        <w:contextualSpacing/>
        <w:jc w:val="both"/>
        <w:rPr>
          <w:color w:val="2C2E35"/>
          <w:sz w:val="20"/>
          <w:szCs w:val="24"/>
          <w:lang w:val="en-US"/>
        </w:rPr>
      </w:pPr>
      <w:r w:rsidRPr="002C4F9F">
        <w:rPr>
          <w:rStyle w:val="highlight"/>
          <w:szCs w:val="30"/>
          <w:lang w:val="en-US"/>
        </w:rPr>
        <w:t>Hong</w:t>
      </w:r>
      <w:r w:rsidRPr="002C4F9F">
        <w:rPr>
          <w:rStyle w:val="markedcontent"/>
          <w:szCs w:val="30"/>
          <w:lang w:val="en-US"/>
        </w:rPr>
        <w:t xml:space="preserve">, J. C., Hwang, M. Y., Tai, K., H., &amp; Chen, Y. L. (2014). Using calibration to enhance students’ self-confidence in English vocabulary learning relevant to their judgment of over-confidence and predicted by smartphone self-efficacy and English learning anxiety. </w:t>
      </w:r>
      <w:r w:rsidRPr="00E73799">
        <w:rPr>
          <w:rStyle w:val="markedcontent"/>
          <w:i/>
          <w:szCs w:val="30"/>
          <w:lang w:val="en-US"/>
        </w:rPr>
        <w:t>Computers &amp; Education, 72</w:t>
      </w:r>
      <w:r w:rsidRPr="002C4F9F">
        <w:rPr>
          <w:rStyle w:val="markedcontent"/>
          <w:szCs w:val="30"/>
          <w:lang w:val="en-US"/>
        </w:rPr>
        <w:t xml:space="preserve">, 313-322. </w:t>
      </w:r>
    </w:p>
    <w:p w14:paraId="76D8F56B" w14:textId="77777777" w:rsidR="009D5129" w:rsidRPr="0076565F" w:rsidRDefault="009D5129" w:rsidP="004D51BC">
      <w:pPr>
        <w:ind w:left="709" w:hanging="709"/>
        <w:contextualSpacing/>
        <w:jc w:val="both"/>
        <w:rPr>
          <w:lang w:val="en-US"/>
        </w:rPr>
      </w:pPr>
      <w:r w:rsidRPr="0076565F">
        <w:rPr>
          <w:lang w:val="en-US"/>
        </w:rPr>
        <w:t xml:space="preserve">Huang, C. (2016). Achievement goals and self-efficacy: A meta-analysis. </w:t>
      </w:r>
      <w:r w:rsidRPr="0076565F">
        <w:rPr>
          <w:i/>
          <w:lang w:val="en-US"/>
        </w:rPr>
        <w:t>Educational Research Review, 19</w:t>
      </w:r>
      <w:r w:rsidRPr="0076565F">
        <w:rPr>
          <w:lang w:val="en-US"/>
        </w:rPr>
        <w:t>, 119-137.</w:t>
      </w:r>
    </w:p>
    <w:p w14:paraId="2C1195C1" w14:textId="6402B7E0" w:rsidR="0036522C" w:rsidRPr="00A6568A" w:rsidRDefault="0036522C" w:rsidP="0036522C">
      <w:pPr>
        <w:ind w:left="709" w:hanging="709"/>
        <w:contextualSpacing/>
        <w:jc w:val="both"/>
        <w:rPr>
          <w:color w:val="2C2E35"/>
          <w:szCs w:val="24"/>
          <w:lang w:val="en-US"/>
        </w:rPr>
      </w:pPr>
      <w:r w:rsidRPr="00A6568A">
        <w:rPr>
          <w:lang w:val="en-US"/>
        </w:rPr>
        <w:t xml:space="preserve">Jensen, P. A., &amp; Moore, R. (2008). Students' behaviors, grades &amp; perceptions in an introductory biology course. </w:t>
      </w:r>
      <w:r w:rsidRPr="00A6568A">
        <w:rPr>
          <w:i/>
          <w:iCs/>
          <w:lang w:val="en-US"/>
        </w:rPr>
        <w:t>The American Biology Teacher</w:t>
      </w:r>
      <w:r w:rsidRPr="00A6568A">
        <w:rPr>
          <w:lang w:val="en-US"/>
        </w:rPr>
        <w:t xml:space="preserve">, </w:t>
      </w:r>
      <w:r w:rsidRPr="00A6568A">
        <w:rPr>
          <w:i/>
          <w:iCs/>
          <w:lang w:val="en-US"/>
        </w:rPr>
        <w:t>70</w:t>
      </w:r>
      <w:r w:rsidRPr="00A6568A">
        <w:rPr>
          <w:lang w:val="en-US"/>
        </w:rPr>
        <w:t>(8), 483-487.</w:t>
      </w:r>
    </w:p>
    <w:p w14:paraId="7C4C0A38" w14:textId="5A55B581" w:rsidR="009D5129" w:rsidRPr="0076565F" w:rsidRDefault="009D5129" w:rsidP="00837F9C">
      <w:pPr>
        <w:pStyle w:val="NormalWeb"/>
        <w:spacing w:before="0" w:beforeAutospacing="0" w:after="0" w:afterAutospacing="0" w:line="360" w:lineRule="auto"/>
        <w:ind w:left="709" w:hanging="709"/>
        <w:contextualSpacing/>
        <w:jc w:val="both"/>
      </w:pPr>
      <w:proofErr w:type="spellStart"/>
      <w:r w:rsidRPr="0036522C">
        <w:rPr>
          <w:lang w:val="en-US"/>
        </w:rPr>
        <w:t>Kallia</w:t>
      </w:r>
      <w:proofErr w:type="spellEnd"/>
      <w:r w:rsidRPr="0036522C">
        <w:rPr>
          <w:lang w:val="en-US"/>
        </w:rPr>
        <w:t xml:space="preserve">, M., &amp; </w:t>
      </w:r>
      <w:proofErr w:type="spellStart"/>
      <w:r w:rsidRPr="0036522C">
        <w:rPr>
          <w:lang w:val="en-US"/>
        </w:rPr>
        <w:t>Sentance</w:t>
      </w:r>
      <w:proofErr w:type="spellEnd"/>
      <w:r w:rsidRPr="0036522C">
        <w:rPr>
          <w:lang w:val="en-US"/>
        </w:rPr>
        <w:t xml:space="preserve">, S. (2018). Are boys more confident than girls? The role of calibration and students’ self-efficacy in programming tasks and computer science. </w:t>
      </w:r>
      <w:r w:rsidRPr="0036522C">
        <w:rPr>
          <w:i/>
          <w:iCs/>
          <w:lang w:val="en-US"/>
        </w:rPr>
        <w:t>ACM</w:t>
      </w:r>
      <w:r w:rsidR="005A1879">
        <w:rPr>
          <w:i/>
          <w:iCs/>
          <w:lang w:val="en-US"/>
        </w:rPr>
        <w:t xml:space="preserve"> </w:t>
      </w:r>
      <w:r w:rsidRPr="0036522C">
        <w:rPr>
          <w:i/>
          <w:iCs/>
          <w:lang w:val="en-US"/>
        </w:rPr>
        <w:t>International Conference Proceeding Series</w:t>
      </w:r>
      <w:r w:rsidRPr="0036522C">
        <w:rPr>
          <w:lang w:val="en-US"/>
        </w:rPr>
        <w:t xml:space="preserve">, 4–7. </w:t>
      </w:r>
      <w:hyperlink r:id="rId12" w:history="1">
        <w:r w:rsidRPr="0076565F">
          <w:rPr>
            <w:rStyle w:val="Kpr"/>
          </w:rPr>
          <w:t>https://doi.org/10.1145/3265757.3265773</w:t>
        </w:r>
      </w:hyperlink>
    </w:p>
    <w:p w14:paraId="0C310C65" w14:textId="77777777" w:rsidR="009D5129" w:rsidRPr="0076565F" w:rsidRDefault="009D5129" w:rsidP="004D51BC">
      <w:pPr>
        <w:ind w:left="709" w:hanging="709"/>
        <w:contextualSpacing/>
        <w:jc w:val="both"/>
        <w:rPr>
          <w:lang w:val="en-US"/>
        </w:rPr>
      </w:pPr>
      <w:r w:rsidRPr="0076565F">
        <w:rPr>
          <w:lang w:val="en-US"/>
        </w:rPr>
        <w:t xml:space="preserve">Keren, G. (1991). Calibration and probability judgements: Conceptual and methodological issues. </w:t>
      </w:r>
      <w:proofErr w:type="spellStart"/>
      <w:r w:rsidRPr="0076565F">
        <w:rPr>
          <w:i/>
          <w:lang w:val="en-US"/>
        </w:rPr>
        <w:t>Acta</w:t>
      </w:r>
      <w:proofErr w:type="spellEnd"/>
      <w:r w:rsidRPr="0076565F">
        <w:rPr>
          <w:i/>
          <w:lang w:val="en-US"/>
        </w:rPr>
        <w:t xml:space="preserve"> </w:t>
      </w:r>
      <w:proofErr w:type="spellStart"/>
      <w:r w:rsidRPr="0076565F">
        <w:rPr>
          <w:i/>
          <w:lang w:val="en-US"/>
        </w:rPr>
        <w:t>Psychologica</w:t>
      </w:r>
      <w:proofErr w:type="spellEnd"/>
      <w:r w:rsidRPr="0076565F">
        <w:rPr>
          <w:i/>
          <w:lang w:val="en-US"/>
        </w:rPr>
        <w:t>, 77</w:t>
      </w:r>
      <w:r w:rsidRPr="0076565F">
        <w:rPr>
          <w:lang w:val="en-US"/>
        </w:rPr>
        <w:t>(3), 217-273.</w:t>
      </w:r>
    </w:p>
    <w:p w14:paraId="50B53085" w14:textId="77777777" w:rsidR="009D5129" w:rsidRPr="0076565F" w:rsidRDefault="009D5129" w:rsidP="004D51BC">
      <w:pPr>
        <w:ind w:left="709" w:hanging="709"/>
        <w:contextualSpacing/>
        <w:jc w:val="both"/>
        <w:rPr>
          <w:lang w:val="en-US"/>
        </w:rPr>
      </w:pPr>
      <w:r w:rsidRPr="0076565F">
        <w:rPr>
          <w:lang w:val="en-US"/>
        </w:rPr>
        <w:t xml:space="preserve">Klassen, R. M., </w:t>
      </w:r>
      <w:proofErr w:type="spellStart"/>
      <w:r w:rsidRPr="0076565F">
        <w:rPr>
          <w:lang w:val="en-US"/>
        </w:rPr>
        <w:t>Krawchuk</w:t>
      </w:r>
      <w:proofErr w:type="spellEnd"/>
      <w:r w:rsidRPr="0076565F">
        <w:rPr>
          <w:lang w:val="en-US"/>
        </w:rPr>
        <w:t xml:space="preserve">, L. L., &amp; Rajani, S. (2008). Academic procrastination of undergraduates: Low self-efficacy to self-regulate predicts higher levels of procrastination. </w:t>
      </w:r>
      <w:r w:rsidRPr="0076565F">
        <w:rPr>
          <w:i/>
          <w:lang w:val="en-US"/>
        </w:rPr>
        <w:t>Contemporary Educational Psychology, 33</w:t>
      </w:r>
      <w:r w:rsidRPr="0076565F">
        <w:rPr>
          <w:lang w:val="en-US"/>
        </w:rPr>
        <w:t>(4), 915-931.</w:t>
      </w:r>
    </w:p>
    <w:p w14:paraId="52133023" w14:textId="77777777" w:rsidR="009D5129" w:rsidRPr="0076565F" w:rsidRDefault="009D5129" w:rsidP="004D51BC">
      <w:pPr>
        <w:ind w:left="709" w:hanging="709"/>
        <w:contextualSpacing/>
        <w:jc w:val="both"/>
        <w:rPr>
          <w:lang w:val="en-US"/>
        </w:rPr>
      </w:pPr>
      <w:r w:rsidRPr="0076565F">
        <w:rPr>
          <w:lang w:val="en-US"/>
        </w:rPr>
        <w:t xml:space="preserve">Korkmaz, O. (2018). Academic procrastination in secondary school students: Examining the prediction of the self-efficacy and locus of control. </w:t>
      </w:r>
      <w:r w:rsidRPr="0076565F">
        <w:rPr>
          <w:i/>
          <w:lang w:val="en-US"/>
        </w:rPr>
        <w:t>International Journal of Social Research, 7(</w:t>
      </w:r>
      <w:r w:rsidRPr="0076565F">
        <w:rPr>
          <w:lang w:val="en-US"/>
        </w:rPr>
        <w:t>1), 19-35.</w:t>
      </w:r>
    </w:p>
    <w:p w14:paraId="0013A260" w14:textId="7A329BCA" w:rsidR="007C3B1A" w:rsidRPr="00250531" w:rsidRDefault="007C3B1A" w:rsidP="007C3B1A">
      <w:pPr>
        <w:ind w:left="709" w:hanging="709"/>
        <w:contextualSpacing/>
        <w:jc w:val="both"/>
        <w:rPr>
          <w:rFonts w:eastAsia="Times New Roman"/>
          <w:szCs w:val="24"/>
          <w:lang w:val="en-US" w:eastAsia="tr-TR"/>
        </w:rPr>
      </w:pPr>
      <w:proofErr w:type="spellStart"/>
      <w:r w:rsidRPr="00250531">
        <w:rPr>
          <w:rFonts w:eastAsia="Times New Roman"/>
          <w:szCs w:val="24"/>
          <w:lang w:val="en-US" w:eastAsia="tr-TR"/>
        </w:rPr>
        <w:t>Lingel</w:t>
      </w:r>
      <w:proofErr w:type="spellEnd"/>
      <w:r w:rsidRPr="00250531">
        <w:rPr>
          <w:rFonts w:eastAsia="Times New Roman"/>
          <w:szCs w:val="24"/>
          <w:lang w:val="en-US" w:eastAsia="tr-TR"/>
        </w:rPr>
        <w:t xml:space="preserve">, K., Lenhart, J., &amp; Schneider, W. (2019). Metacognition in mathematics: do different metacognitive monitoring measures make a difference? </w:t>
      </w:r>
      <w:r w:rsidRPr="00250531">
        <w:rPr>
          <w:rFonts w:eastAsia="Times New Roman"/>
          <w:i/>
          <w:iCs/>
          <w:szCs w:val="24"/>
          <w:lang w:val="en-US" w:eastAsia="tr-TR"/>
        </w:rPr>
        <w:t>ZDM</w:t>
      </w:r>
      <w:r w:rsidRPr="00250531">
        <w:rPr>
          <w:rFonts w:eastAsia="Times New Roman"/>
          <w:szCs w:val="24"/>
          <w:lang w:val="en-US" w:eastAsia="tr-TR"/>
        </w:rPr>
        <w:t xml:space="preserve">, </w:t>
      </w:r>
      <w:r w:rsidRPr="00250531">
        <w:rPr>
          <w:rFonts w:eastAsia="Times New Roman"/>
          <w:i/>
          <w:iCs/>
          <w:szCs w:val="24"/>
          <w:lang w:val="en-US" w:eastAsia="tr-TR"/>
        </w:rPr>
        <w:t>51</w:t>
      </w:r>
      <w:r w:rsidRPr="00250531">
        <w:rPr>
          <w:rFonts w:eastAsia="Times New Roman"/>
          <w:szCs w:val="24"/>
          <w:lang w:val="en-US" w:eastAsia="tr-TR"/>
        </w:rPr>
        <w:t>(4), 587-600.</w:t>
      </w:r>
    </w:p>
    <w:p w14:paraId="011926DA" w14:textId="77777777" w:rsidR="00190C10" w:rsidRPr="002C4F9F" w:rsidRDefault="00190C10" w:rsidP="00190C10">
      <w:pPr>
        <w:ind w:left="709" w:hanging="709"/>
        <w:contextualSpacing/>
        <w:jc w:val="both"/>
        <w:rPr>
          <w:color w:val="222222"/>
          <w:szCs w:val="24"/>
          <w:shd w:val="clear" w:color="auto" w:fill="FFFFFF"/>
          <w:lang w:val="en-US"/>
        </w:rPr>
      </w:pPr>
      <w:proofErr w:type="spellStart"/>
      <w:r w:rsidRPr="002C4F9F">
        <w:rPr>
          <w:color w:val="222222"/>
          <w:szCs w:val="24"/>
          <w:shd w:val="clear" w:color="auto" w:fill="FFFFFF"/>
          <w:lang w:val="en-US"/>
        </w:rPr>
        <w:t>Morphew</w:t>
      </w:r>
      <w:proofErr w:type="spellEnd"/>
      <w:r w:rsidRPr="002C4F9F">
        <w:rPr>
          <w:color w:val="222222"/>
          <w:szCs w:val="24"/>
          <w:shd w:val="clear" w:color="auto" w:fill="FFFFFF"/>
          <w:lang w:val="en-US"/>
        </w:rPr>
        <w:t xml:space="preserve">, J. W. (2021). Changes in metacognitive monitoring accuracy in an introductory physics course. </w:t>
      </w:r>
      <w:r w:rsidRPr="002C4F9F">
        <w:rPr>
          <w:i/>
          <w:iCs/>
          <w:color w:val="222222"/>
          <w:szCs w:val="24"/>
          <w:shd w:val="clear" w:color="auto" w:fill="FFFFFF"/>
          <w:lang w:val="en-US"/>
        </w:rPr>
        <w:t>Metacognition and Learning</w:t>
      </w:r>
      <w:r w:rsidRPr="002C4F9F">
        <w:rPr>
          <w:color w:val="222222"/>
          <w:szCs w:val="24"/>
          <w:shd w:val="clear" w:color="auto" w:fill="FFFFFF"/>
          <w:lang w:val="en-US"/>
        </w:rPr>
        <w:t xml:space="preserve">, </w:t>
      </w:r>
      <w:r w:rsidRPr="002C4F9F">
        <w:rPr>
          <w:i/>
          <w:iCs/>
          <w:color w:val="222222"/>
          <w:szCs w:val="24"/>
          <w:shd w:val="clear" w:color="auto" w:fill="FFFFFF"/>
          <w:lang w:val="en-US"/>
        </w:rPr>
        <w:t>16</w:t>
      </w:r>
      <w:r w:rsidRPr="002C4F9F">
        <w:rPr>
          <w:color w:val="222222"/>
          <w:szCs w:val="24"/>
          <w:shd w:val="clear" w:color="auto" w:fill="FFFFFF"/>
          <w:lang w:val="en-US"/>
        </w:rPr>
        <w:t>(1), 89-111.</w:t>
      </w:r>
    </w:p>
    <w:p w14:paraId="452A960A" w14:textId="77777777" w:rsidR="009D5129" w:rsidRPr="0076565F" w:rsidRDefault="009D5129" w:rsidP="004D51BC">
      <w:pPr>
        <w:ind w:left="709" w:hanging="709"/>
        <w:contextualSpacing/>
        <w:jc w:val="both"/>
        <w:rPr>
          <w:lang w:val="en-US"/>
        </w:rPr>
      </w:pPr>
      <w:r w:rsidRPr="0076565F">
        <w:rPr>
          <w:lang w:val="en-US"/>
        </w:rPr>
        <w:lastRenderedPageBreak/>
        <w:t xml:space="preserve">Nelson, T. O. (1996). Gamma is a measure of the accuracy of predicting performance on one item relative to another item, not of the absolute performance on an individual item comments on Schraw (1995). </w:t>
      </w:r>
      <w:r w:rsidRPr="0076565F">
        <w:rPr>
          <w:i/>
          <w:lang w:val="en-US"/>
        </w:rPr>
        <w:t>Applied Cognitive Psychology,10</w:t>
      </w:r>
      <w:r w:rsidRPr="0076565F">
        <w:rPr>
          <w:lang w:val="en-US"/>
        </w:rPr>
        <w:t>(3), 257-260.</w:t>
      </w:r>
    </w:p>
    <w:p w14:paraId="0DCAE9FC" w14:textId="77777777" w:rsidR="009D5129" w:rsidRPr="0076565F" w:rsidRDefault="009D5129" w:rsidP="004D51BC">
      <w:pPr>
        <w:pStyle w:val="NormalWeb"/>
        <w:spacing w:before="0" w:beforeAutospacing="0" w:after="0" w:afterAutospacing="0" w:line="360" w:lineRule="auto"/>
        <w:ind w:left="709" w:hanging="709"/>
        <w:contextualSpacing/>
        <w:jc w:val="both"/>
        <w:rPr>
          <w:lang w:val="en-US"/>
        </w:rPr>
      </w:pPr>
      <w:proofErr w:type="spellStart"/>
      <w:r w:rsidRPr="0076565F">
        <w:rPr>
          <w:lang w:val="en-US"/>
        </w:rPr>
        <w:t>Nietfeld</w:t>
      </w:r>
      <w:proofErr w:type="spellEnd"/>
      <w:r w:rsidRPr="0076565F">
        <w:rPr>
          <w:lang w:val="en-US"/>
        </w:rPr>
        <w:t xml:space="preserve">, J., Cao, L., &amp; Osborne, J. (2005). Metacognitive monitoring accuracy and student performance in the postsecondary classroom. </w:t>
      </w:r>
      <w:r w:rsidRPr="0076565F">
        <w:rPr>
          <w:i/>
          <w:iCs/>
          <w:lang w:val="en-US"/>
        </w:rPr>
        <w:t>The Journal of Experimental Education</w:t>
      </w:r>
      <w:r w:rsidRPr="0076565F">
        <w:rPr>
          <w:lang w:val="en-US"/>
        </w:rPr>
        <w:t xml:space="preserve">, </w:t>
      </w:r>
      <w:r w:rsidRPr="0076565F">
        <w:rPr>
          <w:i/>
          <w:iCs/>
          <w:lang w:val="en-US"/>
        </w:rPr>
        <w:t>74</w:t>
      </w:r>
      <w:r w:rsidRPr="0076565F">
        <w:rPr>
          <w:lang w:val="en-US"/>
        </w:rPr>
        <w:t>(1), 7–28.</w:t>
      </w:r>
    </w:p>
    <w:p w14:paraId="773CB004" w14:textId="77777777" w:rsidR="00FD36D7" w:rsidRPr="00250531" w:rsidRDefault="00FD36D7" w:rsidP="00837F9C">
      <w:pPr>
        <w:ind w:left="709" w:hanging="709"/>
        <w:jc w:val="both"/>
        <w:rPr>
          <w:lang w:val="en-US"/>
        </w:rPr>
      </w:pPr>
      <w:r w:rsidRPr="00250531">
        <w:rPr>
          <w:lang w:val="en-US"/>
        </w:rPr>
        <w:t xml:space="preserve">Osterhage, J. L. (2021). Persistent miscalibration for low and high achievers despite practice test feedback in an introductory biology course. </w:t>
      </w:r>
      <w:r w:rsidRPr="00250531">
        <w:rPr>
          <w:i/>
          <w:iCs/>
          <w:lang w:val="en-US"/>
        </w:rPr>
        <w:t>Journal of Microbiology &amp; Biology Education</w:t>
      </w:r>
      <w:r w:rsidRPr="00250531">
        <w:rPr>
          <w:lang w:val="en-US"/>
        </w:rPr>
        <w:t xml:space="preserve">, </w:t>
      </w:r>
      <w:r w:rsidRPr="00250531">
        <w:rPr>
          <w:i/>
          <w:iCs/>
          <w:lang w:val="en-US"/>
        </w:rPr>
        <w:t>22</w:t>
      </w:r>
      <w:r w:rsidRPr="00250531">
        <w:rPr>
          <w:lang w:val="en-US"/>
        </w:rPr>
        <w:t>(2), 1-11.</w:t>
      </w:r>
    </w:p>
    <w:p w14:paraId="66470974" w14:textId="13239022" w:rsidR="0036522C" w:rsidRPr="00250531" w:rsidRDefault="0036522C" w:rsidP="0036522C">
      <w:pPr>
        <w:ind w:left="709" w:hanging="709"/>
        <w:contextualSpacing/>
        <w:jc w:val="both"/>
        <w:rPr>
          <w:color w:val="2C2E35"/>
          <w:szCs w:val="24"/>
          <w:lang w:val="en-US"/>
        </w:rPr>
      </w:pPr>
      <w:bookmarkStart w:id="2" w:name="_Hlk85241104"/>
      <w:r w:rsidRPr="00250531">
        <w:rPr>
          <w:color w:val="000000" w:themeColor="text1"/>
          <w:szCs w:val="24"/>
          <w:lang w:val="en-US"/>
        </w:rPr>
        <w:t>Osterhage</w:t>
      </w:r>
      <w:r w:rsidR="00F91A1D">
        <w:rPr>
          <w:color w:val="000000" w:themeColor="text1"/>
          <w:szCs w:val="24"/>
          <w:lang w:val="en-US"/>
        </w:rPr>
        <w:t>,</w:t>
      </w:r>
      <w:r w:rsidRPr="00250531">
        <w:rPr>
          <w:color w:val="000000" w:themeColor="text1"/>
          <w:szCs w:val="24"/>
          <w:lang w:val="en-US"/>
        </w:rPr>
        <w:t xml:space="preserve"> J</w:t>
      </w:r>
      <w:r w:rsidR="00F91A1D">
        <w:rPr>
          <w:color w:val="000000" w:themeColor="text1"/>
          <w:szCs w:val="24"/>
          <w:lang w:val="en-US"/>
        </w:rPr>
        <w:t xml:space="preserve">. </w:t>
      </w:r>
      <w:r w:rsidRPr="00250531">
        <w:rPr>
          <w:color w:val="000000" w:themeColor="text1"/>
          <w:szCs w:val="24"/>
          <w:lang w:val="en-US"/>
        </w:rPr>
        <w:t>L</w:t>
      </w:r>
      <w:r w:rsidR="00F91A1D">
        <w:rPr>
          <w:color w:val="000000" w:themeColor="text1"/>
          <w:szCs w:val="24"/>
          <w:lang w:val="en-US"/>
        </w:rPr>
        <w:t>.</w:t>
      </w:r>
      <w:r w:rsidRPr="00250531">
        <w:rPr>
          <w:color w:val="000000" w:themeColor="text1"/>
          <w:szCs w:val="24"/>
          <w:lang w:val="en-US"/>
        </w:rPr>
        <w:t>, Usher</w:t>
      </w:r>
      <w:r w:rsidR="00F91A1D">
        <w:rPr>
          <w:color w:val="000000" w:themeColor="text1"/>
          <w:szCs w:val="24"/>
          <w:lang w:val="en-US"/>
        </w:rPr>
        <w:t>,</w:t>
      </w:r>
      <w:r w:rsidRPr="00250531">
        <w:rPr>
          <w:color w:val="000000" w:themeColor="text1"/>
          <w:szCs w:val="24"/>
          <w:lang w:val="en-US"/>
        </w:rPr>
        <w:t xml:space="preserve"> E</w:t>
      </w:r>
      <w:r w:rsidR="00F91A1D">
        <w:rPr>
          <w:color w:val="000000" w:themeColor="text1"/>
          <w:szCs w:val="24"/>
          <w:lang w:val="en-US"/>
        </w:rPr>
        <w:t xml:space="preserve">. </w:t>
      </w:r>
      <w:r w:rsidRPr="00250531">
        <w:rPr>
          <w:color w:val="000000" w:themeColor="text1"/>
          <w:szCs w:val="24"/>
          <w:lang w:val="en-US"/>
        </w:rPr>
        <w:t>L</w:t>
      </w:r>
      <w:r w:rsidR="00F91A1D">
        <w:rPr>
          <w:color w:val="000000" w:themeColor="text1"/>
          <w:szCs w:val="24"/>
          <w:lang w:val="en-US"/>
        </w:rPr>
        <w:t>.</w:t>
      </w:r>
      <w:r w:rsidRPr="00250531">
        <w:rPr>
          <w:color w:val="000000" w:themeColor="text1"/>
          <w:szCs w:val="24"/>
          <w:lang w:val="en-US"/>
        </w:rPr>
        <w:t>, Douin</w:t>
      </w:r>
      <w:r w:rsidR="00F91A1D">
        <w:rPr>
          <w:color w:val="000000" w:themeColor="text1"/>
          <w:szCs w:val="24"/>
          <w:lang w:val="en-US"/>
        </w:rPr>
        <w:t>,</w:t>
      </w:r>
      <w:r w:rsidRPr="00250531">
        <w:rPr>
          <w:color w:val="000000" w:themeColor="text1"/>
          <w:szCs w:val="24"/>
          <w:lang w:val="en-US"/>
        </w:rPr>
        <w:t xml:space="preserve"> T</w:t>
      </w:r>
      <w:r w:rsidR="00F91A1D">
        <w:rPr>
          <w:color w:val="000000" w:themeColor="text1"/>
          <w:szCs w:val="24"/>
          <w:lang w:val="en-US"/>
        </w:rPr>
        <w:t>.</w:t>
      </w:r>
      <w:r w:rsidRPr="00250531">
        <w:rPr>
          <w:color w:val="000000" w:themeColor="text1"/>
          <w:szCs w:val="24"/>
          <w:lang w:val="en-US"/>
        </w:rPr>
        <w:t xml:space="preserve">, </w:t>
      </w:r>
      <w:r w:rsidR="00F91A1D">
        <w:rPr>
          <w:color w:val="000000" w:themeColor="text1"/>
          <w:szCs w:val="24"/>
          <w:lang w:val="en-US"/>
        </w:rPr>
        <w:t xml:space="preserve">&amp; </w:t>
      </w:r>
      <w:r w:rsidRPr="00250531">
        <w:rPr>
          <w:color w:val="000000" w:themeColor="text1"/>
          <w:szCs w:val="24"/>
          <w:lang w:val="en-US"/>
        </w:rPr>
        <w:t>Bailey</w:t>
      </w:r>
      <w:r w:rsidR="00F91A1D">
        <w:rPr>
          <w:color w:val="000000" w:themeColor="text1"/>
          <w:szCs w:val="24"/>
          <w:lang w:val="en-US"/>
        </w:rPr>
        <w:t>,</w:t>
      </w:r>
      <w:r w:rsidRPr="00250531">
        <w:rPr>
          <w:color w:val="000000" w:themeColor="text1"/>
          <w:szCs w:val="24"/>
          <w:lang w:val="en-US"/>
        </w:rPr>
        <w:t xml:space="preserve"> W</w:t>
      </w:r>
      <w:r w:rsidR="00F91A1D">
        <w:rPr>
          <w:color w:val="000000" w:themeColor="text1"/>
          <w:szCs w:val="24"/>
          <w:lang w:val="en-US"/>
        </w:rPr>
        <w:t xml:space="preserve">. </w:t>
      </w:r>
      <w:r w:rsidRPr="00250531">
        <w:rPr>
          <w:color w:val="000000" w:themeColor="text1"/>
          <w:szCs w:val="24"/>
          <w:lang w:val="en-US"/>
        </w:rPr>
        <w:t xml:space="preserve">M. (2019). Opportunities for self-evaluation increase student calibration in an introductory biology course. </w:t>
      </w:r>
      <w:r w:rsidRPr="00250531">
        <w:rPr>
          <w:rStyle w:val="Vurgu"/>
          <w:color w:val="000000" w:themeColor="text1"/>
          <w:szCs w:val="24"/>
          <w:lang w:val="en-US"/>
        </w:rPr>
        <w:t>CBE Life Sciences Education,</w:t>
      </w:r>
      <w:r w:rsidRPr="00250531">
        <w:rPr>
          <w:color w:val="000000" w:themeColor="text1"/>
          <w:szCs w:val="24"/>
          <w:lang w:val="en-US"/>
        </w:rPr>
        <w:t xml:space="preserve"> </w:t>
      </w:r>
      <w:r w:rsidRPr="00250531">
        <w:rPr>
          <w:i/>
          <w:color w:val="000000" w:themeColor="text1"/>
          <w:szCs w:val="24"/>
          <w:lang w:val="en-US"/>
        </w:rPr>
        <w:t>18</w:t>
      </w:r>
      <w:r w:rsidRPr="00250531">
        <w:rPr>
          <w:color w:val="000000" w:themeColor="text1"/>
          <w:szCs w:val="24"/>
          <w:lang w:val="en-US"/>
        </w:rPr>
        <w:t>(2), 1-10</w:t>
      </w:r>
      <w:r w:rsidRPr="00250531">
        <w:rPr>
          <w:color w:val="2C2E35"/>
          <w:szCs w:val="24"/>
          <w:lang w:val="en-US"/>
        </w:rPr>
        <w:t xml:space="preserve">. </w:t>
      </w:r>
      <w:hyperlink r:id="rId13" w:history="1">
        <w:r w:rsidRPr="00250531">
          <w:rPr>
            <w:rStyle w:val="Kpr"/>
            <w:color w:val="1C33D7"/>
            <w:szCs w:val="24"/>
            <w:lang w:val="en-US"/>
          </w:rPr>
          <w:t>10.1187/cbe.18-10-0202</w:t>
        </w:r>
      </w:hyperlink>
      <w:r w:rsidRPr="00250531">
        <w:rPr>
          <w:color w:val="2C2E35"/>
          <w:szCs w:val="24"/>
          <w:lang w:val="en-US"/>
        </w:rPr>
        <w:t xml:space="preserve">. </w:t>
      </w:r>
      <w:hyperlink r:id="rId14" w:history="1">
        <w:r w:rsidRPr="00250531">
          <w:rPr>
            <w:rStyle w:val="Kpr"/>
            <w:color w:val="1C33D7"/>
            <w:szCs w:val="24"/>
            <w:lang w:val="en-US"/>
          </w:rPr>
          <w:t>PubMed</w:t>
        </w:r>
      </w:hyperlink>
      <w:r w:rsidRPr="00250531">
        <w:rPr>
          <w:color w:val="2C2E35"/>
          <w:szCs w:val="24"/>
          <w:lang w:val="en-US"/>
        </w:rPr>
        <w:t>.</w:t>
      </w:r>
    </w:p>
    <w:bookmarkEnd w:id="2"/>
    <w:p w14:paraId="3C7F0EB0" w14:textId="77777777" w:rsidR="009D5129" w:rsidRPr="00250531" w:rsidRDefault="009D5129" w:rsidP="00837F9C">
      <w:pPr>
        <w:pStyle w:val="NormalWeb"/>
        <w:spacing w:before="0" w:beforeAutospacing="0" w:after="0" w:afterAutospacing="0" w:line="360" w:lineRule="auto"/>
        <w:ind w:left="709" w:hanging="709"/>
        <w:contextualSpacing/>
        <w:jc w:val="both"/>
        <w:rPr>
          <w:lang w:val="en-US"/>
        </w:rPr>
      </w:pPr>
      <w:proofErr w:type="spellStart"/>
      <w:r w:rsidRPr="00250531">
        <w:rPr>
          <w:lang w:val="en-US"/>
        </w:rPr>
        <w:t>Özsoy</w:t>
      </w:r>
      <w:proofErr w:type="spellEnd"/>
      <w:r w:rsidRPr="00250531">
        <w:rPr>
          <w:lang w:val="en-US"/>
        </w:rPr>
        <w:t xml:space="preserve">, G. (2012). Investigation of fifth grade students’ mathematical calibration skills. </w:t>
      </w:r>
      <w:r w:rsidRPr="007B2842">
        <w:rPr>
          <w:i/>
          <w:iCs/>
        </w:rPr>
        <w:t>Kuram ve Uygulamada Eğitim Bilimleri</w:t>
      </w:r>
      <w:r w:rsidRPr="007B2842">
        <w:t>,</w:t>
      </w:r>
      <w:r w:rsidRPr="00250531">
        <w:rPr>
          <w:lang w:val="en-US"/>
        </w:rPr>
        <w:t xml:space="preserve"> </w:t>
      </w:r>
      <w:r w:rsidRPr="00250531">
        <w:rPr>
          <w:i/>
          <w:iCs/>
          <w:lang w:val="en-US"/>
        </w:rPr>
        <w:t>12</w:t>
      </w:r>
      <w:r w:rsidRPr="00250531">
        <w:rPr>
          <w:lang w:val="en-US"/>
        </w:rPr>
        <w:t>(2), 1190–1194.</w:t>
      </w:r>
    </w:p>
    <w:p w14:paraId="71633ADE" w14:textId="441DDB51" w:rsidR="009D5129" w:rsidRPr="0076565F" w:rsidRDefault="009D5129" w:rsidP="004D51BC">
      <w:pPr>
        <w:ind w:left="709" w:hanging="709"/>
        <w:contextualSpacing/>
        <w:jc w:val="both"/>
      </w:pPr>
      <w:proofErr w:type="spellStart"/>
      <w:r w:rsidRPr="0076565F">
        <w:t>Pallant</w:t>
      </w:r>
      <w:proofErr w:type="spellEnd"/>
      <w:r w:rsidRPr="0076565F">
        <w:t xml:space="preserve">, J. (2016). </w:t>
      </w:r>
      <w:r w:rsidRPr="0076565F">
        <w:rPr>
          <w:i/>
        </w:rPr>
        <w:t xml:space="preserve">SPSS </w:t>
      </w:r>
      <w:r w:rsidR="00001058">
        <w:rPr>
          <w:i/>
        </w:rPr>
        <w:t>k</w:t>
      </w:r>
      <w:r w:rsidR="00001058" w:rsidRPr="0076565F">
        <w:rPr>
          <w:i/>
        </w:rPr>
        <w:t xml:space="preserve">ullanma </w:t>
      </w:r>
      <w:r w:rsidR="00001058">
        <w:rPr>
          <w:i/>
        </w:rPr>
        <w:t>k</w:t>
      </w:r>
      <w:r w:rsidR="00001058" w:rsidRPr="0076565F">
        <w:rPr>
          <w:i/>
        </w:rPr>
        <w:t>ılavuzu</w:t>
      </w:r>
      <w:r w:rsidRPr="0076565F">
        <w:rPr>
          <w:i/>
        </w:rPr>
        <w:t xml:space="preserve">: SPSS ile </w:t>
      </w:r>
      <w:r w:rsidR="00001058">
        <w:rPr>
          <w:i/>
        </w:rPr>
        <w:t>a</w:t>
      </w:r>
      <w:r w:rsidR="00001058" w:rsidRPr="0076565F">
        <w:rPr>
          <w:i/>
        </w:rPr>
        <w:t xml:space="preserve">dım </w:t>
      </w:r>
      <w:r w:rsidR="00001058">
        <w:rPr>
          <w:i/>
        </w:rPr>
        <w:t>a</w:t>
      </w:r>
      <w:r w:rsidR="00001058" w:rsidRPr="0076565F">
        <w:rPr>
          <w:i/>
        </w:rPr>
        <w:t xml:space="preserve">dım </w:t>
      </w:r>
      <w:r w:rsidR="00001058">
        <w:rPr>
          <w:i/>
        </w:rPr>
        <w:t>v</w:t>
      </w:r>
      <w:r w:rsidR="00001058" w:rsidRPr="0076565F">
        <w:rPr>
          <w:i/>
        </w:rPr>
        <w:t xml:space="preserve">eri </w:t>
      </w:r>
      <w:r w:rsidR="00001058">
        <w:rPr>
          <w:i/>
        </w:rPr>
        <w:t>a</w:t>
      </w:r>
      <w:r w:rsidR="00001058" w:rsidRPr="0076565F">
        <w:rPr>
          <w:i/>
        </w:rPr>
        <w:t>nalizi</w:t>
      </w:r>
      <w:r w:rsidR="00001058" w:rsidRPr="0076565F">
        <w:t xml:space="preserve"> </w:t>
      </w:r>
      <w:r w:rsidRPr="0076565F">
        <w:t>(</w:t>
      </w:r>
      <w:proofErr w:type="spellStart"/>
      <w:r w:rsidRPr="0076565F">
        <w:t>Çev</w:t>
      </w:r>
      <w:proofErr w:type="spellEnd"/>
      <w:r w:rsidRPr="0076565F">
        <w:t>: Sibel Balcı, Berat Ahi). Ankara: Anı Yayıncılık.</w:t>
      </w:r>
    </w:p>
    <w:p w14:paraId="06D65B0D" w14:textId="77777777" w:rsidR="009D5129" w:rsidRPr="0076565F" w:rsidRDefault="009D5129" w:rsidP="004D51BC">
      <w:pPr>
        <w:ind w:left="709" w:hanging="709"/>
        <w:contextualSpacing/>
        <w:jc w:val="both"/>
        <w:rPr>
          <w:color w:val="222222"/>
          <w:szCs w:val="20"/>
          <w:shd w:val="clear" w:color="auto" w:fill="FFFFFF"/>
        </w:rPr>
      </w:pPr>
      <w:r w:rsidRPr="0076565F">
        <w:rPr>
          <w:color w:val="222222"/>
          <w:szCs w:val="20"/>
          <w:shd w:val="clear" w:color="auto" w:fill="FFFFFF"/>
        </w:rPr>
        <w:t xml:space="preserve">Pamuk, S., &amp; Elmas, R. (2015). Üst-bilişsel öz-düzenlemenin, öz-yeterlik ve hedef yönelimi ile açıklanması: Afyon ili örneği. </w:t>
      </w:r>
      <w:r w:rsidRPr="0076565F">
        <w:rPr>
          <w:i/>
          <w:iCs/>
          <w:color w:val="222222"/>
          <w:szCs w:val="20"/>
          <w:shd w:val="clear" w:color="auto" w:fill="FFFFFF"/>
        </w:rPr>
        <w:t>Amasya Üniversitesi Eğitim Fakültesi Dergisi</w:t>
      </w:r>
      <w:r w:rsidRPr="0076565F">
        <w:rPr>
          <w:color w:val="222222"/>
          <w:szCs w:val="20"/>
          <w:shd w:val="clear" w:color="auto" w:fill="FFFFFF"/>
        </w:rPr>
        <w:t>,</w:t>
      </w:r>
      <w:r w:rsidRPr="0076565F">
        <w:rPr>
          <w:i/>
          <w:iCs/>
          <w:color w:val="222222"/>
          <w:szCs w:val="20"/>
          <w:shd w:val="clear" w:color="auto" w:fill="FFFFFF"/>
        </w:rPr>
        <w:t xml:space="preserve"> 4</w:t>
      </w:r>
      <w:r w:rsidRPr="0076565F">
        <w:rPr>
          <w:color w:val="222222"/>
          <w:szCs w:val="20"/>
          <w:shd w:val="clear" w:color="auto" w:fill="FFFFFF"/>
        </w:rPr>
        <w:t>(2), 175-189.</w:t>
      </w:r>
    </w:p>
    <w:p w14:paraId="65F100B0" w14:textId="77777777" w:rsidR="0013646E" w:rsidRPr="00250531" w:rsidRDefault="0013646E" w:rsidP="0013646E">
      <w:pPr>
        <w:ind w:left="709" w:hanging="709"/>
        <w:contextualSpacing/>
        <w:jc w:val="both"/>
        <w:rPr>
          <w:szCs w:val="30"/>
          <w:lang w:val="en-US"/>
        </w:rPr>
      </w:pPr>
      <w:proofErr w:type="spellStart"/>
      <w:r w:rsidRPr="00250531">
        <w:rPr>
          <w:szCs w:val="30"/>
          <w:lang w:val="en-US"/>
        </w:rPr>
        <w:t>Pintrich</w:t>
      </w:r>
      <w:proofErr w:type="spellEnd"/>
      <w:r w:rsidRPr="00250531">
        <w:rPr>
          <w:szCs w:val="30"/>
          <w:lang w:val="en-US"/>
        </w:rPr>
        <w:t xml:space="preserve">, P. R., Smith, D. A. F., Garcia, T., &amp; </w:t>
      </w:r>
      <w:proofErr w:type="spellStart"/>
      <w:r w:rsidRPr="00250531">
        <w:rPr>
          <w:szCs w:val="30"/>
          <w:lang w:val="en-US"/>
        </w:rPr>
        <w:t>McKeachie</w:t>
      </w:r>
      <w:proofErr w:type="spellEnd"/>
      <w:r w:rsidRPr="00250531">
        <w:rPr>
          <w:szCs w:val="30"/>
          <w:lang w:val="en-US"/>
        </w:rPr>
        <w:t xml:space="preserve">, W.J. (1991). </w:t>
      </w:r>
      <w:r w:rsidRPr="00250531">
        <w:rPr>
          <w:i/>
          <w:szCs w:val="30"/>
          <w:lang w:val="en-US"/>
        </w:rPr>
        <w:t xml:space="preserve">A manual for the use of the Motivated Strategies for Learning Questionnaire (MSLQ). </w:t>
      </w:r>
      <w:r w:rsidRPr="00250531">
        <w:rPr>
          <w:szCs w:val="30"/>
          <w:lang w:val="en-US"/>
        </w:rPr>
        <w:t>Ann Arbor, MI: National Center for Research to Improve Postsecondary Teaching and Learning. Ann Arbor: The University of Michigan.</w:t>
      </w:r>
    </w:p>
    <w:p w14:paraId="204DB9CA" w14:textId="565D2B69" w:rsidR="009D5129" w:rsidRPr="0076565F" w:rsidRDefault="009D5129" w:rsidP="004D51BC">
      <w:pPr>
        <w:ind w:left="709" w:hanging="709"/>
        <w:contextualSpacing/>
        <w:jc w:val="both"/>
        <w:rPr>
          <w:color w:val="000000"/>
          <w:szCs w:val="24"/>
          <w:shd w:val="clear" w:color="auto" w:fill="FFFFFF"/>
          <w:lang w:val="en-US"/>
        </w:rPr>
      </w:pPr>
      <w:proofErr w:type="spellStart"/>
      <w:r w:rsidRPr="0076565F">
        <w:rPr>
          <w:color w:val="000000"/>
          <w:szCs w:val="24"/>
          <w:shd w:val="clear" w:color="auto" w:fill="FFFFFF"/>
          <w:lang w:val="en-US"/>
        </w:rPr>
        <w:t>Pintrich</w:t>
      </w:r>
      <w:proofErr w:type="spellEnd"/>
      <w:r w:rsidRPr="0076565F">
        <w:rPr>
          <w:color w:val="000000"/>
          <w:szCs w:val="24"/>
          <w:shd w:val="clear" w:color="auto" w:fill="FFFFFF"/>
          <w:lang w:val="en-US"/>
        </w:rPr>
        <w:t xml:space="preserve">, P. R., Smith, D.A.F., Garcia, T., &amp; </w:t>
      </w:r>
      <w:proofErr w:type="spellStart"/>
      <w:r w:rsidR="0013646E" w:rsidRPr="0076565F">
        <w:rPr>
          <w:color w:val="000000"/>
          <w:szCs w:val="24"/>
          <w:shd w:val="clear" w:color="auto" w:fill="FFFFFF"/>
          <w:lang w:val="en-US"/>
        </w:rPr>
        <w:t>Mc</w:t>
      </w:r>
      <w:r w:rsidR="0013646E">
        <w:rPr>
          <w:color w:val="000000"/>
          <w:szCs w:val="24"/>
          <w:shd w:val="clear" w:color="auto" w:fill="FFFFFF"/>
          <w:lang w:val="en-US"/>
        </w:rPr>
        <w:t>K</w:t>
      </w:r>
      <w:r w:rsidR="0013646E" w:rsidRPr="0076565F">
        <w:rPr>
          <w:color w:val="000000"/>
          <w:szCs w:val="24"/>
          <w:shd w:val="clear" w:color="auto" w:fill="FFFFFF"/>
          <w:lang w:val="en-US"/>
        </w:rPr>
        <w:t>eachie</w:t>
      </w:r>
      <w:proofErr w:type="spellEnd"/>
      <w:r w:rsidRPr="0076565F">
        <w:rPr>
          <w:color w:val="000000"/>
          <w:szCs w:val="24"/>
          <w:shd w:val="clear" w:color="auto" w:fill="FFFFFF"/>
          <w:lang w:val="en-US"/>
        </w:rPr>
        <w:t xml:space="preserve">, W.J. (1993) Reliability and predictive validity of the motivated strategies for learning questionnaire. </w:t>
      </w:r>
      <w:r w:rsidRPr="0076565F">
        <w:rPr>
          <w:i/>
          <w:color w:val="000000"/>
          <w:szCs w:val="24"/>
          <w:shd w:val="clear" w:color="auto" w:fill="FFFFFF"/>
          <w:lang w:val="en-US"/>
        </w:rPr>
        <w:t>Educational and Psychological Measurement</w:t>
      </w:r>
      <w:r w:rsidR="00F91A1D">
        <w:rPr>
          <w:i/>
          <w:color w:val="000000"/>
          <w:szCs w:val="24"/>
          <w:shd w:val="clear" w:color="auto" w:fill="FFFFFF"/>
          <w:lang w:val="en-US"/>
        </w:rPr>
        <w:t>,</w:t>
      </w:r>
      <w:r w:rsidRPr="0076565F">
        <w:rPr>
          <w:i/>
          <w:color w:val="000000"/>
          <w:szCs w:val="24"/>
          <w:shd w:val="clear" w:color="auto" w:fill="FFFFFF"/>
          <w:lang w:val="en-US"/>
        </w:rPr>
        <w:t xml:space="preserve"> 53</w:t>
      </w:r>
      <w:r w:rsidRPr="0076565F">
        <w:rPr>
          <w:color w:val="000000"/>
          <w:szCs w:val="24"/>
          <w:shd w:val="clear" w:color="auto" w:fill="FFFFFF"/>
          <w:lang w:val="en-US"/>
        </w:rPr>
        <w:t xml:space="preserve">, 810-813. </w:t>
      </w:r>
    </w:p>
    <w:p w14:paraId="0CA939A6" w14:textId="77777777" w:rsidR="00707F84" w:rsidRPr="00250531" w:rsidRDefault="00707F84" w:rsidP="00707F84">
      <w:pPr>
        <w:ind w:left="709" w:hanging="709"/>
        <w:contextualSpacing/>
        <w:jc w:val="both"/>
        <w:rPr>
          <w:lang w:val="en-US"/>
        </w:rPr>
      </w:pPr>
      <w:proofErr w:type="spellStart"/>
      <w:r w:rsidRPr="00250531">
        <w:rPr>
          <w:lang w:val="en-US"/>
        </w:rPr>
        <w:t>Puzziferro</w:t>
      </w:r>
      <w:proofErr w:type="spellEnd"/>
      <w:r w:rsidRPr="00250531">
        <w:rPr>
          <w:lang w:val="en-US"/>
        </w:rPr>
        <w:t xml:space="preserve">, M. (2008). Online technologies self-efficacy and self-regulated learning as predictors of final grade and satisfaction in college-level online courses. </w:t>
      </w:r>
      <w:r w:rsidRPr="00250531">
        <w:rPr>
          <w:i/>
          <w:lang w:val="en-US"/>
        </w:rPr>
        <w:t>The American Journal of Distance Education, 22</w:t>
      </w:r>
      <w:r w:rsidRPr="00250531">
        <w:rPr>
          <w:lang w:val="en-US"/>
        </w:rPr>
        <w:t>, 72 –89.</w:t>
      </w:r>
    </w:p>
    <w:p w14:paraId="2745EA3C" w14:textId="77777777" w:rsidR="004A7AF3" w:rsidRPr="00250531" w:rsidRDefault="004A7AF3" w:rsidP="004A7AF3">
      <w:pPr>
        <w:ind w:left="709" w:hanging="709"/>
        <w:rPr>
          <w:color w:val="000000" w:themeColor="text1"/>
          <w:sz w:val="32"/>
          <w:lang w:val="en-US"/>
        </w:rPr>
      </w:pPr>
      <w:proofErr w:type="spellStart"/>
      <w:r w:rsidRPr="00250531">
        <w:rPr>
          <w:color w:val="000000" w:themeColor="text1"/>
          <w:szCs w:val="20"/>
          <w:shd w:val="clear" w:color="auto" w:fill="FFFFFF"/>
          <w:lang w:val="en-US"/>
        </w:rPr>
        <w:t>Rachmatullah</w:t>
      </w:r>
      <w:proofErr w:type="spellEnd"/>
      <w:r w:rsidRPr="00250531">
        <w:rPr>
          <w:color w:val="000000" w:themeColor="text1"/>
          <w:szCs w:val="20"/>
          <w:shd w:val="clear" w:color="auto" w:fill="FFFFFF"/>
          <w:lang w:val="en-US"/>
        </w:rPr>
        <w:t xml:space="preserve">, A., &amp; Ha, M. (2019). Examining high-school students’ overconfidence bias in biology exam: a focus on the effects of country and gender. </w:t>
      </w:r>
      <w:r w:rsidRPr="00250531">
        <w:rPr>
          <w:i/>
          <w:iCs/>
          <w:color w:val="000000" w:themeColor="text1"/>
          <w:szCs w:val="20"/>
          <w:shd w:val="clear" w:color="auto" w:fill="FFFFFF"/>
          <w:lang w:val="en-US"/>
        </w:rPr>
        <w:t>International Journal of Science Education</w:t>
      </w:r>
      <w:r w:rsidRPr="00250531">
        <w:rPr>
          <w:color w:val="000000" w:themeColor="text1"/>
          <w:szCs w:val="20"/>
          <w:shd w:val="clear" w:color="auto" w:fill="FFFFFF"/>
          <w:lang w:val="en-US"/>
        </w:rPr>
        <w:t xml:space="preserve">, </w:t>
      </w:r>
      <w:r w:rsidRPr="00250531">
        <w:rPr>
          <w:i/>
          <w:iCs/>
          <w:color w:val="000000" w:themeColor="text1"/>
          <w:szCs w:val="20"/>
          <w:shd w:val="clear" w:color="auto" w:fill="FFFFFF"/>
          <w:lang w:val="en-US"/>
        </w:rPr>
        <w:t>41</w:t>
      </w:r>
      <w:r w:rsidRPr="00250531">
        <w:rPr>
          <w:color w:val="000000" w:themeColor="text1"/>
          <w:szCs w:val="20"/>
          <w:shd w:val="clear" w:color="auto" w:fill="FFFFFF"/>
          <w:lang w:val="en-US"/>
        </w:rPr>
        <w:t>(5), 652-673.</w:t>
      </w:r>
    </w:p>
    <w:p w14:paraId="60DD331A" w14:textId="77777777" w:rsidR="009D5129" w:rsidRPr="0076565F" w:rsidRDefault="009D5129" w:rsidP="004D51BC">
      <w:pPr>
        <w:ind w:left="709" w:hanging="709"/>
        <w:contextualSpacing/>
        <w:jc w:val="both"/>
        <w:rPr>
          <w:lang w:val="en-US"/>
        </w:rPr>
      </w:pPr>
      <w:r w:rsidRPr="0076565F">
        <w:rPr>
          <w:lang w:val="en-US"/>
        </w:rPr>
        <w:lastRenderedPageBreak/>
        <w:t xml:space="preserve">Schraw, G., &amp; Dennison, R. S. (1994). Assessing metacognitive awareness. </w:t>
      </w:r>
      <w:r w:rsidRPr="0076565F">
        <w:rPr>
          <w:i/>
          <w:lang w:val="en-US"/>
        </w:rPr>
        <w:t xml:space="preserve">Contemporary Educational Psychology, 19, </w:t>
      </w:r>
      <w:r w:rsidRPr="0076565F">
        <w:rPr>
          <w:lang w:val="en-US"/>
        </w:rPr>
        <w:t xml:space="preserve">460-475. </w:t>
      </w:r>
    </w:p>
    <w:p w14:paraId="20FE598B" w14:textId="77777777" w:rsidR="009D5129" w:rsidRPr="00250531" w:rsidRDefault="009D5129" w:rsidP="004D51BC">
      <w:pPr>
        <w:ind w:left="709" w:hanging="709"/>
        <w:contextualSpacing/>
        <w:jc w:val="both"/>
        <w:rPr>
          <w:color w:val="000000" w:themeColor="text1"/>
          <w:szCs w:val="20"/>
          <w:shd w:val="clear" w:color="auto" w:fill="FFFFFF"/>
          <w:lang w:val="en-US"/>
        </w:rPr>
      </w:pPr>
      <w:r w:rsidRPr="00250531">
        <w:rPr>
          <w:color w:val="000000" w:themeColor="text1"/>
          <w:szCs w:val="20"/>
          <w:shd w:val="clear" w:color="auto" w:fill="FFFFFF"/>
          <w:lang w:val="en-US"/>
        </w:rPr>
        <w:t xml:space="preserve">Schunk, D. H., &amp; </w:t>
      </w:r>
      <w:proofErr w:type="spellStart"/>
      <w:r w:rsidRPr="00250531">
        <w:rPr>
          <w:color w:val="000000" w:themeColor="text1"/>
          <w:szCs w:val="20"/>
          <w:shd w:val="clear" w:color="auto" w:fill="FFFFFF"/>
          <w:lang w:val="en-US"/>
        </w:rPr>
        <w:t>Ertmer</w:t>
      </w:r>
      <w:proofErr w:type="spellEnd"/>
      <w:r w:rsidRPr="00250531">
        <w:rPr>
          <w:color w:val="000000" w:themeColor="text1"/>
          <w:szCs w:val="20"/>
          <w:shd w:val="clear" w:color="auto" w:fill="FFFFFF"/>
          <w:lang w:val="en-US"/>
        </w:rPr>
        <w:t xml:space="preserve">, P. A. (2000). Self-regulation and academic learning: Self-efficacy enhancing interventions. In </w:t>
      </w:r>
      <w:r w:rsidRPr="00250531">
        <w:rPr>
          <w:i/>
          <w:iCs/>
          <w:color w:val="000000" w:themeColor="text1"/>
          <w:szCs w:val="20"/>
          <w:shd w:val="clear" w:color="auto" w:fill="FFFFFF"/>
          <w:lang w:val="en-US"/>
        </w:rPr>
        <w:t>Handbook of self-regulation</w:t>
      </w:r>
      <w:r w:rsidRPr="00250531">
        <w:rPr>
          <w:color w:val="000000" w:themeColor="text1"/>
          <w:szCs w:val="20"/>
          <w:shd w:val="clear" w:color="auto" w:fill="FFFFFF"/>
          <w:lang w:val="en-US"/>
        </w:rPr>
        <w:t xml:space="preserve"> (pp. 631-649). Academic Press.</w:t>
      </w:r>
    </w:p>
    <w:p w14:paraId="14E30DDD" w14:textId="66DBF71F" w:rsidR="00190C10" w:rsidRPr="00540981" w:rsidRDefault="00190C10" w:rsidP="00837F9C">
      <w:pPr>
        <w:ind w:left="709" w:hanging="709"/>
        <w:contextualSpacing/>
        <w:jc w:val="both"/>
        <w:rPr>
          <w:rFonts w:eastAsia="Times New Roman"/>
          <w:szCs w:val="24"/>
          <w:lang w:val="en-US" w:eastAsia="tr-TR"/>
        </w:rPr>
      </w:pPr>
      <w:proofErr w:type="spellStart"/>
      <w:r w:rsidRPr="00540981">
        <w:rPr>
          <w:rFonts w:eastAsia="Times New Roman"/>
          <w:szCs w:val="24"/>
          <w:lang w:val="en-US" w:eastAsia="tr-TR"/>
        </w:rPr>
        <w:t>Siegesmund</w:t>
      </w:r>
      <w:proofErr w:type="spellEnd"/>
      <w:r w:rsidRPr="00540981">
        <w:rPr>
          <w:rFonts w:eastAsia="Times New Roman"/>
          <w:szCs w:val="24"/>
          <w:lang w:val="en-US" w:eastAsia="tr-TR"/>
        </w:rPr>
        <w:t xml:space="preserve">, A. (2016). Increasing student metacognition and learning through classroom-based learning communities and self-assessment. </w:t>
      </w:r>
      <w:r w:rsidRPr="00540981">
        <w:rPr>
          <w:rFonts w:eastAsia="Times New Roman"/>
          <w:i/>
          <w:iCs/>
          <w:szCs w:val="24"/>
          <w:lang w:val="en-US" w:eastAsia="tr-TR"/>
        </w:rPr>
        <w:t xml:space="preserve">Journal of </w:t>
      </w:r>
      <w:r>
        <w:rPr>
          <w:rFonts w:eastAsia="Times New Roman"/>
          <w:i/>
          <w:iCs/>
          <w:szCs w:val="24"/>
          <w:lang w:eastAsia="tr-TR"/>
        </w:rPr>
        <w:t>M</w:t>
      </w:r>
      <w:proofErr w:type="spellStart"/>
      <w:r w:rsidRPr="00540981">
        <w:rPr>
          <w:rFonts w:eastAsia="Times New Roman"/>
          <w:i/>
          <w:iCs/>
          <w:szCs w:val="24"/>
          <w:lang w:val="en-US" w:eastAsia="tr-TR"/>
        </w:rPr>
        <w:t>icrobiology</w:t>
      </w:r>
      <w:proofErr w:type="spellEnd"/>
      <w:r w:rsidRPr="00540981">
        <w:rPr>
          <w:rFonts w:eastAsia="Times New Roman"/>
          <w:i/>
          <w:iCs/>
          <w:szCs w:val="24"/>
          <w:lang w:val="en-US" w:eastAsia="tr-TR"/>
        </w:rPr>
        <w:t xml:space="preserve"> &amp; </w:t>
      </w:r>
      <w:r>
        <w:rPr>
          <w:rFonts w:eastAsia="Times New Roman"/>
          <w:i/>
          <w:iCs/>
          <w:szCs w:val="24"/>
          <w:lang w:eastAsia="tr-TR"/>
        </w:rPr>
        <w:t>B</w:t>
      </w:r>
      <w:proofErr w:type="spellStart"/>
      <w:r w:rsidRPr="00540981">
        <w:rPr>
          <w:rFonts w:eastAsia="Times New Roman"/>
          <w:i/>
          <w:iCs/>
          <w:szCs w:val="24"/>
          <w:lang w:val="en-US" w:eastAsia="tr-TR"/>
        </w:rPr>
        <w:t>iology</w:t>
      </w:r>
      <w:proofErr w:type="spellEnd"/>
      <w:r w:rsidRPr="00540981">
        <w:rPr>
          <w:rFonts w:eastAsia="Times New Roman"/>
          <w:i/>
          <w:iCs/>
          <w:szCs w:val="24"/>
          <w:lang w:val="en-US" w:eastAsia="tr-TR"/>
        </w:rPr>
        <w:t xml:space="preserve"> </w:t>
      </w:r>
      <w:r>
        <w:rPr>
          <w:rFonts w:eastAsia="Times New Roman"/>
          <w:i/>
          <w:iCs/>
          <w:szCs w:val="24"/>
          <w:lang w:eastAsia="tr-TR"/>
        </w:rPr>
        <w:t>E</w:t>
      </w:r>
      <w:proofErr w:type="spellStart"/>
      <w:r w:rsidRPr="00540981">
        <w:rPr>
          <w:rFonts w:eastAsia="Times New Roman"/>
          <w:i/>
          <w:iCs/>
          <w:szCs w:val="24"/>
          <w:lang w:val="en-US" w:eastAsia="tr-TR"/>
        </w:rPr>
        <w:t>ducation</w:t>
      </w:r>
      <w:proofErr w:type="spellEnd"/>
      <w:r w:rsidRPr="00540981">
        <w:rPr>
          <w:rFonts w:eastAsia="Times New Roman"/>
          <w:szCs w:val="24"/>
          <w:lang w:val="en-US" w:eastAsia="tr-TR"/>
        </w:rPr>
        <w:t xml:space="preserve">, </w:t>
      </w:r>
      <w:r w:rsidRPr="00540981">
        <w:rPr>
          <w:rFonts w:eastAsia="Times New Roman"/>
          <w:i/>
          <w:iCs/>
          <w:szCs w:val="24"/>
          <w:lang w:val="en-US" w:eastAsia="tr-TR"/>
        </w:rPr>
        <w:t>17</w:t>
      </w:r>
      <w:r w:rsidRPr="00540981">
        <w:rPr>
          <w:rFonts w:eastAsia="Times New Roman"/>
          <w:szCs w:val="24"/>
          <w:lang w:val="en-US" w:eastAsia="tr-TR"/>
        </w:rPr>
        <w:t>(2), 204-214.</w:t>
      </w:r>
    </w:p>
    <w:p w14:paraId="58BDEEF4" w14:textId="77777777" w:rsidR="009D5129" w:rsidRPr="0076565F" w:rsidRDefault="009D5129" w:rsidP="004D51BC">
      <w:pPr>
        <w:ind w:left="709" w:hanging="709"/>
        <w:contextualSpacing/>
        <w:jc w:val="both"/>
        <w:rPr>
          <w:lang w:val="en-US"/>
        </w:rPr>
      </w:pPr>
      <w:r w:rsidRPr="0076565F">
        <w:rPr>
          <w:lang w:val="en-US"/>
        </w:rPr>
        <w:t xml:space="preserve">Sperling, R. A., Howard, B. C., Miller, L. A., &amp; Murphy, C. (2002). Measures of children’s knowledge and regulation of cognition. </w:t>
      </w:r>
      <w:r w:rsidRPr="0076565F">
        <w:rPr>
          <w:i/>
          <w:lang w:val="en-US"/>
        </w:rPr>
        <w:t>Contemporary Educational Psychology, 27</w:t>
      </w:r>
      <w:r w:rsidRPr="0076565F">
        <w:rPr>
          <w:lang w:val="en-US"/>
        </w:rPr>
        <w:t>, 51-79.</w:t>
      </w:r>
    </w:p>
    <w:p w14:paraId="0984EF18" w14:textId="77777777" w:rsidR="009D5129" w:rsidRPr="00250531" w:rsidRDefault="009D5129" w:rsidP="004D51BC">
      <w:pPr>
        <w:ind w:left="709" w:hanging="709"/>
        <w:contextualSpacing/>
        <w:jc w:val="both"/>
      </w:pPr>
      <w:r w:rsidRPr="00250531">
        <w:t>TDK (2021). Kalibrasyon. Türk Dil Kurumu sözlüğünde. Türk Dil Kurumu. https://sozluk.gov.tr</w:t>
      </w:r>
    </w:p>
    <w:p w14:paraId="4BD52723" w14:textId="77777777" w:rsidR="009D5129" w:rsidRPr="00250531" w:rsidRDefault="009D5129" w:rsidP="004D51BC">
      <w:pPr>
        <w:ind w:left="709" w:hanging="709"/>
        <w:contextualSpacing/>
        <w:jc w:val="both"/>
        <w:rPr>
          <w:color w:val="000000" w:themeColor="text1"/>
          <w:szCs w:val="20"/>
          <w:shd w:val="clear" w:color="auto" w:fill="FFFFFF"/>
          <w:lang w:val="en-US"/>
        </w:rPr>
      </w:pPr>
      <w:r w:rsidRPr="005F1578">
        <w:rPr>
          <w:color w:val="000000" w:themeColor="text1"/>
          <w:szCs w:val="20"/>
          <w:shd w:val="clear" w:color="auto" w:fill="FFFFFF"/>
        </w:rPr>
        <w:t xml:space="preserve">Uçar, F. M., &amp; Sungur, S. (2017). </w:t>
      </w:r>
      <w:r w:rsidRPr="00250531">
        <w:rPr>
          <w:color w:val="000000" w:themeColor="text1"/>
          <w:szCs w:val="20"/>
          <w:shd w:val="clear" w:color="auto" w:fill="FFFFFF"/>
          <w:lang w:val="en-US"/>
        </w:rPr>
        <w:t xml:space="preserve">The role of perceived classroom goal structures, self-efficacy, and engagement in student science achievement. </w:t>
      </w:r>
      <w:r w:rsidRPr="00250531">
        <w:rPr>
          <w:i/>
          <w:iCs/>
          <w:color w:val="000000" w:themeColor="text1"/>
          <w:szCs w:val="20"/>
          <w:shd w:val="clear" w:color="auto" w:fill="FFFFFF"/>
          <w:lang w:val="en-US"/>
        </w:rPr>
        <w:t>Research in Science &amp; Technological Education</w:t>
      </w:r>
      <w:r w:rsidRPr="00250531">
        <w:rPr>
          <w:color w:val="000000" w:themeColor="text1"/>
          <w:szCs w:val="20"/>
          <w:shd w:val="clear" w:color="auto" w:fill="FFFFFF"/>
          <w:lang w:val="en-US"/>
        </w:rPr>
        <w:t xml:space="preserve">, </w:t>
      </w:r>
      <w:r w:rsidRPr="00250531">
        <w:rPr>
          <w:i/>
          <w:iCs/>
          <w:color w:val="000000" w:themeColor="text1"/>
          <w:szCs w:val="20"/>
          <w:shd w:val="clear" w:color="auto" w:fill="FFFFFF"/>
          <w:lang w:val="en-US"/>
        </w:rPr>
        <w:t>35</w:t>
      </w:r>
      <w:r w:rsidRPr="00250531">
        <w:rPr>
          <w:color w:val="000000" w:themeColor="text1"/>
          <w:szCs w:val="20"/>
          <w:shd w:val="clear" w:color="auto" w:fill="FFFFFF"/>
          <w:lang w:val="en-US"/>
        </w:rPr>
        <w:t>(2), 149-168.</w:t>
      </w:r>
    </w:p>
    <w:p w14:paraId="4B4B4521" w14:textId="77777777" w:rsidR="009D5129" w:rsidRPr="0076565F" w:rsidRDefault="009D5129" w:rsidP="004D51BC">
      <w:pPr>
        <w:ind w:left="709" w:hanging="709"/>
        <w:contextualSpacing/>
        <w:jc w:val="both"/>
        <w:rPr>
          <w:lang w:val="en-US"/>
        </w:rPr>
      </w:pPr>
      <w:r w:rsidRPr="0076565F">
        <w:rPr>
          <w:lang w:val="en-US"/>
        </w:rPr>
        <w:t xml:space="preserve">Valdez, A. (2013). Student metacognitive monitoring: Predicting test achievement from judgment accuracy. </w:t>
      </w:r>
      <w:r w:rsidRPr="0076565F">
        <w:rPr>
          <w:i/>
          <w:lang w:val="en-US"/>
        </w:rPr>
        <w:t>International Journal of Higher Education, 2</w:t>
      </w:r>
      <w:r w:rsidRPr="0076565F">
        <w:rPr>
          <w:lang w:val="en-US"/>
        </w:rPr>
        <w:t>(2), 141-146.</w:t>
      </w:r>
    </w:p>
    <w:p w14:paraId="6276DFF1" w14:textId="4248A677" w:rsidR="003E28F4" w:rsidRPr="00EC4330" w:rsidRDefault="003E28F4" w:rsidP="00837F9C">
      <w:pPr>
        <w:ind w:left="709" w:hanging="709"/>
        <w:contextualSpacing/>
        <w:jc w:val="both"/>
        <w:rPr>
          <w:rFonts w:eastAsia="Times New Roman"/>
          <w:szCs w:val="24"/>
          <w:lang w:eastAsia="tr-TR"/>
        </w:rPr>
      </w:pPr>
      <w:proofErr w:type="spellStart"/>
      <w:r w:rsidRPr="00EC4330">
        <w:rPr>
          <w:rFonts w:eastAsia="Times New Roman"/>
          <w:szCs w:val="24"/>
          <w:lang w:eastAsia="tr-TR"/>
        </w:rPr>
        <w:t>van</w:t>
      </w:r>
      <w:proofErr w:type="spellEnd"/>
      <w:r w:rsidRPr="00EC4330">
        <w:rPr>
          <w:rFonts w:eastAsia="Times New Roman"/>
          <w:szCs w:val="24"/>
          <w:lang w:eastAsia="tr-TR"/>
        </w:rPr>
        <w:t xml:space="preserve"> </w:t>
      </w:r>
      <w:proofErr w:type="spellStart"/>
      <w:r w:rsidRPr="00EC4330">
        <w:rPr>
          <w:rFonts w:eastAsia="Times New Roman"/>
          <w:szCs w:val="24"/>
          <w:lang w:eastAsia="tr-TR"/>
        </w:rPr>
        <w:t>Laer</w:t>
      </w:r>
      <w:proofErr w:type="spellEnd"/>
      <w:r w:rsidRPr="00250531">
        <w:rPr>
          <w:rFonts w:eastAsia="Times New Roman"/>
          <w:szCs w:val="24"/>
          <w:lang w:val="en-US" w:eastAsia="tr-TR"/>
        </w:rPr>
        <w:t>, S</w:t>
      </w:r>
      <w:proofErr w:type="gramStart"/>
      <w:r w:rsidRPr="00250531">
        <w:rPr>
          <w:rFonts w:eastAsia="Times New Roman"/>
          <w:szCs w:val="24"/>
          <w:lang w:val="en-US" w:eastAsia="tr-TR"/>
        </w:rPr>
        <w:t>.,</w:t>
      </w:r>
      <w:proofErr w:type="gramEnd"/>
      <w:r w:rsidRPr="00250531">
        <w:rPr>
          <w:rFonts w:eastAsia="Times New Roman"/>
          <w:szCs w:val="24"/>
          <w:lang w:val="en-US" w:eastAsia="tr-TR"/>
        </w:rPr>
        <w:t xml:space="preserve"> &amp; </w:t>
      </w:r>
      <w:proofErr w:type="spellStart"/>
      <w:r w:rsidRPr="00250531">
        <w:rPr>
          <w:rFonts w:eastAsia="Times New Roman"/>
          <w:szCs w:val="24"/>
          <w:lang w:val="en-US" w:eastAsia="tr-TR"/>
        </w:rPr>
        <w:t>Elen</w:t>
      </w:r>
      <w:proofErr w:type="spellEnd"/>
      <w:r w:rsidRPr="00250531">
        <w:rPr>
          <w:rFonts w:eastAsia="Times New Roman"/>
          <w:szCs w:val="24"/>
          <w:lang w:val="en-US" w:eastAsia="tr-TR"/>
        </w:rPr>
        <w:t xml:space="preserve">, J. (2019). The effect of cues for calibration on learners' self-regulated learning through changes in learners’ learning </w:t>
      </w:r>
      <w:proofErr w:type="spellStart"/>
      <w:r w:rsidRPr="00250531">
        <w:rPr>
          <w:rFonts w:eastAsia="Times New Roman"/>
          <w:szCs w:val="24"/>
          <w:lang w:val="en-US" w:eastAsia="tr-TR"/>
        </w:rPr>
        <w:t>behaviour</w:t>
      </w:r>
      <w:proofErr w:type="spellEnd"/>
      <w:r w:rsidRPr="00250531">
        <w:rPr>
          <w:rFonts w:eastAsia="Times New Roman"/>
          <w:szCs w:val="24"/>
          <w:lang w:val="en-US" w:eastAsia="tr-TR"/>
        </w:rPr>
        <w:t xml:space="preserve"> and outcomes. </w:t>
      </w:r>
      <w:r w:rsidRPr="00250531">
        <w:rPr>
          <w:rFonts w:eastAsia="Times New Roman"/>
          <w:i/>
          <w:iCs/>
          <w:szCs w:val="24"/>
          <w:lang w:val="en-US" w:eastAsia="tr-TR"/>
        </w:rPr>
        <w:t>Computers &amp; Education</w:t>
      </w:r>
      <w:r w:rsidRPr="00250531">
        <w:rPr>
          <w:rFonts w:eastAsia="Times New Roman"/>
          <w:szCs w:val="24"/>
          <w:lang w:val="en-US" w:eastAsia="tr-TR"/>
        </w:rPr>
        <w:t xml:space="preserve">, </w:t>
      </w:r>
      <w:r w:rsidRPr="00250531">
        <w:rPr>
          <w:rFonts w:eastAsia="Times New Roman"/>
          <w:i/>
          <w:iCs/>
          <w:szCs w:val="24"/>
          <w:lang w:val="en-US" w:eastAsia="tr-TR"/>
        </w:rPr>
        <w:t>135</w:t>
      </w:r>
      <w:r w:rsidRPr="00250531">
        <w:rPr>
          <w:rFonts w:eastAsia="Times New Roman"/>
          <w:szCs w:val="24"/>
          <w:lang w:val="en-US" w:eastAsia="tr-TR"/>
        </w:rPr>
        <w:t>, 30-48.</w:t>
      </w:r>
    </w:p>
    <w:p w14:paraId="21A7CD8B" w14:textId="77777777" w:rsidR="009D5129" w:rsidRPr="0076565F" w:rsidRDefault="009D5129" w:rsidP="004D51BC">
      <w:pPr>
        <w:ind w:left="709" w:hanging="709"/>
        <w:contextualSpacing/>
        <w:jc w:val="both"/>
        <w:rPr>
          <w:color w:val="000000" w:themeColor="text1"/>
          <w:szCs w:val="20"/>
          <w:shd w:val="clear" w:color="auto" w:fill="FFFFFF"/>
        </w:rPr>
      </w:pPr>
      <w:proofErr w:type="spellStart"/>
      <w:r w:rsidRPr="0076565F">
        <w:rPr>
          <w:color w:val="000000" w:themeColor="text1"/>
          <w:szCs w:val="20"/>
          <w:shd w:val="clear" w:color="auto" w:fill="FFFFFF"/>
        </w:rPr>
        <w:t>Veenman</w:t>
      </w:r>
      <w:proofErr w:type="spellEnd"/>
      <w:r w:rsidRPr="0076565F">
        <w:rPr>
          <w:color w:val="000000" w:themeColor="text1"/>
          <w:szCs w:val="20"/>
          <w:shd w:val="clear" w:color="auto" w:fill="FFFFFF"/>
        </w:rPr>
        <w:t xml:space="preserve">, M. V. (2011). </w:t>
      </w:r>
      <w:r w:rsidRPr="00250531">
        <w:rPr>
          <w:color w:val="000000" w:themeColor="text1"/>
          <w:szCs w:val="20"/>
          <w:shd w:val="clear" w:color="auto" w:fill="FFFFFF"/>
          <w:lang w:val="en-US"/>
        </w:rPr>
        <w:t xml:space="preserve">Alternative assessment of strategy use with self-report instruments: A discussion. </w:t>
      </w:r>
      <w:r w:rsidRPr="00250531">
        <w:rPr>
          <w:i/>
          <w:iCs/>
          <w:color w:val="000000" w:themeColor="text1"/>
          <w:szCs w:val="20"/>
          <w:shd w:val="clear" w:color="auto" w:fill="FFFFFF"/>
          <w:lang w:val="en-US"/>
        </w:rPr>
        <w:t>Metacognition and Learning</w:t>
      </w:r>
      <w:r w:rsidRPr="00250531">
        <w:rPr>
          <w:color w:val="000000" w:themeColor="text1"/>
          <w:szCs w:val="20"/>
          <w:shd w:val="clear" w:color="auto" w:fill="FFFFFF"/>
          <w:lang w:val="en-US"/>
        </w:rPr>
        <w:t xml:space="preserve">, </w:t>
      </w:r>
      <w:r w:rsidRPr="00250531">
        <w:rPr>
          <w:i/>
          <w:iCs/>
          <w:color w:val="000000" w:themeColor="text1"/>
          <w:szCs w:val="20"/>
          <w:shd w:val="clear" w:color="auto" w:fill="FFFFFF"/>
          <w:lang w:val="en-US"/>
        </w:rPr>
        <w:t>6</w:t>
      </w:r>
      <w:r w:rsidRPr="00250531">
        <w:rPr>
          <w:color w:val="000000" w:themeColor="text1"/>
          <w:szCs w:val="20"/>
          <w:shd w:val="clear" w:color="auto" w:fill="FFFFFF"/>
          <w:lang w:val="en-US"/>
        </w:rPr>
        <w:t>(2), 205-211.</w:t>
      </w:r>
    </w:p>
    <w:p w14:paraId="3D851D12" w14:textId="77777777" w:rsidR="009D5129" w:rsidRPr="0076565F" w:rsidRDefault="009D5129" w:rsidP="004D51BC">
      <w:pPr>
        <w:ind w:left="709" w:hanging="709"/>
        <w:contextualSpacing/>
        <w:jc w:val="both"/>
        <w:rPr>
          <w:lang w:val="en-US"/>
        </w:rPr>
      </w:pPr>
      <w:r w:rsidRPr="0076565F">
        <w:rPr>
          <w:lang w:val="en-US"/>
        </w:rPr>
        <w:t xml:space="preserve">Weinert, F. E., &amp; </w:t>
      </w:r>
      <w:proofErr w:type="spellStart"/>
      <w:r w:rsidRPr="0076565F">
        <w:rPr>
          <w:lang w:val="en-US"/>
        </w:rPr>
        <w:t>Kluwe</w:t>
      </w:r>
      <w:proofErr w:type="spellEnd"/>
      <w:r w:rsidRPr="0076565F">
        <w:rPr>
          <w:lang w:val="en-US"/>
        </w:rPr>
        <w:t xml:space="preserve">, R. H. (1987). </w:t>
      </w:r>
      <w:r w:rsidRPr="0076565F">
        <w:rPr>
          <w:i/>
          <w:lang w:val="en-US"/>
        </w:rPr>
        <w:t>Metacognition. motivation, and understanding.</w:t>
      </w:r>
      <w:r w:rsidRPr="0076565F">
        <w:rPr>
          <w:lang w:val="en-US"/>
        </w:rPr>
        <w:t xml:space="preserve"> Hillsdale, NJ: Lawrence Erlbaum Associates.</w:t>
      </w:r>
    </w:p>
    <w:p w14:paraId="36B911A2" w14:textId="77777777" w:rsidR="009D5129" w:rsidRPr="0076565F" w:rsidRDefault="009D5129" w:rsidP="004D51BC">
      <w:pPr>
        <w:pStyle w:val="NormalWeb"/>
        <w:spacing w:before="0" w:beforeAutospacing="0" w:after="0" w:afterAutospacing="0" w:line="360" w:lineRule="auto"/>
        <w:ind w:left="709" w:hanging="709"/>
        <w:contextualSpacing/>
        <w:jc w:val="both"/>
        <w:rPr>
          <w:lang w:val="en-US"/>
        </w:rPr>
      </w:pPr>
      <w:proofErr w:type="spellStart"/>
      <w:r w:rsidRPr="0076565F">
        <w:rPr>
          <w:lang w:val="en-US"/>
        </w:rPr>
        <w:t>Zabrucky</w:t>
      </w:r>
      <w:proofErr w:type="spellEnd"/>
      <w:r w:rsidRPr="0076565F">
        <w:rPr>
          <w:lang w:val="en-US"/>
        </w:rPr>
        <w:t xml:space="preserve">, K. M., </w:t>
      </w:r>
      <w:proofErr w:type="spellStart"/>
      <w:r w:rsidRPr="0076565F">
        <w:rPr>
          <w:lang w:val="en-US"/>
        </w:rPr>
        <w:t>Agler</w:t>
      </w:r>
      <w:proofErr w:type="spellEnd"/>
      <w:r w:rsidRPr="0076565F">
        <w:rPr>
          <w:lang w:val="en-US"/>
        </w:rPr>
        <w:t xml:space="preserve">, L. M. L., &amp; Moore, D. (2009). Metacognition in Taiwan: Students’ calibration of comprehension and performance. </w:t>
      </w:r>
      <w:r w:rsidRPr="0076565F">
        <w:rPr>
          <w:i/>
          <w:iCs/>
          <w:lang w:val="en-US"/>
        </w:rPr>
        <w:t>International Journal of Psychology</w:t>
      </w:r>
      <w:r w:rsidRPr="0076565F">
        <w:rPr>
          <w:lang w:val="en-US"/>
        </w:rPr>
        <w:t xml:space="preserve">, </w:t>
      </w:r>
      <w:r w:rsidRPr="0076565F">
        <w:rPr>
          <w:i/>
          <w:iCs/>
          <w:lang w:val="en-US"/>
        </w:rPr>
        <w:t>44</w:t>
      </w:r>
      <w:r w:rsidRPr="0076565F">
        <w:rPr>
          <w:lang w:val="en-US"/>
        </w:rPr>
        <w:t xml:space="preserve">(4), 305–312. </w:t>
      </w:r>
      <w:hyperlink r:id="rId15" w:history="1">
        <w:r w:rsidRPr="0076565F">
          <w:rPr>
            <w:rStyle w:val="Kpr"/>
            <w:lang w:val="en-US"/>
          </w:rPr>
          <w:t>https://doi.org/10.1080/00207590802315409</w:t>
        </w:r>
      </w:hyperlink>
    </w:p>
    <w:p w14:paraId="74E64260" w14:textId="77777777" w:rsidR="009D5129" w:rsidRPr="00250531" w:rsidRDefault="009D5129" w:rsidP="004D51BC">
      <w:pPr>
        <w:ind w:left="709" w:hanging="709"/>
        <w:contextualSpacing/>
        <w:jc w:val="both"/>
        <w:rPr>
          <w:color w:val="000000" w:themeColor="text1"/>
          <w:szCs w:val="20"/>
          <w:shd w:val="clear" w:color="auto" w:fill="FFFFFF"/>
          <w:lang w:val="en-US"/>
        </w:rPr>
      </w:pPr>
      <w:r w:rsidRPr="00250531">
        <w:rPr>
          <w:color w:val="000000" w:themeColor="text1"/>
          <w:szCs w:val="20"/>
          <w:shd w:val="clear" w:color="auto" w:fill="FFFFFF"/>
          <w:lang w:val="en-US"/>
        </w:rPr>
        <w:t xml:space="preserve">Ziegler, N., &amp; </w:t>
      </w:r>
      <w:proofErr w:type="spellStart"/>
      <w:r w:rsidRPr="00250531">
        <w:rPr>
          <w:color w:val="000000" w:themeColor="text1"/>
          <w:szCs w:val="20"/>
          <w:shd w:val="clear" w:color="auto" w:fill="FFFFFF"/>
          <w:lang w:val="en-US"/>
        </w:rPr>
        <w:t>Opdenakker</w:t>
      </w:r>
      <w:proofErr w:type="spellEnd"/>
      <w:r w:rsidRPr="00250531">
        <w:rPr>
          <w:color w:val="000000" w:themeColor="text1"/>
          <w:szCs w:val="20"/>
          <w:shd w:val="clear" w:color="auto" w:fill="FFFFFF"/>
          <w:lang w:val="en-US"/>
        </w:rPr>
        <w:t xml:space="preserve">, M. C. (2018). The development of academic procrastination in first-year secondary education students: The link with metacognitive self-regulation, self-efficacy, and effort regulation. </w:t>
      </w:r>
      <w:r w:rsidRPr="00250531">
        <w:rPr>
          <w:i/>
          <w:iCs/>
          <w:color w:val="000000" w:themeColor="text1"/>
          <w:szCs w:val="20"/>
          <w:shd w:val="clear" w:color="auto" w:fill="FFFFFF"/>
          <w:lang w:val="en-US"/>
        </w:rPr>
        <w:t>Learning and Individual Differences</w:t>
      </w:r>
      <w:r w:rsidRPr="00250531">
        <w:rPr>
          <w:color w:val="000000" w:themeColor="text1"/>
          <w:szCs w:val="20"/>
          <w:shd w:val="clear" w:color="auto" w:fill="FFFFFF"/>
          <w:lang w:val="en-US"/>
        </w:rPr>
        <w:t xml:space="preserve">, </w:t>
      </w:r>
      <w:r w:rsidRPr="00250531">
        <w:rPr>
          <w:i/>
          <w:iCs/>
          <w:color w:val="000000" w:themeColor="text1"/>
          <w:szCs w:val="20"/>
          <w:shd w:val="clear" w:color="auto" w:fill="FFFFFF"/>
          <w:lang w:val="en-US"/>
        </w:rPr>
        <w:t>64</w:t>
      </w:r>
      <w:r w:rsidRPr="00250531">
        <w:rPr>
          <w:color w:val="000000" w:themeColor="text1"/>
          <w:szCs w:val="20"/>
          <w:shd w:val="clear" w:color="auto" w:fill="FFFFFF"/>
          <w:lang w:val="en-US"/>
        </w:rPr>
        <w:t>, 71-82.</w:t>
      </w:r>
    </w:p>
    <w:p w14:paraId="4F95FE97" w14:textId="0E57A68C" w:rsidR="006C2859" w:rsidRPr="00250531" w:rsidRDefault="006C2859" w:rsidP="006C2859">
      <w:pPr>
        <w:ind w:left="709" w:hanging="709"/>
        <w:contextualSpacing/>
        <w:jc w:val="both"/>
        <w:rPr>
          <w:rFonts w:eastAsia="Times New Roman"/>
          <w:color w:val="000000" w:themeColor="text1"/>
          <w:szCs w:val="24"/>
          <w:lang w:val="en-US" w:eastAsia="tr-TR"/>
        </w:rPr>
      </w:pPr>
      <w:bookmarkStart w:id="3" w:name="_Hlk85295509"/>
      <w:r w:rsidRPr="00250531">
        <w:rPr>
          <w:rFonts w:eastAsia="Times New Roman"/>
          <w:color w:val="000000" w:themeColor="text1"/>
          <w:szCs w:val="24"/>
          <w:lang w:val="en-US" w:eastAsia="tr-TR"/>
        </w:rPr>
        <w:lastRenderedPageBreak/>
        <w:t xml:space="preserve">Zimmerman, B. (2011). </w:t>
      </w:r>
      <w:r w:rsidR="008D769A" w:rsidRPr="00250531">
        <w:rPr>
          <w:rFonts w:eastAsia="Times New Roman"/>
          <w:color w:val="000000" w:themeColor="text1"/>
          <w:szCs w:val="24"/>
          <w:lang w:val="en-US" w:eastAsia="tr-TR"/>
        </w:rPr>
        <w:t>Motivational sources and outcomes of self-regulated learning and performance</w:t>
      </w:r>
      <w:r w:rsidRPr="00250531">
        <w:rPr>
          <w:rFonts w:eastAsia="Times New Roman"/>
          <w:color w:val="000000" w:themeColor="text1"/>
          <w:szCs w:val="24"/>
          <w:lang w:val="en-US" w:eastAsia="tr-TR"/>
        </w:rPr>
        <w:t xml:space="preserve">. In D. H. Schunk &amp; B. J. Zimmerman (Eds.), </w:t>
      </w:r>
      <w:r w:rsidR="008D769A" w:rsidRPr="00250531">
        <w:rPr>
          <w:rFonts w:eastAsia="Times New Roman"/>
          <w:i/>
          <w:iCs/>
          <w:color w:val="000000" w:themeColor="text1"/>
          <w:szCs w:val="24"/>
          <w:lang w:val="en-US" w:eastAsia="tr-TR"/>
        </w:rPr>
        <w:t>Handbook of self-regulation of learning and performance</w:t>
      </w:r>
      <w:r w:rsidR="008D769A" w:rsidRPr="00250531">
        <w:rPr>
          <w:rFonts w:eastAsia="Times New Roman"/>
          <w:color w:val="000000" w:themeColor="text1"/>
          <w:szCs w:val="24"/>
          <w:lang w:val="en-US" w:eastAsia="tr-TR"/>
        </w:rPr>
        <w:t xml:space="preserve"> </w:t>
      </w:r>
      <w:r w:rsidRPr="00250531">
        <w:rPr>
          <w:rFonts w:eastAsia="Times New Roman"/>
          <w:color w:val="000000" w:themeColor="text1"/>
          <w:szCs w:val="24"/>
          <w:lang w:val="en-US" w:eastAsia="tr-TR"/>
        </w:rPr>
        <w:t>(pp. 49-64). Routledge.</w:t>
      </w:r>
    </w:p>
    <w:bookmarkEnd w:id="3"/>
    <w:p w14:paraId="6E41994F" w14:textId="1A77D092" w:rsidR="009D5129" w:rsidRDefault="009D5129" w:rsidP="004D51BC">
      <w:pPr>
        <w:ind w:left="709" w:hanging="709"/>
        <w:contextualSpacing/>
        <w:jc w:val="both"/>
        <w:rPr>
          <w:lang w:val="en-US"/>
        </w:rPr>
      </w:pPr>
      <w:r w:rsidRPr="0076565F">
        <w:rPr>
          <w:lang w:val="en-US"/>
        </w:rPr>
        <w:t xml:space="preserve">Zimmerman, B. J., &amp; Moylan, A. R. (2009). Self-regulation: Where metacognition and motivation intersect. In </w:t>
      </w:r>
      <w:r w:rsidRPr="0076565F">
        <w:rPr>
          <w:i/>
          <w:lang w:val="en-US"/>
        </w:rPr>
        <w:t>Handbook of metacognition in education</w:t>
      </w:r>
      <w:r w:rsidRPr="0076565F">
        <w:rPr>
          <w:lang w:val="en-US"/>
        </w:rPr>
        <w:t xml:space="preserve"> (pp. 311-328). Routledge.</w:t>
      </w:r>
    </w:p>
    <w:p w14:paraId="07D17088" w14:textId="692B4B77" w:rsidR="006C2859" w:rsidRPr="00250531" w:rsidRDefault="006C2859" w:rsidP="006C2859">
      <w:pPr>
        <w:ind w:left="709" w:hanging="709"/>
        <w:contextualSpacing/>
        <w:jc w:val="both"/>
        <w:rPr>
          <w:color w:val="2C2E35"/>
          <w:sz w:val="20"/>
          <w:szCs w:val="24"/>
          <w:lang w:val="en-US"/>
        </w:rPr>
      </w:pPr>
      <w:bookmarkStart w:id="4" w:name="_Hlk85295499"/>
      <w:proofErr w:type="spellStart"/>
      <w:r w:rsidRPr="002C4F9F">
        <w:rPr>
          <w:rFonts w:eastAsia="Times New Roman"/>
          <w:color w:val="000000" w:themeColor="text1"/>
          <w:szCs w:val="24"/>
          <w:lang w:eastAsia="tr-TR"/>
        </w:rPr>
        <w:t>Zimmerman</w:t>
      </w:r>
      <w:proofErr w:type="spellEnd"/>
      <w:r w:rsidRPr="002C4F9F">
        <w:rPr>
          <w:rFonts w:eastAsia="Times New Roman"/>
          <w:color w:val="000000" w:themeColor="text1"/>
          <w:szCs w:val="24"/>
          <w:lang w:eastAsia="tr-TR"/>
        </w:rPr>
        <w:t xml:space="preserve">, B. </w:t>
      </w:r>
      <w:r>
        <w:rPr>
          <w:rFonts w:eastAsia="Times New Roman"/>
          <w:color w:val="000000" w:themeColor="text1"/>
          <w:szCs w:val="24"/>
          <w:lang w:eastAsia="tr-TR"/>
        </w:rPr>
        <w:t xml:space="preserve">&amp; </w:t>
      </w:r>
      <w:proofErr w:type="spellStart"/>
      <w:r>
        <w:rPr>
          <w:rFonts w:eastAsia="Times New Roman"/>
          <w:color w:val="000000" w:themeColor="text1"/>
          <w:szCs w:val="24"/>
          <w:lang w:eastAsia="tr-TR"/>
        </w:rPr>
        <w:t>Schunk</w:t>
      </w:r>
      <w:proofErr w:type="spellEnd"/>
      <w:r>
        <w:rPr>
          <w:rFonts w:eastAsia="Times New Roman"/>
          <w:color w:val="000000" w:themeColor="text1"/>
          <w:szCs w:val="24"/>
          <w:lang w:eastAsia="tr-TR"/>
        </w:rPr>
        <w:t xml:space="preserve">, D. H. </w:t>
      </w:r>
      <w:r w:rsidRPr="002C4F9F">
        <w:rPr>
          <w:rFonts w:eastAsia="Times New Roman"/>
          <w:color w:val="000000" w:themeColor="text1"/>
          <w:szCs w:val="24"/>
          <w:lang w:eastAsia="tr-TR"/>
        </w:rPr>
        <w:t>(2011</w:t>
      </w:r>
      <w:r w:rsidRPr="00250531">
        <w:rPr>
          <w:lang w:val="en-US"/>
        </w:rPr>
        <w:t xml:space="preserve">). </w:t>
      </w:r>
      <w:r w:rsidR="008D769A" w:rsidRPr="00250531">
        <w:rPr>
          <w:rFonts w:eastAsia="Times New Roman"/>
          <w:color w:val="000000" w:themeColor="text1"/>
          <w:szCs w:val="24"/>
          <w:lang w:val="en-US" w:eastAsia="tr-TR"/>
        </w:rPr>
        <w:t>Self-regulated learning and performance: An introduction and an overview.</w:t>
      </w:r>
      <w:r w:rsidR="008D769A" w:rsidRPr="00250531">
        <w:rPr>
          <w:rFonts w:eastAsia="Times New Roman"/>
          <w:iCs/>
          <w:color w:val="000000" w:themeColor="text1"/>
          <w:szCs w:val="24"/>
          <w:lang w:val="en-US" w:eastAsia="tr-TR"/>
        </w:rPr>
        <w:t xml:space="preserve"> </w:t>
      </w:r>
      <w:r w:rsidRPr="00250531">
        <w:rPr>
          <w:rFonts w:eastAsia="Times New Roman"/>
          <w:color w:val="000000" w:themeColor="text1"/>
          <w:szCs w:val="24"/>
          <w:lang w:val="en-US" w:eastAsia="tr-TR"/>
        </w:rPr>
        <w:t xml:space="preserve">In D. H. Schunk &amp; B. J. Zimmerman (Eds.), </w:t>
      </w:r>
      <w:r w:rsidR="008D769A" w:rsidRPr="00250531">
        <w:rPr>
          <w:rFonts w:eastAsia="Times New Roman"/>
          <w:i/>
          <w:iCs/>
          <w:color w:val="000000" w:themeColor="text1"/>
          <w:szCs w:val="24"/>
          <w:lang w:val="en-US" w:eastAsia="tr-TR"/>
        </w:rPr>
        <w:t>Handbook of self-regulation of learning and performance</w:t>
      </w:r>
      <w:r w:rsidR="008D769A" w:rsidRPr="00250531">
        <w:rPr>
          <w:rFonts w:eastAsia="Times New Roman"/>
          <w:color w:val="000000" w:themeColor="text1"/>
          <w:szCs w:val="24"/>
          <w:lang w:val="en-US" w:eastAsia="tr-TR"/>
        </w:rPr>
        <w:t xml:space="preserve"> </w:t>
      </w:r>
      <w:r w:rsidRPr="00250531">
        <w:rPr>
          <w:rFonts w:eastAsia="Times New Roman"/>
          <w:color w:val="000000" w:themeColor="text1"/>
          <w:szCs w:val="24"/>
          <w:lang w:val="en-US" w:eastAsia="tr-TR"/>
        </w:rPr>
        <w:t>(pp. 1-14). Routledge.</w:t>
      </w:r>
    </w:p>
    <w:bookmarkEnd w:id="4"/>
    <w:p w14:paraId="01893561" w14:textId="77777777" w:rsidR="006C2859" w:rsidRPr="007B2842" w:rsidRDefault="006C2859" w:rsidP="004D51BC">
      <w:pPr>
        <w:ind w:left="709" w:hanging="709"/>
        <w:contextualSpacing/>
        <w:jc w:val="both"/>
        <w:rPr>
          <w:lang w:val="en-US"/>
        </w:rPr>
      </w:pPr>
    </w:p>
    <w:p w14:paraId="5DE79A21" w14:textId="77777777" w:rsidR="008A42B5" w:rsidRPr="0076565F" w:rsidRDefault="008A42B5" w:rsidP="0077650A">
      <w:pPr>
        <w:pStyle w:val="NormalWeb"/>
        <w:spacing w:before="0" w:beforeAutospacing="0" w:after="0" w:afterAutospacing="0"/>
        <w:ind w:left="709" w:hanging="709"/>
        <w:contextualSpacing/>
      </w:pPr>
      <w:r w:rsidRPr="0076565F">
        <w:br w:type="page"/>
      </w:r>
    </w:p>
    <w:p w14:paraId="1910D8CE" w14:textId="77777777" w:rsidR="008A42B5" w:rsidRPr="0076565F" w:rsidRDefault="008A42B5" w:rsidP="00C70A35">
      <w:pPr>
        <w:contextualSpacing/>
        <w:jc w:val="center"/>
      </w:pPr>
      <w:r w:rsidRPr="0076565F">
        <w:rPr>
          <w:b/>
          <w:lang w:val="en-US"/>
        </w:rPr>
        <w:lastRenderedPageBreak/>
        <w:t>Summary</w:t>
      </w:r>
    </w:p>
    <w:p w14:paraId="5D520E41" w14:textId="77777777" w:rsidR="00F6615C" w:rsidRDefault="00F6615C" w:rsidP="00F6615C">
      <w:pPr>
        <w:ind w:left="0" w:firstLine="0"/>
        <w:contextualSpacing/>
        <w:jc w:val="center"/>
        <w:rPr>
          <w:b/>
          <w:lang w:val="en-US"/>
        </w:rPr>
      </w:pPr>
      <w:r>
        <w:rPr>
          <w:b/>
          <w:lang w:val="en-US"/>
        </w:rPr>
        <w:t>Statement of Problem</w:t>
      </w:r>
    </w:p>
    <w:p w14:paraId="6F5A60F7" w14:textId="7F2FE951" w:rsidR="00F6615C" w:rsidRDefault="00F6615C" w:rsidP="00C70A35">
      <w:pPr>
        <w:ind w:left="0" w:firstLine="0"/>
        <w:contextualSpacing/>
        <w:jc w:val="both"/>
        <w:rPr>
          <w:lang w:val="en-US"/>
        </w:rPr>
      </w:pPr>
      <w:r>
        <w:rPr>
          <w:lang w:val="en-US"/>
        </w:rPr>
        <w:tab/>
      </w:r>
      <w:r w:rsidR="00870621" w:rsidRPr="0076565F">
        <w:rPr>
          <w:lang w:val="en-US"/>
        </w:rPr>
        <w:t xml:space="preserve">Calibration is defined as the difference between the performance that the person thinks </w:t>
      </w:r>
      <w:r w:rsidR="00391F1F" w:rsidRPr="0076565F">
        <w:rPr>
          <w:lang w:val="en-US"/>
        </w:rPr>
        <w:t xml:space="preserve">one </w:t>
      </w:r>
      <w:r w:rsidR="00870621" w:rsidRPr="0076565F">
        <w:rPr>
          <w:lang w:val="en-US"/>
        </w:rPr>
        <w:t xml:space="preserve">can exhibit in any situation and </w:t>
      </w:r>
      <w:r w:rsidR="00391F1F" w:rsidRPr="0076565F">
        <w:rPr>
          <w:lang w:val="en-US"/>
        </w:rPr>
        <w:t>one’s</w:t>
      </w:r>
      <w:r w:rsidR="00870621" w:rsidRPr="0076565F">
        <w:rPr>
          <w:lang w:val="en-US"/>
        </w:rPr>
        <w:t xml:space="preserve"> actual (actual) performance.</w:t>
      </w:r>
      <w:r w:rsidR="00391F1F" w:rsidRPr="0076565F">
        <w:rPr>
          <w:lang w:val="en-US"/>
        </w:rPr>
        <w:t xml:space="preserve"> </w:t>
      </w:r>
      <w:r w:rsidR="007F445B" w:rsidRPr="0076565F">
        <w:rPr>
          <w:lang w:val="en-US"/>
        </w:rPr>
        <w:t>From an educational perspective, t</w:t>
      </w:r>
      <w:r w:rsidR="00391F1F" w:rsidRPr="0076565F">
        <w:rPr>
          <w:lang w:val="en-US"/>
        </w:rPr>
        <w:t>he degree of closeness between the score that students expect to get before taking the exam and the score they get from the exam is an indicator of calibration. The closer the difference between the predicted score</w:t>
      </w:r>
      <w:r w:rsidR="00BF74AF">
        <w:rPr>
          <w:lang w:val="en-US"/>
        </w:rPr>
        <w:t xml:space="preserve"> and the</w:t>
      </w:r>
      <w:r w:rsidR="00391F1F" w:rsidRPr="0076565F">
        <w:rPr>
          <w:lang w:val="en-US"/>
        </w:rPr>
        <w:t xml:space="preserve"> </w:t>
      </w:r>
      <w:r w:rsidR="00F178FB" w:rsidRPr="0076565F">
        <w:rPr>
          <w:lang w:val="en-US"/>
        </w:rPr>
        <w:t xml:space="preserve">actual score </w:t>
      </w:r>
      <w:r w:rsidR="00391F1F" w:rsidRPr="0076565F">
        <w:rPr>
          <w:lang w:val="en-US"/>
        </w:rPr>
        <w:t>is to zero, the higher the calibration.</w:t>
      </w:r>
      <w:r w:rsidR="00127C16" w:rsidRPr="0076565F">
        <w:rPr>
          <w:lang w:val="en-US"/>
        </w:rPr>
        <w:t xml:space="preserve"> The concept of calibration has been investigated in relation to achievement, self-regulation strategies</w:t>
      </w:r>
      <w:r w:rsidR="00B25FCD" w:rsidRPr="0076565F">
        <w:rPr>
          <w:lang w:val="en-US"/>
        </w:rPr>
        <w:t>,</w:t>
      </w:r>
      <w:r w:rsidR="00127C16" w:rsidRPr="0076565F">
        <w:rPr>
          <w:lang w:val="en-US"/>
        </w:rPr>
        <w:t xml:space="preserve"> and motivation. Studies linking calibration and achievement level</w:t>
      </w:r>
      <w:r w:rsidR="00B25FCD" w:rsidRPr="0076565F">
        <w:rPr>
          <w:lang w:val="en-US"/>
        </w:rPr>
        <w:t xml:space="preserve"> have </w:t>
      </w:r>
      <w:r w:rsidR="00127C16" w:rsidRPr="0076565F">
        <w:rPr>
          <w:lang w:val="en-US"/>
        </w:rPr>
        <w:t>consistently show</w:t>
      </w:r>
      <w:r w:rsidR="00B25FCD" w:rsidRPr="0076565F">
        <w:rPr>
          <w:lang w:val="en-US"/>
        </w:rPr>
        <w:t>n</w:t>
      </w:r>
      <w:r w:rsidR="00127C16" w:rsidRPr="0076565F">
        <w:rPr>
          <w:lang w:val="en-US"/>
        </w:rPr>
        <w:t xml:space="preserve"> a correlation between achievement and calibration. The relevant literature findings indicate that there is a positive relationship between calibration and </w:t>
      </w:r>
      <w:r w:rsidR="005D55D0" w:rsidRPr="0076565F">
        <w:rPr>
          <w:lang w:val="en-US"/>
        </w:rPr>
        <w:t>achievement</w:t>
      </w:r>
      <w:r w:rsidR="00127C16" w:rsidRPr="0076565F">
        <w:rPr>
          <w:lang w:val="en-US"/>
        </w:rPr>
        <w:t>.</w:t>
      </w:r>
      <w:r w:rsidR="00174458" w:rsidRPr="0076565F">
        <w:rPr>
          <w:lang w:val="en-US"/>
        </w:rPr>
        <w:t xml:space="preserve"> </w:t>
      </w:r>
      <w:r w:rsidR="005D55D0" w:rsidRPr="0076565F">
        <w:rPr>
          <w:lang w:val="en-US"/>
        </w:rPr>
        <w:t>Calibration refers to a metacognitive monitoring process that provides information about the state of one's cognitive knowledge or strategies. In theory, calibration and self-regulation are closely related.</w:t>
      </w:r>
      <w:r w:rsidR="00806D5B" w:rsidRPr="0076565F">
        <w:rPr>
          <w:lang w:val="en-US"/>
        </w:rPr>
        <w:t xml:space="preserve"> </w:t>
      </w:r>
      <w:r>
        <w:rPr>
          <w:lang w:val="en-US"/>
        </w:rPr>
        <w:tab/>
      </w:r>
      <w:r w:rsidR="00806D5B" w:rsidRPr="0076565F">
        <w:rPr>
          <w:lang w:val="en-US"/>
        </w:rPr>
        <w:t>Metacognition is the thinking skills and strategies that a person employs in managing the cognitive learning process. From this point of view, it can be expected theoretically that there is a relationship between calibration and metacognition. Effort regulation (effort management), which is one of the learning strategies, is defined as the perseverance and endurance of the person no matter how difficult the task is.</w:t>
      </w:r>
      <w:r w:rsidR="00127A25" w:rsidRPr="0076565F">
        <w:rPr>
          <w:lang w:val="en-US"/>
        </w:rPr>
        <w:t xml:space="preserve"> In cases where the student manages his/her own learning, motivation should be included in addition to cognitive and metacognitive strategies. Self-efficacy, which is one of the basic motivational components of socio-cognitive theory, is defined as the confidence in one's own abilities to put for</w:t>
      </w:r>
      <w:r w:rsidR="00042D15" w:rsidRPr="0076565F">
        <w:rPr>
          <w:lang w:val="en-US"/>
        </w:rPr>
        <w:t>th</w:t>
      </w:r>
      <w:r w:rsidR="00127A25" w:rsidRPr="0076565F">
        <w:rPr>
          <w:lang w:val="en-US"/>
        </w:rPr>
        <w:t xml:space="preserve"> the actions and methods to be applied to complete a job successfully. According to socio-cognitive theory, students with high self-efficacy tend not to give up on difficult assignments and lessons and show more effort, while students with low self-efficacy tend to avoid difficult assignments and lessons and tend to set </w:t>
      </w:r>
      <w:r w:rsidR="00174458" w:rsidRPr="0076565F">
        <w:rPr>
          <w:lang w:val="en-US"/>
        </w:rPr>
        <w:t>fewer</w:t>
      </w:r>
      <w:r w:rsidR="00127A25" w:rsidRPr="0076565F">
        <w:rPr>
          <w:lang w:val="en-US"/>
        </w:rPr>
        <w:t xml:space="preserve"> challenging goals for themselves.</w:t>
      </w:r>
      <w:r w:rsidR="00174458" w:rsidRPr="0076565F">
        <w:rPr>
          <w:lang w:val="en-US"/>
        </w:rPr>
        <w:t xml:space="preserve"> </w:t>
      </w:r>
    </w:p>
    <w:p w14:paraId="365A1122" w14:textId="7946D8D7" w:rsidR="005D55D0" w:rsidRPr="0076565F" w:rsidRDefault="00F6615C" w:rsidP="00C70A35">
      <w:pPr>
        <w:ind w:left="0" w:firstLine="0"/>
        <w:contextualSpacing/>
        <w:jc w:val="both"/>
        <w:rPr>
          <w:lang w:val="en-US"/>
        </w:rPr>
      </w:pPr>
      <w:r>
        <w:rPr>
          <w:lang w:val="en-US"/>
        </w:rPr>
        <w:tab/>
      </w:r>
      <w:r w:rsidR="00174458" w:rsidRPr="0076565F">
        <w:rPr>
          <w:lang w:val="en-US"/>
        </w:rPr>
        <w:t xml:space="preserve">It is supported by the literature that the concept of calibration is theoretically related to learning strategies, self-regulation, metacognitive strategies and motivation. Concepts such as metacognition, effort regulation and self-efficacy have an important </w:t>
      </w:r>
      <w:r w:rsidR="00042D15" w:rsidRPr="0076565F">
        <w:rPr>
          <w:lang w:val="en-US"/>
        </w:rPr>
        <w:t xml:space="preserve">role </w:t>
      </w:r>
      <w:r w:rsidR="00174458" w:rsidRPr="0076565F">
        <w:rPr>
          <w:lang w:val="en-US"/>
        </w:rPr>
        <w:t>in managing students' own learning. However, the number of studies investigating calibration and theoretically related variables is limited, especially in Turkey. With this study, it is aimed to contribute to the literature.</w:t>
      </w:r>
    </w:p>
    <w:p w14:paraId="2ECA5305" w14:textId="77777777" w:rsidR="00F6615C" w:rsidRDefault="008A42B5" w:rsidP="00F6615C">
      <w:pPr>
        <w:ind w:left="0" w:firstLine="0"/>
        <w:contextualSpacing/>
        <w:jc w:val="center"/>
        <w:rPr>
          <w:b/>
          <w:lang w:val="en-US"/>
        </w:rPr>
      </w:pPr>
      <w:r w:rsidRPr="0076565F">
        <w:rPr>
          <w:b/>
          <w:lang w:val="en-US"/>
        </w:rPr>
        <w:t>Purpose of the Study</w:t>
      </w:r>
    </w:p>
    <w:p w14:paraId="385004F7" w14:textId="7DA0F6AE" w:rsidR="008A42B5" w:rsidRPr="0076565F" w:rsidRDefault="00F6615C" w:rsidP="00C70A35">
      <w:pPr>
        <w:ind w:left="0" w:firstLine="0"/>
        <w:contextualSpacing/>
        <w:jc w:val="both"/>
        <w:rPr>
          <w:lang w:val="en-US"/>
        </w:rPr>
      </w:pPr>
      <w:r>
        <w:rPr>
          <w:lang w:val="en-US"/>
        </w:rPr>
        <w:lastRenderedPageBreak/>
        <w:tab/>
      </w:r>
      <w:r w:rsidR="0010011D" w:rsidRPr="0076565F">
        <w:rPr>
          <w:lang w:val="en-US"/>
        </w:rPr>
        <w:t>The purpose of this study is to examine the relationships among pre-service science teachers' organic chemistry course achievement calibrations, effort regulation, metacognitive strategies</w:t>
      </w:r>
      <w:r w:rsidR="00042D15" w:rsidRPr="0076565F">
        <w:rPr>
          <w:lang w:val="en-US"/>
        </w:rPr>
        <w:t>,</w:t>
      </w:r>
      <w:r w:rsidR="0010011D" w:rsidRPr="0076565F">
        <w:rPr>
          <w:lang w:val="en-US"/>
        </w:rPr>
        <w:t xml:space="preserve"> and self-efficacy.</w:t>
      </w:r>
    </w:p>
    <w:p w14:paraId="23FF51D9" w14:textId="77777777" w:rsidR="00F6615C" w:rsidRDefault="008A42B5" w:rsidP="00F6615C">
      <w:pPr>
        <w:ind w:left="0" w:firstLine="0"/>
        <w:contextualSpacing/>
        <w:jc w:val="center"/>
        <w:rPr>
          <w:lang w:val="en-US"/>
        </w:rPr>
      </w:pPr>
      <w:r w:rsidRPr="0076565F">
        <w:rPr>
          <w:b/>
          <w:lang w:val="en-US"/>
        </w:rPr>
        <w:t>Method</w:t>
      </w:r>
    </w:p>
    <w:p w14:paraId="70DB59BC" w14:textId="42212E8B" w:rsidR="008A42B5" w:rsidRPr="0076565F" w:rsidRDefault="004A0BBB" w:rsidP="00C70A35">
      <w:pPr>
        <w:ind w:left="0" w:firstLine="0"/>
        <w:contextualSpacing/>
        <w:jc w:val="both"/>
      </w:pPr>
      <w:r w:rsidRPr="0076565F">
        <w:rPr>
          <w:lang w:val="en-US"/>
        </w:rPr>
        <w:t>The current study used quantitative research method</w:t>
      </w:r>
      <w:r w:rsidR="00174458" w:rsidRPr="0076565F">
        <w:rPr>
          <w:lang w:val="en-US"/>
        </w:rPr>
        <w:t>ology</w:t>
      </w:r>
      <w:r w:rsidR="00BF74AF">
        <w:rPr>
          <w:lang w:val="en-US"/>
        </w:rPr>
        <w:t>. The data were collected cross-</w:t>
      </w:r>
      <w:r w:rsidRPr="0076565F">
        <w:rPr>
          <w:lang w:val="en-US"/>
        </w:rPr>
        <w:t xml:space="preserve">sectionally at one time point. Thus, </w:t>
      </w:r>
      <w:r w:rsidR="00870621" w:rsidRPr="0076565F">
        <w:rPr>
          <w:lang w:val="en-US"/>
        </w:rPr>
        <w:t xml:space="preserve">there was no </w:t>
      </w:r>
      <w:r w:rsidRPr="0076565F">
        <w:rPr>
          <w:lang w:val="en-US"/>
        </w:rPr>
        <w:t>researcher manipulation</w:t>
      </w:r>
      <w:r w:rsidR="00870621" w:rsidRPr="0076565F">
        <w:rPr>
          <w:lang w:val="en-US"/>
        </w:rPr>
        <w:t xml:space="preserve"> in the current study.</w:t>
      </w:r>
      <w:r w:rsidRPr="0076565F">
        <w:rPr>
          <w:lang w:val="en-US"/>
        </w:rPr>
        <w:t xml:space="preserve"> The participants of the study were 76 pre-service science teachers. The data of the study consist of the organic chemistry course final exam grades, the grades expected by the students before the final exam, and administration of the effort regulation, metacognitive strategies, and self-efficacy sub-dimensions of the Motivated Strategies for Learning Questionnaire</w:t>
      </w:r>
      <w:r w:rsidR="00EA7F97" w:rsidRPr="0076565F">
        <w:rPr>
          <w:lang w:val="en-US"/>
        </w:rPr>
        <w:t xml:space="preserve"> (MSLQ)</w:t>
      </w:r>
      <w:r w:rsidRPr="0076565F">
        <w:rPr>
          <w:lang w:val="en-US"/>
        </w:rPr>
        <w:t xml:space="preserve">. The collected data were analyzed with descriptive and inferential statistical methods. Variance analyzes were performed for group comparisons and correlation analyzes were performed to </w:t>
      </w:r>
      <w:r w:rsidR="008E0638" w:rsidRPr="0076565F">
        <w:rPr>
          <w:lang w:val="en-US"/>
        </w:rPr>
        <w:t>reveal</w:t>
      </w:r>
      <w:r w:rsidRPr="0076565F">
        <w:rPr>
          <w:lang w:val="en-US"/>
        </w:rPr>
        <w:t xml:space="preserve"> the relationships </w:t>
      </w:r>
      <w:r w:rsidR="00A91D3A" w:rsidRPr="0076565F">
        <w:rPr>
          <w:lang w:val="en-US"/>
        </w:rPr>
        <w:t>among</w:t>
      </w:r>
      <w:r w:rsidRPr="0076565F">
        <w:rPr>
          <w:lang w:val="en-US"/>
        </w:rPr>
        <w:t xml:space="preserve"> variables</w:t>
      </w:r>
      <w:r w:rsidR="00870621" w:rsidRPr="0076565F">
        <w:rPr>
          <w:lang w:val="en-US"/>
        </w:rPr>
        <w:t>.</w:t>
      </w:r>
    </w:p>
    <w:p w14:paraId="0A99D6F1" w14:textId="77777777" w:rsidR="00F6615C" w:rsidRDefault="008A42B5" w:rsidP="00F6615C">
      <w:pPr>
        <w:ind w:left="0" w:firstLine="0"/>
        <w:contextualSpacing/>
        <w:jc w:val="center"/>
        <w:rPr>
          <w:b/>
          <w:lang w:val="en-US"/>
        </w:rPr>
      </w:pPr>
      <w:r w:rsidRPr="0076565F">
        <w:rPr>
          <w:b/>
          <w:lang w:val="en-US"/>
        </w:rPr>
        <w:t>Findings and Discussion</w:t>
      </w:r>
    </w:p>
    <w:p w14:paraId="2A0E719E" w14:textId="2343A4EC" w:rsidR="008A42B5" w:rsidRPr="0076565F" w:rsidRDefault="00F6615C" w:rsidP="00C70A35">
      <w:pPr>
        <w:ind w:left="0" w:firstLine="0"/>
        <w:contextualSpacing/>
        <w:jc w:val="both"/>
      </w:pPr>
      <w:r>
        <w:rPr>
          <w:lang w:val="en-US"/>
        </w:rPr>
        <w:tab/>
      </w:r>
      <w:r w:rsidR="00870621" w:rsidRPr="0076565F">
        <w:rPr>
          <w:lang w:val="en-US"/>
        </w:rPr>
        <w:t>As a result of the analysis, it was found that the achievement calibration of the preservice science teachers in the organic chemistry course final exam was in favor of high-achieving students, and the calibrations of the low-achieving students were low. Similarly, significant differences emerged in favor of high-achieving students in effort regulation and metacognitive strategies, and it was found that high-achieving students differed significantly from medium and low-achieving students in self-efficacy. It was found that calibration had a weak negative relationship with effort regulation and self-efficacy, but no relationship with metacognitive strategies.</w:t>
      </w:r>
      <w:r w:rsidR="00A91D3A" w:rsidRPr="0076565F">
        <w:rPr>
          <w:lang w:val="en-US"/>
        </w:rPr>
        <w:t xml:space="preserve"> The results of the current study </w:t>
      </w:r>
      <w:r w:rsidR="00061C54" w:rsidRPr="0076565F">
        <w:rPr>
          <w:lang w:val="en-US"/>
        </w:rPr>
        <w:t>are</w:t>
      </w:r>
      <w:r w:rsidR="00A91D3A" w:rsidRPr="0076565F">
        <w:rPr>
          <w:lang w:val="en-US"/>
        </w:rPr>
        <w:t xml:space="preserve"> in line with the literature except </w:t>
      </w:r>
      <w:r w:rsidR="00BF74AF">
        <w:rPr>
          <w:lang w:val="en-US"/>
        </w:rPr>
        <w:t xml:space="preserve">for </w:t>
      </w:r>
      <w:r w:rsidR="00A91D3A" w:rsidRPr="0076565F">
        <w:rPr>
          <w:lang w:val="en-US"/>
        </w:rPr>
        <w:t xml:space="preserve">the relationship between calibration and metacognition. While these two constructs were </w:t>
      </w:r>
      <w:r w:rsidR="002F1C55" w:rsidRPr="0076565F">
        <w:rPr>
          <w:lang w:val="en-US"/>
        </w:rPr>
        <w:t xml:space="preserve">theoretically related, empirical results did not support this assertion. Similar findings were reported in the studies conducted in Turkey. It is considered that the measurement method of metacognition could lead </w:t>
      </w:r>
      <w:r w:rsidR="00BF74AF">
        <w:rPr>
          <w:lang w:val="en-US"/>
        </w:rPr>
        <w:t>to</w:t>
      </w:r>
      <w:r w:rsidR="00CB7574">
        <w:rPr>
          <w:lang w:val="en-US"/>
        </w:rPr>
        <w:t xml:space="preserve"> </w:t>
      </w:r>
      <w:r w:rsidR="002F1C55" w:rsidRPr="0076565F">
        <w:rPr>
          <w:lang w:val="en-US"/>
        </w:rPr>
        <w:t>such a finding.</w:t>
      </w:r>
    </w:p>
    <w:p w14:paraId="276BF98E" w14:textId="77777777" w:rsidR="00F6615C" w:rsidRDefault="008A42B5" w:rsidP="00F6615C">
      <w:pPr>
        <w:ind w:left="0" w:firstLine="0"/>
        <w:contextualSpacing/>
        <w:jc w:val="center"/>
        <w:rPr>
          <w:b/>
          <w:lang w:val="en-US"/>
        </w:rPr>
      </w:pPr>
      <w:r w:rsidRPr="0076565F">
        <w:rPr>
          <w:b/>
          <w:lang w:val="en-US"/>
        </w:rPr>
        <w:t>Conclusions and Recommendations</w:t>
      </w:r>
    </w:p>
    <w:p w14:paraId="072978AB" w14:textId="7451741B" w:rsidR="008A42B5" w:rsidRPr="0076565F" w:rsidRDefault="00F6615C" w:rsidP="00C70A35">
      <w:pPr>
        <w:ind w:left="0" w:firstLine="0"/>
        <w:contextualSpacing/>
        <w:jc w:val="both"/>
      </w:pPr>
      <w:r>
        <w:rPr>
          <w:lang w:val="en-US"/>
        </w:rPr>
        <w:tab/>
      </w:r>
      <w:r w:rsidR="00174458" w:rsidRPr="0076565F">
        <w:rPr>
          <w:lang w:val="en-US"/>
        </w:rPr>
        <w:t xml:space="preserve">First of all, this study was carried out with a limited sample. A study with a higher number of participants will increase generalizability. On the other hand, the data collected in this study is limited to the organic chemistry course and the final exam. In addition, the final exam consists of questions prepared by the instructor giving the course. Future studies may choose the path of data collection by conducting a standardized exam in different courses. Finally, this study was carried out using purely quantitative data. Researchers who will be </w:t>
      </w:r>
      <w:r w:rsidR="00174458" w:rsidRPr="0076565F">
        <w:rPr>
          <w:lang w:val="en-US"/>
        </w:rPr>
        <w:lastRenderedPageBreak/>
        <w:t>interested in this subject in the future can strengthen their studies by collecting qualitative data after measuring the calibration skills of students quantitatively.</w:t>
      </w:r>
    </w:p>
    <w:p w14:paraId="43A97D48" w14:textId="77777777" w:rsidR="00C70A35" w:rsidRPr="00061C54" w:rsidRDefault="00C70A35" w:rsidP="00C70A35">
      <w:pPr>
        <w:ind w:left="0" w:firstLine="0"/>
        <w:contextualSpacing/>
        <w:jc w:val="both"/>
        <w:rPr>
          <w:lang w:val="en-US"/>
        </w:rPr>
      </w:pPr>
    </w:p>
    <w:p w14:paraId="6D35C200" w14:textId="4E569F34" w:rsidR="00B74C40" w:rsidRPr="00392DD6" w:rsidRDefault="00F6615C" w:rsidP="00C70A35">
      <w:pPr>
        <w:pStyle w:val="NormalWeb"/>
        <w:spacing w:before="0" w:beforeAutospacing="0" w:after="0" w:afterAutospacing="0" w:line="360" w:lineRule="auto"/>
        <w:ind w:left="709" w:hanging="709"/>
        <w:contextualSpacing/>
        <w:jc w:val="both"/>
        <w:rPr>
          <w:b/>
        </w:rPr>
      </w:pPr>
      <w:r w:rsidRPr="00F6615C">
        <w:rPr>
          <w:b/>
          <w:color w:val="FF0000"/>
        </w:rPr>
        <w:tab/>
      </w:r>
      <w:r w:rsidR="00C70A35" w:rsidRPr="00392DD6">
        <w:rPr>
          <w:b/>
        </w:rPr>
        <w:t>Etik Kurul Kararı</w:t>
      </w:r>
    </w:p>
    <w:p w14:paraId="6A53EEB7" w14:textId="558F09BC" w:rsidR="00C70A35" w:rsidRPr="00392DD6" w:rsidRDefault="00C70A35" w:rsidP="008F642B">
      <w:pPr>
        <w:spacing w:before="120"/>
        <w:ind w:left="0" w:firstLine="708"/>
        <w:jc w:val="both"/>
        <w:rPr>
          <w:szCs w:val="24"/>
        </w:rPr>
      </w:pPr>
      <w:r w:rsidRPr="00392DD6">
        <w:rPr>
          <w:szCs w:val="24"/>
        </w:rPr>
        <w:t>Tokat Gaziosmanpaşa Üniversitesi Sosyal ve Beşeri Bilimler Araştırmaları Etik Kurulu'nun, 02/04/2021 tarih ve 01-29 sayılı kararı gereği çalışma açısından Sosyal ve Beşeri Etik Kuralları ve İlkeleri çerçevesinde herhangi bir sakınca olmadığına karar verilmiştir.</w:t>
      </w:r>
    </w:p>
    <w:p w14:paraId="5BC9DDEF" w14:textId="77777777" w:rsidR="00C70A35" w:rsidRPr="00C70A35" w:rsidRDefault="00C70A35" w:rsidP="00C70A35">
      <w:pPr>
        <w:pStyle w:val="NormalWeb"/>
        <w:spacing w:before="0" w:beforeAutospacing="0" w:after="0" w:afterAutospacing="0" w:line="360" w:lineRule="auto"/>
        <w:ind w:left="709" w:hanging="709"/>
        <w:contextualSpacing/>
        <w:jc w:val="both"/>
        <w:rPr>
          <w:b/>
        </w:rPr>
      </w:pPr>
    </w:p>
    <w:sectPr w:rsidR="00C70A35" w:rsidRPr="00C70A35" w:rsidSect="008E0EF2">
      <w:headerReference w:type="even" r:id="rId16"/>
      <w:headerReference w:type="default" r:id="rId17"/>
      <w:footerReference w:type="even" r:id="rId18"/>
      <w:footerReference w:type="default" r:id="rId19"/>
      <w:headerReference w:type="first" r:id="rId20"/>
      <w:footerReference w:type="first" r:id="rId21"/>
      <w:footnotePr>
        <w:numFmt w:val="chicago"/>
      </w:footnotePr>
      <w:pgSz w:w="11906" w:h="16838"/>
      <w:pgMar w:top="1417" w:right="1417" w:bottom="1417" w:left="1417" w:header="708" w:footer="708" w:gutter="0"/>
      <w:pgNumType w:start="4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777EF" w14:textId="77777777" w:rsidR="00F64EE2" w:rsidRDefault="00F64EE2" w:rsidP="008B00EF">
      <w:pPr>
        <w:spacing w:line="240" w:lineRule="auto"/>
      </w:pPr>
      <w:r>
        <w:separator/>
      </w:r>
    </w:p>
  </w:endnote>
  <w:endnote w:type="continuationSeparator" w:id="0">
    <w:p w14:paraId="1AA1FEE8" w14:textId="77777777" w:rsidR="00F64EE2" w:rsidRDefault="00F64EE2" w:rsidP="008B00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C7FA" w14:textId="77777777" w:rsidR="004E19BC" w:rsidRDefault="004E19B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347531"/>
      <w:docPartObj>
        <w:docPartGallery w:val="Page Numbers (Bottom of Page)"/>
        <w:docPartUnique/>
      </w:docPartObj>
    </w:sdtPr>
    <w:sdtEndPr/>
    <w:sdtContent>
      <w:p w14:paraId="59617EFF" w14:textId="606058BA" w:rsidR="00B67D16" w:rsidRDefault="00B67D16">
        <w:pPr>
          <w:pStyle w:val="AltBilgi"/>
          <w:jc w:val="center"/>
        </w:pPr>
        <w:r>
          <w:fldChar w:fldCharType="begin"/>
        </w:r>
        <w:r>
          <w:instrText>PAGE   \* MERGEFORMAT</w:instrText>
        </w:r>
        <w:r>
          <w:fldChar w:fldCharType="separate"/>
        </w:r>
        <w:r w:rsidR="00FD0F3C">
          <w:rPr>
            <w:noProof/>
          </w:rPr>
          <w:t>437</w:t>
        </w:r>
        <w:r>
          <w:fldChar w:fldCharType="end"/>
        </w:r>
      </w:p>
    </w:sdtContent>
  </w:sdt>
  <w:p w14:paraId="5FE9B721" w14:textId="77777777" w:rsidR="00B67D16" w:rsidRDefault="00B67D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9C168" w14:textId="77777777" w:rsidR="004E19BC" w:rsidRDefault="004E19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3BD26" w14:textId="77777777" w:rsidR="00F64EE2" w:rsidRDefault="00F64EE2" w:rsidP="008B00EF">
      <w:pPr>
        <w:spacing w:line="240" w:lineRule="auto"/>
      </w:pPr>
      <w:r>
        <w:separator/>
      </w:r>
    </w:p>
  </w:footnote>
  <w:footnote w:type="continuationSeparator" w:id="0">
    <w:p w14:paraId="26E9FFD2" w14:textId="77777777" w:rsidR="00F64EE2" w:rsidRDefault="00F64EE2" w:rsidP="008B00EF">
      <w:pPr>
        <w:spacing w:line="240" w:lineRule="auto"/>
      </w:pPr>
      <w:r>
        <w:continuationSeparator/>
      </w:r>
    </w:p>
  </w:footnote>
  <w:footnote w:id="1">
    <w:p w14:paraId="700B7390" w14:textId="3172BB09" w:rsidR="00B67D16" w:rsidRDefault="00B67D16" w:rsidP="006A1C99">
      <w:pPr>
        <w:pStyle w:val="DipnotMetni"/>
        <w:jc w:val="both"/>
        <w:rPr>
          <w:rFonts w:ascii="Times New Roman" w:hAnsi="Times New Roman" w:cs="Times New Roman"/>
        </w:rPr>
      </w:pPr>
      <w:r w:rsidRPr="00A65615">
        <w:rPr>
          <w:rStyle w:val="DipnotBavurusu"/>
          <w:rFonts w:ascii="Times New Roman" w:hAnsi="Times New Roman" w:cs="Times New Roman"/>
        </w:rPr>
        <w:footnoteRef/>
      </w:r>
      <w:r w:rsidRPr="00A65615">
        <w:rPr>
          <w:rFonts w:ascii="Times New Roman" w:hAnsi="Times New Roman" w:cs="Times New Roman"/>
        </w:rPr>
        <w:t xml:space="preserve"> Bu çalışmanın bir kısmı XIII. Ulusal Fen Bilimleri ve Matematik Eğitimi Kongresi 2018 (UFBMEK 2018)’de sözlü bildiri olarak sunulmuştur.</w:t>
      </w:r>
    </w:p>
    <w:p w14:paraId="197E04D0" w14:textId="53FA566E" w:rsidR="00B67D16" w:rsidRPr="00A65615" w:rsidRDefault="00B67D16" w:rsidP="006A1C99">
      <w:pPr>
        <w:pStyle w:val="DipnotMetni"/>
        <w:jc w:val="both"/>
        <w:rPr>
          <w:rFonts w:ascii="Times New Roman" w:hAnsi="Times New Roman" w:cs="Times New Roman"/>
        </w:rPr>
      </w:pPr>
      <w:r>
        <w:rPr>
          <w:rFonts w:ascii="Times New Roman" w:hAnsi="Times New Roman" w:cs="Times New Roman"/>
        </w:rPr>
        <w:t xml:space="preserve">   </w:t>
      </w:r>
      <w:r w:rsidRPr="00A65615">
        <w:rPr>
          <w:rFonts w:ascii="Times New Roman" w:hAnsi="Times New Roman" w:cs="Times New Roman"/>
        </w:rPr>
        <w:t>Bu araştırma için Tokat Gaziosmanpaşa Üniversitesi Sosyal ve Beşeri Bilimler Araştırmaları Etik Kurulu’ndan (02/04/2021 tarih ve 01-29 sayısı) etik izin alınmıştır.</w:t>
      </w:r>
    </w:p>
    <w:p w14:paraId="025D3E72" w14:textId="52652076" w:rsidR="00B67D16" w:rsidRDefault="00B67D16" w:rsidP="006A1C99">
      <w:pPr>
        <w:pStyle w:val="DipnotMetni"/>
        <w:jc w:val="both"/>
        <w:rPr>
          <w:rFonts w:ascii="Times New Roman" w:hAnsi="Times New Roman" w:cs="Times New Roman"/>
        </w:rPr>
      </w:pPr>
      <w:r w:rsidRPr="00A65615">
        <w:rPr>
          <w:rFonts w:ascii="Times New Roman" w:hAnsi="Times New Roman" w:cs="Times New Roman"/>
          <w:vertAlign w:val="superscript"/>
        </w:rPr>
        <w:t>**</w:t>
      </w:r>
      <w:r w:rsidRPr="00A65615">
        <w:rPr>
          <w:rFonts w:ascii="Times New Roman" w:hAnsi="Times New Roman" w:cs="Times New Roman"/>
        </w:rPr>
        <w:t xml:space="preserve">Dr. Öğr. Üyesi Tokat Gaziosmanpaşa Üniversitesi, Eğitim Fakültesi, Matematik ve Fen Bilimleri Eğitimi Bölümü, </w:t>
      </w:r>
      <w:proofErr w:type="spellStart"/>
      <w:r w:rsidRPr="00A65615">
        <w:rPr>
          <w:rFonts w:ascii="Times New Roman" w:hAnsi="Times New Roman" w:cs="Times New Roman"/>
        </w:rPr>
        <w:t>Email</w:t>
      </w:r>
      <w:proofErr w:type="spellEnd"/>
      <w:r w:rsidRPr="00A65615">
        <w:rPr>
          <w:rFonts w:ascii="Times New Roman" w:hAnsi="Times New Roman" w:cs="Times New Roman"/>
        </w:rPr>
        <w:t>:</w:t>
      </w:r>
      <w:r>
        <w:rPr>
          <w:rFonts w:ascii="Times New Roman" w:hAnsi="Times New Roman" w:cs="Times New Roman"/>
        </w:rPr>
        <w:t xml:space="preserve"> </w:t>
      </w:r>
      <w:r w:rsidRPr="00A65615">
        <w:rPr>
          <w:rFonts w:ascii="Times New Roman" w:hAnsi="Times New Roman" w:cs="Times New Roman"/>
        </w:rPr>
        <w:t>dekant.kiran@gop.edu.</w:t>
      </w:r>
      <w:proofErr w:type="gramStart"/>
      <w:r w:rsidRPr="00A65615">
        <w:rPr>
          <w:rFonts w:ascii="Times New Roman" w:hAnsi="Times New Roman" w:cs="Times New Roman"/>
        </w:rPr>
        <w:t xml:space="preserve">tr  </w:t>
      </w:r>
      <w:proofErr w:type="spellStart"/>
      <w:r w:rsidRPr="00A65615">
        <w:rPr>
          <w:rFonts w:ascii="Times New Roman" w:hAnsi="Times New Roman" w:cs="Times New Roman"/>
        </w:rPr>
        <w:t>Orcid</w:t>
      </w:r>
      <w:proofErr w:type="spellEnd"/>
      <w:proofErr w:type="gramEnd"/>
      <w:r w:rsidRPr="00A65615">
        <w:rPr>
          <w:rFonts w:ascii="Times New Roman" w:hAnsi="Times New Roman" w:cs="Times New Roman"/>
        </w:rPr>
        <w:t xml:space="preserve"> No: 0000-0002-9236-5386.</w:t>
      </w:r>
    </w:p>
    <w:p w14:paraId="7DABBE17" w14:textId="42D88D31" w:rsidR="00B67D16" w:rsidRPr="00B20188" w:rsidRDefault="00B67D16" w:rsidP="00B67151">
      <w:pPr>
        <w:pStyle w:val="DipnotMetni"/>
        <w:rPr>
          <w:color w:val="605E5C"/>
          <w:shd w:val="clear" w:color="auto" w:fill="FFFFFF"/>
        </w:rPr>
      </w:pPr>
      <w:r w:rsidRPr="00B20188">
        <w:rPr>
          <w:b/>
          <w:i/>
        </w:rPr>
        <w:t>___________________________________________________________________________________</w:t>
      </w:r>
      <w:r>
        <w:rPr>
          <w:b/>
          <w:i/>
        </w:rPr>
        <w:t>_____</w:t>
      </w:r>
      <w:r w:rsidRPr="00B20188">
        <w:rPr>
          <w:b/>
          <w:i/>
        </w:rPr>
        <w:br/>
      </w:r>
      <w:r w:rsidRPr="00B67151">
        <w:rPr>
          <w:rFonts w:ascii="Times New Roman" w:hAnsi="Times New Roman" w:cs="Times New Roman"/>
          <w:b/>
          <w:i/>
        </w:rPr>
        <w:t>Gönderim:</w:t>
      </w:r>
      <w:r>
        <w:rPr>
          <w:rFonts w:ascii="Times New Roman" w:hAnsi="Times New Roman" w:cs="Times New Roman"/>
          <w:i/>
        </w:rPr>
        <w:t>31</w:t>
      </w:r>
      <w:r w:rsidRPr="00B67151">
        <w:rPr>
          <w:rFonts w:ascii="Times New Roman" w:hAnsi="Times New Roman" w:cs="Times New Roman"/>
          <w:i/>
        </w:rPr>
        <w:t>.0</w:t>
      </w:r>
      <w:r>
        <w:rPr>
          <w:rFonts w:ascii="Times New Roman" w:hAnsi="Times New Roman" w:cs="Times New Roman"/>
          <w:i/>
        </w:rPr>
        <w:t>7</w:t>
      </w:r>
      <w:r w:rsidRPr="00B67151">
        <w:rPr>
          <w:rFonts w:ascii="Times New Roman" w:hAnsi="Times New Roman" w:cs="Times New Roman"/>
          <w:i/>
        </w:rPr>
        <w:t>.202</w:t>
      </w:r>
      <w:r w:rsidR="007B635C">
        <w:rPr>
          <w:rFonts w:ascii="Times New Roman" w:hAnsi="Times New Roman" w:cs="Times New Roman"/>
          <w:i/>
        </w:rPr>
        <w:t>1</w:t>
      </w:r>
      <w:r w:rsidRPr="00B67151">
        <w:rPr>
          <w:rFonts w:ascii="Times New Roman" w:hAnsi="Times New Roman" w:cs="Times New Roman"/>
          <w:i/>
        </w:rPr>
        <w:t>                        </w:t>
      </w:r>
      <w:r w:rsidRPr="00B67151">
        <w:rPr>
          <w:rFonts w:ascii="Times New Roman" w:hAnsi="Times New Roman" w:cs="Times New Roman"/>
          <w:b/>
          <w:i/>
        </w:rPr>
        <w:t>Kabul:</w:t>
      </w:r>
      <w:r w:rsidRPr="00B67151">
        <w:rPr>
          <w:rFonts w:ascii="Times New Roman" w:hAnsi="Times New Roman" w:cs="Times New Roman"/>
          <w:i/>
        </w:rPr>
        <w:t xml:space="preserve"> 20.09.2021                                        </w:t>
      </w:r>
      <w:r w:rsidRPr="00B67151">
        <w:rPr>
          <w:rFonts w:ascii="Times New Roman" w:hAnsi="Times New Roman" w:cs="Times New Roman"/>
          <w:b/>
          <w:i/>
        </w:rPr>
        <w:t>Yayın</w:t>
      </w:r>
      <w:r w:rsidRPr="00B67151">
        <w:rPr>
          <w:rFonts w:ascii="Times New Roman" w:hAnsi="Times New Roman" w:cs="Times New Roman"/>
          <w:i/>
        </w:rPr>
        <w:t>:15.12.2021 ________________________________________________________________________________________</w:t>
      </w:r>
    </w:p>
    <w:p w14:paraId="7EA0449C" w14:textId="77777777" w:rsidR="00B67D16" w:rsidRDefault="00B67D16" w:rsidP="006A1C99">
      <w:pPr>
        <w:pStyle w:val="DipnotMetni"/>
        <w:jc w:val="both"/>
        <w:rPr>
          <w:rFonts w:ascii="Times New Roman" w:hAnsi="Times New Roman" w:cs="Times New Roman"/>
        </w:rPr>
      </w:pPr>
    </w:p>
    <w:p w14:paraId="4E315AE1" w14:textId="3F17DA8B" w:rsidR="00B67D16" w:rsidRPr="00A65615" w:rsidRDefault="00B67D16" w:rsidP="006A1C99">
      <w:pPr>
        <w:pStyle w:val="DipnotMetni"/>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257E" w14:textId="77777777" w:rsidR="004E19BC" w:rsidRDefault="004E19B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F82F" w14:textId="77777777" w:rsidR="00FD0F3C" w:rsidRDefault="00B67D16" w:rsidP="003D30C9">
    <w:pPr>
      <w:pStyle w:val="stBilgi"/>
      <w:rPr>
        <w:color w:val="352CE6"/>
        <w:sz w:val="18"/>
        <w:szCs w:val="18"/>
        <w:u w:val="single"/>
      </w:rPr>
    </w:pPr>
    <w:r w:rsidRPr="00D41955">
      <w:rPr>
        <w:noProof/>
        <w:sz w:val="18"/>
        <w:szCs w:val="18"/>
        <w:lang w:eastAsia="tr-TR"/>
      </w:rPr>
      <w:drawing>
        <wp:anchor distT="0" distB="0" distL="114300" distR="114300" simplePos="0" relativeHeight="251659264" behindDoc="0" locked="0" layoutInCell="1" allowOverlap="1" wp14:anchorId="6E7D030D" wp14:editId="4CEAF685">
          <wp:simplePos x="0" y="0"/>
          <wp:positionH relativeFrom="page">
            <wp:posOffset>-13970</wp:posOffset>
          </wp:positionH>
          <wp:positionV relativeFrom="page">
            <wp:posOffset>28575</wp:posOffset>
          </wp:positionV>
          <wp:extent cx="904875" cy="980440"/>
          <wp:effectExtent l="0" t="0" r="9525" b="0"/>
          <wp:wrapNone/>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1955">
      <w:rPr>
        <w:i/>
        <w:sz w:val="18"/>
        <w:szCs w:val="18"/>
      </w:rPr>
      <w:t>YYÜ Eğitim Fakültesi Dergisi (YYU Journal of Education Faculty), 2021;18(2)</w:t>
    </w:r>
    <w:r>
      <w:rPr>
        <w:i/>
        <w:sz w:val="18"/>
        <w:szCs w:val="18"/>
      </w:rPr>
      <w:t>437-462</w:t>
    </w:r>
    <w:r w:rsidRPr="00D41955">
      <w:rPr>
        <w:i/>
        <w:sz w:val="18"/>
        <w:szCs w:val="18"/>
      </w:rPr>
      <w:t>,</w:t>
    </w:r>
    <w:hyperlink r:id="rId2" w:history="1">
      <w:r w:rsidRPr="00D41955">
        <w:rPr>
          <w:rStyle w:val="Kpr"/>
          <w:i/>
        </w:rPr>
        <w:t>http://efdergi.yyu.edu.tr</w:t>
      </w:r>
    </w:hyperlink>
    <w:r w:rsidRPr="00D41955">
      <w:rPr>
        <w:i/>
        <w:sz w:val="18"/>
        <w:szCs w:val="18"/>
      </w:rPr>
      <w:t>,</w:t>
    </w:r>
    <w:r w:rsidRPr="00D41955">
      <w:rPr>
        <w:i/>
        <w:sz w:val="18"/>
        <w:szCs w:val="18"/>
      </w:rPr>
      <w:br/>
    </w:r>
    <w:r w:rsidR="00FD0F3C">
      <w:rPr>
        <w:color w:val="352CE6"/>
        <w:sz w:val="18"/>
        <w:szCs w:val="18"/>
        <w:u w:val="single"/>
      </w:rPr>
      <w:t xml:space="preserve"> </w:t>
    </w:r>
  </w:p>
  <w:p w14:paraId="58E54460" w14:textId="7B465B92" w:rsidR="00B67D16" w:rsidRPr="00D41955" w:rsidRDefault="004E19BC" w:rsidP="003D30C9">
    <w:pPr>
      <w:pStyle w:val="stBilgi"/>
      <w:rPr>
        <w:sz w:val="18"/>
        <w:szCs w:val="18"/>
      </w:rPr>
    </w:pPr>
    <w:bookmarkStart w:id="5" w:name="_GoBack"/>
    <w:bookmarkEnd w:id="5"/>
    <w:r>
      <w:rPr>
        <w:b/>
        <w:sz w:val="18"/>
        <w:szCs w:val="18"/>
      </w:rPr>
      <w:t>doi:10.33711/</w:t>
    </w:r>
    <w:r w:rsidRPr="004E19BC">
      <w:rPr>
        <w:b/>
        <w:sz w:val="18"/>
        <w:szCs w:val="18"/>
      </w:rPr>
      <w:t>yyuefd.1029057</w:t>
    </w:r>
    <w:r w:rsidR="00B67D16" w:rsidRPr="00D41955">
      <w:rPr>
        <w:b/>
        <w:sz w:val="18"/>
        <w:szCs w:val="18"/>
      </w:rPr>
      <w:t xml:space="preserve">                                        </w:t>
    </w:r>
    <w:r w:rsidR="007B635C">
      <w:rPr>
        <w:b/>
        <w:sz w:val="18"/>
        <w:szCs w:val="18"/>
      </w:rPr>
      <w:t>Araştırma</w:t>
    </w:r>
    <w:r w:rsidR="00B67D16" w:rsidRPr="00D41955">
      <w:rPr>
        <w:b/>
        <w:sz w:val="18"/>
        <w:szCs w:val="18"/>
      </w:rPr>
      <w:t xml:space="preserve"> Makalesi                                          ISSN: 1305-2020</w:t>
    </w:r>
    <w:r w:rsidR="00B67D16">
      <w:rPr>
        <w:b/>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D4CF5" w14:textId="77777777" w:rsidR="004E19BC" w:rsidRDefault="004E19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2sDA3NjCxNDE0NTFT0lEKTi0uzszPAykwMq4FALNJ/XwtAAAA"/>
  </w:docVars>
  <w:rsids>
    <w:rsidRoot w:val="00964BF9"/>
    <w:rsid w:val="000002E6"/>
    <w:rsid w:val="00001058"/>
    <w:rsid w:val="000015A0"/>
    <w:rsid w:val="000066F4"/>
    <w:rsid w:val="0001586F"/>
    <w:rsid w:val="00023346"/>
    <w:rsid w:val="00025A1E"/>
    <w:rsid w:val="00031F15"/>
    <w:rsid w:val="00031F47"/>
    <w:rsid w:val="00035A33"/>
    <w:rsid w:val="0003720E"/>
    <w:rsid w:val="00040FA4"/>
    <w:rsid w:val="00042D15"/>
    <w:rsid w:val="0005512F"/>
    <w:rsid w:val="000618FE"/>
    <w:rsid w:val="00061C54"/>
    <w:rsid w:val="00073470"/>
    <w:rsid w:val="000752EE"/>
    <w:rsid w:val="000803DF"/>
    <w:rsid w:val="00082F09"/>
    <w:rsid w:val="00092683"/>
    <w:rsid w:val="000941C1"/>
    <w:rsid w:val="00095109"/>
    <w:rsid w:val="000A5D37"/>
    <w:rsid w:val="000A70F5"/>
    <w:rsid w:val="000B5870"/>
    <w:rsid w:val="000B77BC"/>
    <w:rsid w:val="000C62D3"/>
    <w:rsid w:val="000C6B37"/>
    <w:rsid w:val="000D5127"/>
    <w:rsid w:val="000D58DC"/>
    <w:rsid w:val="000D641A"/>
    <w:rsid w:val="000E0F89"/>
    <w:rsid w:val="000E21F1"/>
    <w:rsid w:val="000E2D38"/>
    <w:rsid w:val="000E4922"/>
    <w:rsid w:val="000E4AEB"/>
    <w:rsid w:val="000E52A7"/>
    <w:rsid w:val="000E6E78"/>
    <w:rsid w:val="000E79DA"/>
    <w:rsid w:val="000F191E"/>
    <w:rsid w:val="0010011D"/>
    <w:rsid w:val="00101043"/>
    <w:rsid w:val="00101E17"/>
    <w:rsid w:val="0010344C"/>
    <w:rsid w:val="00106574"/>
    <w:rsid w:val="0011173F"/>
    <w:rsid w:val="00114D7B"/>
    <w:rsid w:val="00117871"/>
    <w:rsid w:val="00122F38"/>
    <w:rsid w:val="00125D58"/>
    <w:rsid w:val="0012713F"/>
    <w:rsid w:val="00127A25"/>
    <w:rsid w:val="00127C16"/>
    <w:rsid w:val="001321C1"/>
    <w:rsid w:val="001335D6"/>
    <w:rsid w:val="00135FFF"/>
    <w:rsid w:val="0013646E"/>
    <w:rsid w:val="00143D4C"/>
    <w:rsid w:val="00151E1C"/>
    <w:rsid w:val="00157DCB"/>
    <w:rsid w:val="001609D6"/>
    <w:rsid w:val="00161FA1"/>
    <w:rsid w:val="0016216A"/>
    <w:rsid w:val="001661CA"/>
    <w:rsid w:val="001676F7"/>
    <w:rsid w:val="00170950"/>
    <w:rsid w:val="00174458"/>
    <w:rsid w:val="0017564A"/>
    <w:rsid w:val="001826BA"/>
    <w:rsid w:val="00186B15"/>
    <w:rsid w:val="001902B5"/>
    <w:rsid w:val="0019034F"/>
    <w:rsid w:val="00190C10"/>
    <w:rsid w:val="00191576"/>
    <w:rsid w:val="00191B8D"/>
    <w:rsid w:val="00195117"/>
    <w:rsid w:val="001A199E"/>
    <w:rsid w:val="001B0362"/>
    <w:rsid w:val="001B1204"/>
    <w:rsid w:val="001B1BF7"/>
    <w:rsid w:val="001B2861"/>
    <w:rsid w:val="001B5AD1"/>
    <w:rsid w:val="001C0088"/>
    <w:rsid w:val="001C2264"/>
    <w:rsid w:val="001C5446"/>
    <w:rsid w:val="001D1F90"/>
    <w:rsid w:val="001D35B7"/>
    <w:rsid w:val="001E15B9"/>
    <w:rsid w:val="001F13E6"/>
    <w:rsid w:val="001F16FE"/>
    <w:rsid w:val="001F331E"/>
    <w:rsid w:val="001F4BC0"/>
    <w:rsid w:val="001F4D5B"/>
    <w:rsid w:val="001F55F0"/>
    <w:rsid w:val="001F627A"/>
    <w:rsid w:val="00202E79"/>
    <w:rsid w:val="00212402"/>
    <w:rsid w:val="00213A0A"/>
    <w:rsid w:val="00215BAD"/>
    <w:rsid w:val="002170BF"/>
    <w:rsid w:val="00221587"/>
    <w:rsid w:val="00222D68"/>
    <w:rsid w:val="002234B3"/>
    <w:rsid w:val="002316FB"/>
    <w:rsid w:val="00236F44"/>
    <w:rsid w:val="00241EB2"/>
    <w:rsid w:val="00250531"/>
    <w:rsid w:val="00262251"/>
    <w:rsid w:val="00272C77"/>
    <w:rsid w:val="002743F5"/>
    <w:rsid w:val="002870D3"/>
    <w:rsid w:val="002907BF"/>
    <w:rsid w:val="002922DF"/>
    <w:rsid w:val="00295BEA"/>
    <w:rsid w:val="002960E2"/>
    <w:rsid w:val="00296FCB"/>
    <w:rsid w:val="002A62B7"/>
    <w:rsid w:val="002B397B"/>
    <w:rsid w:val="002B39F9"/>
    <w:rsid w:val="002B6CB8"/>
    <w:rsid w:val="002B7EB6"/>
    <w:rsid w:val="002C439D"/>
    <w:rsid w:val="002C459E"/>
    <w:rsid w:val="002D2620"/>
    <w:rsid w:val="002D7262"/>
    <w:rsid w:val="002E13F1"/>
    <w:rsid w:val="002E32A6"/>
    <w:rsid w:val="002F18AA"/>
    <w:rsid w:val="002F1C55"/>
    <w:rsid w:val="002F3317"/>
    <w:rsid w:val="002F52C1"/>
    <w:rsid w:val="002F6757"/>
    <w:rsid w:val="002F6E80"/>
    <w:rsid w:val="003115FD"/>
    <w:rsid w:val="00312F25"/>
    <w:rsid w:val="00315084"/>
    <w:rsid w:val="00315892"/>
    <w:rsid w:val="00315CC7"/>
    <w:rsid w:val="00317D4B"/>
    <w:rsid w:val="003266C7"/>
    <w:rsid w:val="003275CB"/>
    <w:rsid w:val="00330A2A"/>
    <w:rsid w:val="003326AD"/>
    <w:rsid w:val="00333E0B"/>
    <w:rsid w:val="0033614E"/>
    <w:rsid w:val="00340490"/>
    <w:rsid w:val="003434C2"/>
    <w:rsid w:val="00343C16"/>
    <w:rsid w:val="0034566A"/>
    <w:rsid w:val="00345A72"/>
    <w:rsid w:val="0034770D"/>
    <w:rsid w:val="00347EF0"/>
    <w:rsid w:val="00350266"/>
    <w:rsid w:val="0035604F"/>
    <w:rsid w:val="003575C1"/>
    <w:rsid w:val="00365117"/>
    <w:rsid w:val="0036522C"/>
    <w:rsid w:val="003723D7"/>
    <w:rsid w:val="00375AB7"/>
    <w:rsid w:val="0037621A"/>
    <w:rsid w:val="00377A16"/>
    <w:rsid w:val="00380BEA"/>
    <w:rsid w:val="00387F6F"/>
    <w:rsid w:val="00391F1F"/>
    <w:rsid w:val="00392DD6"/>
    <w:rsid w:val="0039726C"/>
    <w:rsid w:val="003A1C6A"/>
    <w:rsid w:val="003A2B4B"/>
    <w:rsid w:val="003A2CFC"/>
    <w:rsid w:val="003A313A"/>
    <w:rsid w:val="003A621C"/>
    <w:rsid w:val="003B0AEC"/>
    <w:rsid w:val="003C4928"/>
    <w:rsid w:val="003C7E06"/>
    <w:rsid w:val="003D30C9"/>
    <w:rsid w:val="003D601F"/>
    <w:rsid w:val="003D7243"/>
    <w:rsid w:val="003D7E8E"/>
    <w:rsid w:val="003E28F4"/>
    <w:rsid w:val="003E296D"/>
    <w:rsid w:val="003E5F93"/>
    <w:rsid w:val="003E6737"/>
    <w:rsid w:val="003F046E"/>
    <w:rsid w:val="003F7D06"/>
    <w:rsid w:val="004274CE"/>
    <w:rsid w:val="00427C68"/>
    <w:rsid w:val="00427DE3"/>
    <w:rsid w:val="004308B5"/>
    <w:rsid w:val="00431888"/>
    <w:rsid w:val="00433456"/>
    <w:rsid w:val="00433D1A"/>
    <w:rsid w:val="00444DE7"/>
    <w:rsid w:val="00445E6F"/>
    <w:rsid w:val="0044784D"/>
    <w:rsid w:val="0045172F"/>
    <w:rsid w:val="00452287"/>
    <w:rsid w:val="00452673"/>
    <w:rsid w:val="00455A92"/>
    <w:rsid w:val="00456671"/>
    <w:rsid w:val="004603DE"/>
    <w:rsid w:val="004607BD"/>
    <w:rsid w:val="004718A8"/>
    <w:rsid w:val="00474B85"/>
    <w:rsid w:val="004844DD"/>
    <w:rsid w:val="00491B61"/>
    <w:rsid w:val="004A01FF"/>
    <w:rsid w:val="004A0BBB"/>
    <w:rsid w:val="004A1C85"/>
    <w:rsid w:val="004A7AF3"/>
    <w:rsid w:val="004B27B2"/>
    <w:rsid w:val="004B3127"/>
    <w:rsid w:val="004B426F"/>
    <w:rsid w:val="004B6D50"/>
    <w:rsid w:val="004C1910"/>
    <w:rsid w:val="004C65A4"/>
    <w:rsid w:val="004D2366"/>
    <w:rsid w:val="004D51BC"/>
    <w:rsid w:val="004D595C"/>
    <w:rsid w:val="004E0014"/>
    <w:rsid w:val="004E19BC"/>
    <w:rsid w:val="004E1F40"/>
    <w:rsid w:val="004E272C"/>
    <w:rsid w:val="004F6C9F"/>
    <w:rsid w:val="004F77E1"/>
    <w:rsid w:val="00500870"/>
    <w:rsid w:val="005015D9"/>
    <w:rsid w:val="00504A97"/>
    <w:rsid w:val="0051225B"/>
    <w:rsid w:val="0051426D"/>
    <w:rsid w:val="00527E6F"/>
    <w:rsid w:val="00530E5C"/>
    <w:rsid w:val="00540832"/>
    <w:rsid w:val="00541AC9"/>
    <w:rsid w:val="005425EE"/>
    <w:rsid w:val="00545757"/>
    <w:rsid w:val="00547C53"/>
    <w:rsid w:val="00547FA7"/>
    <w:rsid w:val="00551768"/>
    <w:rsid w:val="00553674"/>
    <w:rsid w:val="00554906"/>
    <w:rsid w:val="00561FDB"/>
    <w:rsid w:val="00575BFD"/>
    <w:rsid w:val="005778D3"/>
    <w:rsid w:val="005829AB"/>
    <w:rsid w:val="00590C21"/>
    <w:rsid w:val="0059123D"/>
    <w:rsid w:val="00595D05"/>
    <w:rsid w:val="0059766E"/>
    <w:rsid w:val="005A1879"/>
    <w:rsid w:val="005C056C"/>
    <w:rsid w:val="005C2198"/>
    <w:rsid w:val="005D1E32"/>
    <w:rsid w:val="005D518C"/>
    <w:rsid w:val="005D55D0"/>
    <w:rsid w:val="005D761E"/>
    <w:rsid w:val="005D767B"/>
    <w:rsid w:val="005E1166"/>
    <w:rsid w:val="005E52CA"/>
    <w:rsid w:val="005F1578"/>
    <w:rsid w:val="005F3B21"/>
    <w:rsid w:val="005F5403"/>
    <w:rsid w:val="005F6531"/>
    <w:rsid w:val="005F7899"/>
    <w:rsid w:val="006004D1"/>
    <w:rsid w:val="00601242"/>
    <w:rsid w:val="00601C0B"/>
    <w:rsid w:val="00602338"/>
    <w:rsid w:val="00602463"/>
    <w:rsid w:val="00602944"/>
    <w:rsid w:val="006160D7"/>
    <w:rsid w:val="00616335"/>
    <w:rsid w:val="00616BF3"/>
    <w:rsid w:val="00620439"/>
    <w:rsid w:val="00622545"/>
    <w:rsid w:val="00627255"/>
    <w:rsid w:val="00627BC0"/>
    <w:rsid w:val="00630FF4"/>
    <w:rsid w:val="00637196"/>
    <w:rsid w:val="00652F75"/>
    <w:rsid w:val="0065425F"/>
    <w:rsid w:val="006572A7"/>
    <w:rsid w:val="00661673"/>
    <w:rsid w:val="00661E54"/>
    <w:rsid w:val="00676AA0"/>
    <w:rsid w:val="006805E1"/>
    <w:rsid w:val="00681F66"/>
    <w:rsid w:val="00685ECA"/>
    <w:rsid w:val="006A1C99"/>
    <w:rsid w:val="006A40B6"/>
    <w:rsid w:val="006B4205"/>
    <w:rsid w:val="006B5036"/>
    <w:rsid w:val="006B7079"/>
    <w:rsid w:val="006B72B5"/>
    <w:rsid w:val="006C0630"/>
    <w:rsid w:val="006C2859"/>
    <w:rsid w:val="006C6B32"/>
    <w:rsid w:val="006D0EDF"/>
    <w:rsid w:val="006D40D4"/>
    <w:rsid w:val="006D4A97"/>
    <w:rsid w:val="006D6426"/>
    <w:rsid w:val="006E2835"/>
    <w:rsid w:val="006E4E58"/>
    <w:rsid w:val="006E636F"/>
    <w:rsid w:val="00703F3F"/>
    <w:rsid w:val="00707F84"/>
    <w:rsid w:val="00712B40"/>
    <w:rsid w:val="007156AA"/>
    <w:rsid w:val="00715FEA"/>
    <w:rsid w:val="00722B3D"/>
    <w:rsid w:val="00730E04"/>
    <w:rsid w:val="00731C70"/>
    <w:rsid w:val="0073388F"/>
    <w:rsid w:val="00734370"/>
    <w:rsid w:val="00736F14"/>
    <w:rsid w:val="00737584"/>
    <w:rsid w:val="00740B8F"/>
    <w:rsid w:val="00746879"/>
    <w:rsid w:val="00750820"/>
    <w:rsid w:val="007513FB"/>
    <w:rsid w:val="00752BE1"/>
    <w:rsid w:val="0075465E"/>
    <w:rsid w:val="00760311"/>
    <w:rsid w:val="00761EDF"/>
    <w:rsid w:val="0076565F"/>
    <w:rsid w:val="007704FC"/>
    <w:rsid w:val="00773599"/>
    <w:rsid w:val="0077650A"/>
    <w:rsid w:val="00776E50"/>
    <w:rsid w:val="00777DBD"/>
    <w:rsid w:val="007810E1"/>
    <w:rsid w:val="00784F10"/>
    <w:rsid w:val="0079400E"/>
    <w:rsid w:val="0079718D"/>
    <w:rsid w:val="007A0AE5"/>
    <w:rsid w:val="007A43EB"/>
    <w:rsid w:val="007B2842"/>
    <w:rsid w:val="007B3028"/>
    <w:rsid w:val="007B3C9C"/>
    <w:rsid w:val="007B41E2"/>
    <w:rsid w:val="007B635C"/>
    <w:rsid w:val="007C11CF"/>
    <w:rsid w:val="007C1E05"/>
    <w:rsid w:val="007C31EC"/>
    <w:rsid w:val="007C3B1A"/>
    <w:rsid w:val="007C6471"/>
    <w:rsid w:val="007D231B"/>
    <w:rsid w:val="007E086C"/>
    <w:rsid w:val="007F445B"/>
    <w:rsid w:val="007F591E"/>
    <w:rsid w:val="00806D5B"/>
    <w:rsid w:val="00812F8D"/>
    <w:rsid w:val="00813A79"/>
    <w:rsid w:val="008156FD"/>
    <w:rsid w:val="00816C37"/>
    <w:rsid w:val="0082254B"/>
    <w:rsid w:val="00827711"/>
    <w:rsid w:val="00834075"/>
    <w:rsid w:val="00835B32"/>
    <w:rsid w:val="00837F9C"/>
    <w:rsid w:val="00840A50"/>
    <w:rsid w:val="0084648D"/>
    <w:rsid w:val="00855CD9"/>
    <w:rsid w:val="00867EF4"/>
    <w:rsid w:val="0087051C"/>
    <w:rsid w:val="00870621"/>
    <w:rsid w:val="008748DD"/>
    <w:rsid w:val="00880549"/>
    <w:rsid w:val="00881F94"/>
    <w:rsid w:val="00890D40"/>
    <w:rsid w:val="008A1C7C"/>
    <w:rsid w:val="008A38B1"/>
    <w:rsid w:val="008A42B5"/>
    <w:rsid w:val="008A7232"/>
    <w:rsid w:val="008B00EF"/>
    <w:rsid w:val="008B51CC"/>
    <w:rsid w:val="008D2DF4"/>
    <w:rsid w:val="008D2F58"/>
    <w:rsid w:val="008D4871"/>
    <w:rsid w:val="008D5F5F"/>
    <w:rsid w:val="008D7165"/>
    <w:rsid w:val="008D769A"/>
    <w:rsid w:val="008E0638"/>
    <w:rsid w:val="008E0EF2"/>
    <w:rsid w:val="008E20BC"/>
    <w:rsid w:val="008E79BF"/>
    <w:rsid w:val="008F442B"/>
    <w:rsid w:val="008F6083"/>
    <w:rsid w:val="008F642B"/>
    <w:rsid w:val="0090123A"/>
    <w:rsid w:val="0090388F"/>
    <w:rsid w:val="00905A2A"/>
    <w:rsid w:val="00907F56"/>
    <w:rsid w:val="009101BB"/>
    <w:rsid w:val="009131A7"/>
    <w:rsid w:val="00914D77"/>
    <w:rsid w:val="00920134"/>
    <w:rsid w:val="0092123D"/>
    <w:rsid w:val="00921AF0"/>
    <w:rsid w:val="00922C85"/>
    <w:rsid w:val="00924A18"/>
    <w:rsid w:val="00933C91"/>
    <w:rsid w:val="009344C9"/>
    <w:rsid w:val="009352DD"/>
    <w:rsid w:val="0093798E"/>
    <w:rsid w:val="00944972"/>
    <w:rsid w:val="00961357"/>
    <w:rsid w:val="00964BF9"/>
    <w:rsid w:val="00972505"/>
    <w:rsid w:val="0097414B"/>
    <w:rsid w:val="00976A70"/>
    <w:rsid w:val="00980C77"/>
    <w:rsid w:val="009826DC"/>
    <w:rsid w:val="009A0646"/>
    <w:rsid w:val="009A68C4"/>
    <w:rsid w:val="009B3E6F"/>
    <w:rsid w:val="009B4340"/>
    <w:rsid w:val="009B46A5"/>
    <w:rsid w:val="009B485D"/>
    <w:rsid w:val="009B648B"/>
    <w:rsid w:val="009C2C70"/>
    <w:rsid w:val="009D0C37"/>
    <w:rsid w:val="009D304D"/>
    <w:rsid w:val="009D4D56"/>
    <w:rsid w:val="009D5129"/>
    <w:rsid w:val="009D6903"/>
    <w:rsid w:val="009E391B"/>
    <w:rsid w:val="009E486E"/>
    <w:rsid w:val="009E675F"/>
    <w:rsid w:val="009F23BF"/>
    <w:rsid w:val="00A007A3"/>
    <w:rsid w:val="00A03F35"/>
    <w:rsid w:val="00A12165"/>
    <w:rsid w:val="00A12FA1"/>
    <w:rsid w:val="00A20F1A"/>
    <w:rsid w:val="00A3264B"/>
    <w:rsid w:val="00A328F5"/>
    <w:rsid w:val="00A40476"/>
    <w:rsid w:val="00A4064C"/>
    <w:rsid w:val="00A415AF"/>
    <w:rsid w:val="00A43D89"/>
    <w:rsid w:val="00A4426F"/>
    <w:rsid w:val="00A44B16"/>
    <w:rsid w:val="00A46EFB"/>
    <w:rsid w:val="00A5235D"/>
    <w:rsid w:val="00A55600"/>
    <w:rsid w:val="00A56ACE"/>
    <w:rsid w:val="00A65615"/>
    <w:rsid w:val="00A6568A"/>
    <w:rsid w:val="00A65B37"/>
    <w:rsid w:val="00A67DC7"/>
    <w:rsid w:val="00A74540"/>
    <w:rsid w:val="00A766A9"/>
    <w:rsid w:val="00A769ED"/>
    <w:rsid w:val="00A77B91"/>
    <w:rsid w:val="00A8049D"/>
    <w:rsid w:val="00A8184F"/>
    <w:rsid w:val="00A82A52"/>
    <w:rsid w:val="00A83200"/>
    <w:rsid w:val="00A8353E"/>
    <w:rsid w:val="00A84BFC"/>
    <w:rsid w:val="00A91D3A"/>
    <w:rsid w:val="00AA369C"/>
    <w:rsid w:val="00AA7FC5"/>
    <w:rsid w:val="00AB0A93"/>
    <w:rsid w:val="00AB6A6C"/>
    <w:rsid w:val="00AC055E"/>
    <w:rsid w:val="00AC58B3"/>
    <w:rsid w:val="00AC62AA"/>
    <w:rsid w:val="00AD253B"/>
    <w:rsid w:val="00AD3393"/>
    <w:rsid w:val="00AD4A43"/>
    <w:rsid w:val="00AD5287"/>
    <w:rsid w:val="00AE23CF"/>
    <w:rsid w:val="00AE3EE5"/>
    <w:rsid w:val="00AE648E"/>
    <w:rsid w:val="00AF2CF7"/>
    <w:rsid w:val="00AF3B0C"/>
    <w:rsid w:val="00B02468"/>
    <w:rsid w:val="00B02E92"/>
    <w:rsid w:val="00B04FBD"/>
    <w:rsid w:val="00B06811"/>
    <w:rsid w:val="00B12750"/>
    <w:rsid w:val="00B169FC"/>
    <w:rsid w:val="00B21AD9"/>
    <w:rsid w:val="00B22D25"/>
    <w:rsid w:val="00B25C11"/>
    <w:rsid w:val="00B25FCD"/>
    <w:rsid w:val="00B347CC"/>
    <w:rsid w:val="00B34B1E"/>
    <w:rsid w:val="00B35784"/>
    <w:rsid w:val="00B3593B"/>
    <w:rsid w:val="00B43453"/>
    <w:rsid w:val="00B46356"/>
    <w:rsid w:val="00B4656A"/>
    <w:rsid w:val="00B47E78"/>
    <w:rsid w:val="00B52BDA"/>
    <w:rsid w:val="00B62DE4"/>
    <w:rsid w:val="00B62FC2"/>
    <w:rsid w:val="00B63DD6"/>
    <w:rsid w:val="00B65651"/>
    <w:rsid w:val="00B67151"/>
    <w:rsid w:val="00B67A36"/>
    <w:rsid w:val="00B67D16"/>
    <w:rsid w:val="00B726C9"/>
    <w:rsid w:val="00B74C40"/>
    <w:rsid w:val="00B75A87"/>
    <w:rsid w:val="00B8248F"/>
    <w:rsid w:val="00B904D5"/>
    <w:rsid w:val="00B97010"/>
    <w:rsid w:val="00BA3122"/>
    <w:rsid w:val="00BB4D45"/>
    <w:rsid w:val="00BC351A"/>
    <w:rsid w:val="00BC50F4"/>
    <w:rsid w:val="00BC58B6"/>
    <w:rsid w:val="00BD360C"/>
    <w:rsid w:val="00BD3A03"/>
    <w:rsid w:val="00BD66E6"/>
    <w:rsid w:val="00BE034A"/>
    <w:rsid w:val="00BE427D"/>
    <w:rsid w:val="00BE66EE"/>
    <w:rsid w:val="00BF0DE2"/>
    <w:rsid w:val="00BF2F9E"/>
    <w:rsid w:val="00BF74AF"/>
    <w:rsid w:val="00C005FC"/>
    <w:rsid w:val="00C00780"/>
    <w:rsid w:val="00C04450"/>
    <w:rsid w:val="00C0775A"/>
    <w:rsid w:val="00C13398"/>
    <w:rsid w:val="00C13414"/>
    <w:rsid w:val="00C14786"/>
    <w:rsid w:val="00C227A3"/>
    <w:rsid w:val="00C26873"/>
    <w:rsid w:val="00C32AAA"/>
    <w:rsid w:val="00C42812"/>
    <w:rsid w:val="00C45240"/>
    <w:rsid w:val="00C5060A"/>
    <w:rsid w:val="00C51DD4"/>
    <w:rsid w:val="00C5340F"/>
    <w:rsid w:val="00C611B0"/>
    <w:rsid w:val="00C61D6E"/>
    <w:rsid w:val="00C6521C"/>
    <w:rsid w:val="00C66ED2"/>
    <w:rsid w:val="00C70A35"/>
    <w:rsid w:val="00C70E6E"/>
    <w:rsid w:val="00C74375"/>
    <w:rsid w:val="00C7584C"/>
    <w:rsid w:val="00C817A3"/>
    <w:rsid w:val="00C82C6E"/>
    <w:rsid w:val="00C8321A"/>
    <w:rsid w:val="00C85258"/>
    <w:rsid w:val="00C90553"/>
    <w:rsid w:val="00C90857"/>
    <w:rsid w:val="00C9438D"/>
    <w:rsid w:val="00C97B5E"/>
    <w:rsid w:val="00CA0DC1"/>
    <w:rsid w:val="00CA533F"/>
    <w:rsid w:val="00CA6430"/>
    <w:rsid w:val="00CB0BC1"/>
    <w:rsid w:val="00CB2B7E"/>
    <w:rsid w:val="00CB6DE7"/>
    <w:rsid w:val="00CB7574"/>
    <w:rsid w:val="00CC1183"/>
    <w:rsid w:val="00CC4F16"/>
    <w:rsid w:val="00CC5FE0"/>
    <w:rsid w:val="00CD1382"/>
    <w:rsid w:val="00CE11D5"/>
    <w:rsid w:val="00CE43E2"/>
    <w:rsid w:val="00CF3310"/>
    <w:rsid w:val="00CF3782"/>
    <w:rsid w:val="00CF731C"/>
    <w:rsid w:val="00D00EE2"/>
    <w:rsid w:val="00D02B33"/>
    <w:rsid w:val="00D0437D"/>
    <w:rsid w:val="00D05F82"/>
    <w:rsid w:val="00D160FB"/>
    <w:rsid w:val="00D16395"/>
    <w:rsid w:val="00D22115"/>
    <w:rsid w:val="00D22C72"/>
    <w:rsid w:val="00D2719D"/>
    <w:rsid w:val="00D3518F"/>
    <w:rsid w:val="00D36B45"/>
    <w:rsid w:val="00D454A9"/>
    <w:rsid w:val="00D462D5"/>
    <w:rsid w:val="00D50198"/>
    <w:rsid w:val="00D50B4F"/>
    <w:rsid w:val="00D5210D"/>
    <w:rsid w:val="00D52876"/>
    <w:rsid w:val="00D57D87"/>
    <w:rsid w:val="00D70C47"/>
    <w:rsid w:val="00D73B99"/>
    <w:rsid w:val="00D82DF9"/>
    <w:rsid w:val="00D8465B"/>
    <w:rsid w:val="00D87495"/>
    <w:rsid w:val="00DA2AD4"/>
    <w:rsid w:val="00DB025A"/>
    <w:rsid w:val="00DB091C"/>
    <w:rsid w:val="00DB11C8"/>
    <w:rsid w:val="00DB1634"/>
    <w:rsid w:val="00DB182F"/>
    <w:rsid w:val="00DB5537"/>
    <w:rsid w:val="00DB592B"/>
    <w:rsid w:val="00DB704A"/>
    <w:rsid w:val="00DB72D7"/>
    <w:rsid w:val="00DC012F"/>
    <w:rsid w:val="00DC1B34"/>
    <w:rsid w:val="00DC647C"/>
    <w:rsid w:val="00DD3D82"/>
    <w:rsid w:val="00DD52E9"/>
    <w:rsid w:val="00DE3BBE"/>
    <w:rsid w:val="00DE3F13"/>
    <w:rsid w:val="00DE6161"/>
    <w:rsid w:val="00DE7D73"/>
    <w:rsid w:val="00DF0A9E"/>
    <w:rsid w:val="00DF746D"/>
    <w:rsid w:val="00E03C0E"/>
    <w:rsid w:val="00E12774"/>
    <w:rsid w:val="00E17DDA"/>
    <w:rsid w:val="00E25577"/>
    <w:rsid w:val="00E3093C"/>
    <w:rsid w:val="00E3282E"/>
    <w:rsid w:val="00E35978"/>
    <w:rsid w:val="00E44B1B"/>
    <w:rsid w:val="00E45A65"/>
    <w:rsid w:val="00E57A40"/>
    <w:rsid w:val="00E614E4"/>
    <w:rsid w:val="00E668F6"/>
    <w:rsid w:val="00E7219B"/>
    <w:rsid w:val="00E77F12"/>
    <w:rsid w:val="00E97598"/>
    <w:rsid w:val="00EA1D24"/>
    <w:rsid w:val="00EA7F97"/>
    <w:rsid w:val="00EB25D6"/>
    <w:rsid w:val="00EB6C10"/>
    <w:rsid w:val="00EC0E8A"/>
    <w:rsid w:val="00ED75FB"/>
    <w:rsid w:val="00EE04E4"/>
    <w:rsid w:val="00EE4DD2"/>
    <w:rsid w:val="00EE7C9C"/>
    <w:rsid w:val="00EF30C4"/>
    <w:rsid w:val="00EF5952"/>
    <w:rsid w:val="00EF684E"/>
    <w:rsid w:val="00F1185B"/>
    <w:rsid w:val="00F126FD"/>
    <w:rsid w:val="00F14EEE"/>
    <w:rsid w:val="00F164F3"/>
    <w:rsid w:val="00F165F8"/>
    <w:rsid w:val="00F178FB"/>
    <w:rsid w:val="00F21E59"/>
    <w:rsid w:val="00F22FCD"/>
    <w:rsid w:val="00F27AE5"/>
    <w:rsid w:val="00F3184D"/>
    <w:rsid w:val="00F33C15"/>
    <w:rsid w:val="00F33E15"/>
    <w:rsid w:val="00F42DC5"/>
    <w:rsid w:val="00F45E4B"/>
    <w:rsid w:val="00F4649A"/>
    <w:rsid w:val="00F57CFB"/>
    <w:rsid w:val="00F62D88"/>
    <w:rsid w:val="00F64EE2"/>
    <w:rsid w:val="00F64F8A"/>
    <w:rsid w:val="00F65400"/>
    <w:rsid w:val="00F6615C"/>
    <w:rsid w:val="00F71952"/>
    <w:rsid w:val="00F72EEC"/>
    <w:rsid w:val="00F744CD"/>
    <w:rsid w:val="00F7537A"/>
    <w:rsid w:val="00F75F43"/>
    <w:rsid w:val="00F8023F"/>
    <w:rsid w:val="00F8401C"/>
    <w:rsid w:val="00F8422A"/>
    <w:rsid w:val="00F855B1"/>
    <w:rsid w:val="00F86A26"/>
    <w:rsid w:val="00F9081D"/>
    <w:rsid w:val="00F91A1D"/>
    <w:rsid w:val="00F9557A"/>
    <w:rsid w:val="00F9660B"/>
    <w:rsid w:val="00F97A67"/>
    <w:rsid w:val="00FA0493"/>
    <w:rsid w:val="00FA127C"/>
    <w:rsid w:val="00FA43F6"/>
    <w:rsid w:val="00FA4A90"/>
    <w:rsid w:val="00FA7D61"/>
    <w:rsid w:val="00FB08FF"/>
    <w:rsid w:val="00FB0C58"/>
    <w:rsid w:val="00FC647E"/>
    <w:rsid w:val="00FC6855"/>
    <w:rsid w:val="00FD0893"/>
    <w:rsid w:val="00FD0F3C"/>
    <w:rsid w:val="00FD36D7"/>
    <w:rsid w:val="00FD39EF"/>
    <w:rsid w:val="00FD43AC"/>
    <w:rsid w:val="00FD73D5"/>
    <w:rsid w:val="00FE0B75"/>
    <w:rsid w:val="00FE3DFA"/>
    <w:rsid w:val="00FE47B5"/>
    <w:rsid w:val="00FF2B8A"/>
    <w:rsid w:val="00FF6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4B9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line="360" w:lineRule="auto"/>
        <w:ind w:left="272" w:hanging="27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02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02338"/>
    <w:rPr>
      <w:color w:val="808080"/>
    </w:rPr>
  </w:style>
  <w:style w:type="character" w:customStyle="1" w:styleId="jlqj4b">
    <w:name w:val="jlqj4b"/>
    <w:basedOn w:val="VarsaylanParagrafYazTipi"/>
    <w:rsid w:val="00FA4A90"/>
  </w:style>
  <w:style w:type="paragraph" w:styleId="NormalWeb">
    <w:name w:val="Normal (Web)"/>
    <w:basedOn w:val="Normal"/>
    <w:uiPriority w:val="99"/>
    <w:unhideWhenUsed/>
    <w:rsid w:val="00AC58B3"/>
    <w:pPr>
      <w:spacing w:before="100" w:beforeAutospacing="1" w:after="100" w:afterAutospacing="1" w:line="240" w:lineRule="auto"/>
      <w:ind w:left="0" w:firstLine="0"/>
    </w:pPr>
    <w:rPr>
      <w:rFonts w:eastAsia="Times New Roman"/>
      <w:szCs w:val="24"/>
      <w:lang w:eastAsia="tr-TR"/>
    </w:rPr>
  </w:style>
  <w:style w:type="character" w:styleId="Kpr">
    <w:name w:val="Hyperlink"/>
    <w:basedOn w:val="VarsaylanParagrafYazTipi"/>
    <w:uiPriority w:val="99"/>
    <w:unhideWhenUsed/>
    <w:rsid w:val="0077650A"/>
    <w:rPr>
      <w:color w:val="0563C1" w:themeColor="hyperlink"/>
      <w:u w:val="single"/>
    </w:rPr>
  </w:style>
  <w:style w:type="character" w:customStyle="1" w:styleId="UnresolvedMention1">
    <w:name w:val="Unresolved Mention1"/>
    <w:basedOn w:val="VarsaylanParagrafYazTipi"/>
    <w:uiPriority w:val="99"/>
    <w:semiHidden/>
    <w:unhideWhenUsed/>
    <w:rsid w:val="0051225B"/>
    <w:rPr>
      <w:color w:val="605E5C"/>
      <w:shd w:val="clear" w:color="auto" w:fill="E1DFDD"/>
    </w:rPr>
  </w:style>
  <w:style w:type="character" w:customStyle="1" w:styleId="viiyi">
    <w:name w:val="viiyi"/>
    <w:basedOn w:val="VarsaylanParagrafYazTipi"/>
    <w:rsid w:val="00BE034A"/>
  </w:style>
  <w:style w:type="paragraph" w:styleId="stBilgi">
    <w:name w:val="header"/>
    <w:aliases w:val=" Char"/>
    <w:basedOn w:val="Normal"/>
    <w:link w:val="stBilgiChar"/>
    <w:uiPriority w:val="99"/>
    <w:unhideWhenUsed/>
    <w:rsid w:val="008B00EF"/>
    <w:pPr>
      <w:tabs>
        <w:tab w:val="center" w:pos="4536"/>
        <w:tab w:val="right" w:pos="9072"/>
      </w:tabs>
      <w:spacing w:line="240" w:lineRule="auto"/>
    </w:pPr>
  </w:style>
  <w:style w:type="character" w:customStyle="1" w:styleId="stBilgiChar">
    <w:name w:val="Üst Bilgi Char"/>
    <w:aliases w:val=" Char Char1"/>
    <w:basedOn w:val="VarsaylanParagrafYazTipi"/>
    <w:link w:val="stBilgi"/>
    <w:uiPriority w:val="99"/>
    <w:rsid w:val="008B00EF"/>
  </w:style>
  <w:style w:type="paragraph" w:styleId="AltBilgi">
    <w:name w:val="footer"/>
    <w:basedOn w:val="Normal"/>
    <w:link w:val="AltBilgiChar"/>
    <w:uiPriority w:val="99"/>
    <w:unhideWhenUsed/>
    <w:rsid w:val="008B00E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B00EF"/>
  </w:style>
  <w:style w:type="character" w:styleId="AklamaBavurusu">
    <w:name w:val="annotation reference"/>
    <w:basedOn w:val="VarsaylanParagrafYazTipi"/>
    <w:uiPriority w:val="99"/>
    <w:semiHidden/>
    <w:unhideWhenUsed/>
    <w:rsid w:val="00DB704A"/>
    <w:rPr>
      <w:sz w:val="16"/>
      <w:szCs w:val="16"/>
    </w:rPr>
  </w:style>
  <w:style w:type="paragraph" w:styleId="AklamaMetni">
    <w:name w:val="annotation text"/>
    <w:basedOn w:val="Normal"/>
    <w:link w:val="AklamaMetniChar"/>
    <w:uiPriority w:val="99"/>
    <w:semiHidden/>
    <w:unhideWhenUsed/>
    <w:rsid w:val="00DB70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B704A"/>
    <w:rPr>
      <w:sz w:val="20"/>
      <w:szCs w:val="20"/>
    </w:rPr>
  </w:style>
  <w:style w:type="paragraph" w:styleId="AklamaKonusu">
    <w:name w:val="annotation subject"/>
    <w:basedOn w:val="AklamaMetni"/>
    <w:next w:val="AklamaMetni"/>
    <w:link w:val="AklamaKonusuChar"/>
    <w:uiPriority w:val="99"/>
    <w:semiHidden/>
    <w:unhideWhenUsed/>
    <w:rsid w:val="00DB704A"/>
    <w:rPr>
      <w:b/>
      <w:bCs/>
    </w:rPr>
  </w:style>
  <w:style w:type="character" w:customStyle="1" w:styleId="AklamaKonusuChar">
    <w:name w:val="Açıklama Konusu Char"/>
    <w:basedOn w:val="AklamaMetniChar"/>
    <w:link w:val="AklamaKonusu"/>
    <w:uiPriority w:val="99"/>
    <w:semiHidden/>
    <w:rsid w:val="00DB704A"/>
    <w:rPr>
      <w:b/>
      <w:bCs/>
      <w:sz w:val="20"/>
      <w:szCs w:val="20"/>
    </w:rPr>
  </w:style>
  <w:style w:type="paragraph" w:styleId="BalonMetni">
    <w:name w:val="Balloon Text"/>
    <w:basedOn w:val="Normal"/>
    <w:link w:val="BalonMetniChar"/>
    <w:uiPriority w:val="99"/>
    <w:semiHidden/>
    <w:unhideWhenUsed/>
    <w:rsid w:val="00DB704A"/>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704A"/>
    <w:rPr>
      <w:rFonts w:ascii="Segoe UI" w:hAnsi="Segoe UI" w:cs="Segoe UI"/>
      <w:sz w:val="18"/>
      <w:szCs w:val="18"/>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101043"/>
    <w:pPr>
      <w:spacing w:line="240" w:lineRule="auto"/>
      <w:ind w:left="0" w:firstLine="0"/>
    </w:pPr>
    <w:rPr>
      <w:rFonts w:asciiTheme="minorHAnsi" w:hAnsiTheme="minorHAnsi" w:cstheme="minorBidi"/>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101043"/>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101043"/>
    <w:rPr>
      <w:vertAlign w:val="superscript"/>
    </w:rPr>
  </w:style>
  <w:style w:type="character" w:customStyle="1" w:styleId="markedcontent">
    <w:name w:val="markedcontent"/>
    <w:basedOn w:val="VarsaylanParagrafYazTipi"/>
    <w:rsid w:val="00BF0DE2"/>
  </w:style>
  <w:style w:type="character" w:styleId="Vurgu">
    <w:name w:val="Emphasis"/>
    <w:basedOn w:val="VarsaylanParagrafYazTipi"/>
    <w:uiPriority w:val="20"/>
    <w:qFormat/>
    <w:rsid w:val="00FA0493"/>
    <w:rPr>
      <w:i/>
      <w:iCs/>
    </w:rPr>
  </w:style>
  <w:style w:type="character" w:customStyle="1" w:styleId="highlight">
    <w:name w:val="highlight"/>
    <w:basedOn w:val="VarsaylanParagrafYazTipi"/>
    <w:rsid w:val="00EE7C9C"/>
  </w:style>
  <w:style w:type="paragraph" w:styleId="Dzeltme">
    <w:name w:val="Revision"/>
    <w:hidden/>
    <w:uiPriority w:val="99"/>
    <w:semiHidden/>
    <w:rsid w:val="00A67DC7"/>
    <w:pPr>
      <w:spacing w:line="240" w:lineRule="auto"/>
      <w:ind w:left="0" w:firstLine="0"/>
    </w:pPr>
  </w:style>
  <w:style w:type="paragraph" w:styleId="GvdeMetni">
    <w:name w:val="Body Text"/>
    <w:basedOn w:val="Normal"/>
    <w:link w:val="GvdeMetniChar"/>
    <w:rsid w:val="00D36B45"/>
    <w:pPr>
      <w:spacing w:line="240" w:lineRule="auto"/>
      <w:ind w:left="0" w:firstLine="0"/>
      <w:jc w:val="both"/>
    </w:pPr>
    <w:rPr>
      <w:rFonts w:eastAsia="Times New Roman"/>
      <w:b/>
      <w:bCs/>
      <w:iCs/>
      <w:w w:val="90"/>
      <w:sz w:val="20"/>
      <w:szCs w:val="24"/>
      <w:lang w:eastAsia="tr-TR"/>
    </w:rPr>
  </w:style>
  <w:style w:type="character" w:customStyle="1" w:styleId="GvdeMetniChar">
    <w:name w:val="Gövde Metni Char"/>
    <w:basedOn w:val="VarsaylanParagrafYazTipi"/>
    <w:link w:val="GvdeMetni"/>
    <w:rsid w:val="00D36B45"/>
    <w:rPr>
      <w:rFonts w:eastAsia="Times New Roman"/>
      <w:b/>
      <w:bCs/>
      <w:iCs/>
      <w:w w:val="90"/>
      <w:sz w:val="20"/>
      <w:szCs w:val="24"/>
      <w:lang w:eastAsia="tr-TR"/>
    </w:rPr>
  </w:style>
  <w:style w:type="character" w:customStyle="1" w:styleId="stBilgiChar1">
    <w:name w:val="Üst Bilgi Char1"/>
    <w:aliases w:val=" Char Char2"/>
    <w:basedOn w:val="VarsaylanParagrafYazTipi"/>
    <w:uiPriority w:val="99"/>
    <w:rsid w:val="003D30C9"/>
    <w:rPr>
      <w:rFonts w:ascii="Times New Roman" w:eastAsia="Calibri"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1806">
      <w:bodyDiv w:val="1"/>
      <w:marLeft w:val="0"/>
      <w:marRight w:val="0"/>
      <w:marTop w:val="0"/>
      <w:marBottom w:val="0"/>
      <w:divBdr>
        <w:top w:val="none" w:sz="0" w:space="0" w:color="auto"/>
        <w:left w:val="none" w:sz="0" w:space="0" w:color="auto"/>
        <w:bottom w:val="none" w:sz="0" w:space="0" w:color="auto"/>
        <w:right w:val="none" w:sz="0" w:space="0" w:color="auto"/>
      </w:divBdr>
    </w:div>
    <w:div w:id="281739528">
      <w:bodyDiv w:val="1"/>
      <w:marLeft w:val="0"/>
      <w:marRight w:val="0"/>
      <w:marTop w:val="0"/>
      <w:marBottom w:val="0"/>
      <w:divBdr>
        <w:top w:val="none" w:sz="0" w:space="0" w:color="auto"/>
        <w:left w:val="none" w:sz="0" w:space="0" w:color="auto"/>
        <w:bottom w:val="none" w:sz="0" w:space="0" w:color="auto"/>
        <w:right w:val="none" w:sz="0" w:space="0" w:color="auto"/>
      </w:divBdr>
    </w:div>
    <w:div w:id="748188938">
      <w:bodyDiv w:val="1"/>
      <w:marLeft w:val="0"/>
      <w:marRight w:val="0"/>
      <w:marTop w:val="0"/>
      <w:marBottom w:val="0"/>
      <w:divBdr>
        <w:top w:val="none" w:sz="0" w:space="0" w:color="auto"/>
        <w:left w:val="none" w:sz="0" w:space="0" w:color="auto"/>
        <w:bottom w:val="none" w:sz="0" w:space="0" w:color="auto"/>
        <w:right w:val="none" w:sz="0" w:space="0" w:color="auto"/>
      </w:divBdr>
    </w:div>
    <w:div w:id="16382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syg.2012.00229" TargetMode="External"/><Relationship Id="rId13" Type="http://schemas.openxmlformats.org/officeDocument/2006/relationships/hyperlink" Target="https://doi.org/10.1187/cbe.18-10-020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oi.org/10.1016/j.learninstruc.2012.10.003" TargetMode="External"/><Relationship Id="rId12" Type="http://schemas.openxmlformats.org/officeDocument/2006/relationships/hyperlink" Target="https://doi.org/10.1145/3265757.326577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37/0022-0663.92.1.160" TargetMode="External"/><Relationship Id="rId5" Type="http://schemas.openxmlformats.org/officeDocument/2006/relationships/footnotes" Target="footnotes.xml"/><Relationship Id="rId15" Type="http://schemas.openxmlformats.org/officeDocument/2006/relationships/hyperlink" Target="https://doi.org/10.1080/00207590802315409" TargetMode="External"/><Relationship Id="rId23" Type="http://schemas.openxmlformats.org/officeDocument/2006/relationships/theme" Target="theme/theme1.xml"/><Relationship Id="rId10" Type="http://schemas.openxmlformats.org/officeDocument/2006/relationships/hyperlink" Target="https://doi.org/10.1007/s11409-008-9021-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3200/JEXE.73.4.269-290" TargetMode="External"/><Relationship Id="rId14" Type="http://schemas.openxmlformats.org/officeDocument/2006/relationships/hyperlink" Target="https://www.ncbi.nlm.nih.gov/pubmed/3102591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A2B0F-D3F5-4368-90C7-8FD864EB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7951</Words>
  <Characters>54466</Characters>
  <Application>Microsoft Office Word</Application>
  <DocSecurity>0</DocSecurity>
  <Lines>1089</Lines>
  <Paragraphs>436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2021-11-24T08:16:00Z</dcterms:created>
  <dcterms:modified xsi:type="dcterms:W3CDTF">2021-11-27T08:19:00Z</dcterms:modified>
</cp:coreProperties>
</file>