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EF22" w14:textId="77777777" w:rsidR="00B359AF" w:rsidRDefault="00B359AF" w:rsidP="00F531D3">
      <w:pPr>
        <w:spacing w:after="0" w:line="360" w:lineRule="auto"/>
        <w:jc w:val="center"/>
        <w:rPr>
          <w:rFonts w:ascii="Times New Roman" w:hAnsi="Times New Roman" w:cs="Times New Roman"/>
          <w:b/>
          <w:bCs/>
          <w:sz w:val="24"/>
          <w:szCs w:val="24"/>
        </w:rPr>
      </w:pPr>
    </w:p>
    <w:p w14:paraId="18F1C8E1" w14:textId="04FABACB" w:rsidR="00CB38C8" w:rsidRDefault="005E7EB5" w:rsidP="00F531D3">
      <w:pPr>
        <w:spacing w:after="0" w:line="360" w:lineRule="auto"/>
        <w:jc w:val="center"/>
        <w:rPr>
          <w:rFonts w:ascii="Times New Roman" w:hAnsi="Times New Roman" w:cs="Times New Roman"/>
          <w:b/>
          <w:bCs/>
          <w:sz w:val="24"/>
          <w:szCs w:val="24"/>
        </w:rPr>
      </w:pPr>
      <w:r w:rsidRPr="005E7EB5">
        <w:rPr>
          <w:rFonts w:ascii="Times New Roman" w:hAnsi="Times New Roman" w:cs="Times New Roman"/>
          <w:b/>
          <w:bCs/>
          <w:sz w:val="24"/>
          <w:szCs w:val="24"/>
        </w:rPr>
        <w:t>A</w:t>
      </w:r>
      <w:r>
        <w:rPr>
          <w:rFonts w:ascii="Times New Roman" w:hAnsi="Times New Roman" w:cs="Times New Roman"/>
          <w:b/>
          <w:bCs/>
          <w:sz w:val="24"/>
          <w:szCs w:val="24"/>
        </w:rPr>
        <w:t>rgümantasyon Tabanlı Bilim Öğrenme Yaklaşımının Öğrencilerin Matematik Başarılarına E</w:t>
      </w:r>
      <w:r w:rsidRPr="005E7EB5">
        <w:rPr>
          <w:rFonts w:ascii="Times New Roman" w:hAnsi="Times New Roman" w:cs="Times New Roman"/>
          <w:b/>
          <w:bCs/>
          <w:sz w:val="24"/>
          <w:szCs w:val="24"/>
        </w:rPr>
        <w:t>tkisi</w:t>
      </w:r>
      <w:r w:rsidR="00CB38C8">
        <w:rPr>
          <w:rFonts w:ascii="Times New Roman" w:hAnsi="Times New Roman" w:cs="Times New Roman"/>
          <w:b/>
          <w:bCs/>
          <w:sz w:val="24"/>
          <w:szCs w:val="24"/>
        </w:rPr>
        <w:t>*</w:t>
      </w:r>
      <w:r w:rsidR="00734875">
        <w:rPr>
          <w:rFonts w:ascii="Times New Roman" w:hAnsi="Times New Roman" w:cs="Times New Roman"/>
          <w:b/>
          <w:bCs/>
          <w:sz w:val="24"/>
          <w:szCs w:val="24"/>
        </w:rPr>
        <w:br/>
      </w:r>
    </w:p>
    <w:p w14:paraId="1B18B79B" w14:textId="19BC9140" w:rsidR="003E7E33" w:rsidRPr="00CD33C0" w:rsidRDefault="00CB38C8" w:rsidP="00734875">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Betül KÜÇÜK DEMİR</w:t>
      </w:r>
      <w:r w:rsidR="006C1558">
        <w:rPr>
          <w:rFonts w:ascii="Times New Roman" w:hAnsi="Times New Roman" w:cs="Times New Roman"/>
          <w:b/>
          <w:sz w:val="24"/>
          <w:szCs w:val="24"/>
        </w:rPr>
        <w:t>*</w:t>
      </w:r>
      <w:r w:rsidR="006C1558" w:rsidRPr="006C1558">
        <w:rPr>
          <w:rStyle w:val="DipnotBavurusu"/>
          <w:rFonts w:ascii="Times New Roman" w:hAnsi="Times New Roman" w:cs="Times New Roman"/>
          <w:b/>
          <w:sz w:val="24"/>
          <w:szCs w:val="24"/>
        </w:rPr>
        <w:footnoteReference w:id="1"/>
      </w:r>
      <w:r w:rsidR="006C1558" w:rsidRPr="006C1558">
        <w:rPr>
          <w:rStyle w:val="DipnotBavurusu"/>
          <w:rFonts w:ascii="Times New Roman" w:hAnsi="Times New Roman" w:cs="Times New Roman"/>
          <w:b/>
          <w:sz w:val="24"/>
          <w:szCs w:val="24"/>
        </w:rPr>
        <w:sym w:font="Symbol" w:char="F02A"/>
      </w:r>
      <w:r>
        <w:rPr>
          <w:rFonts w:ascii="Times New Roman" w:hAnsi="Times New Roman" w:cs="Times New Roman"/>
          <w:b/>
          <w:sz w:val="24"/>
          <w:szCs w:val="24"/>
        </w:rPr>
        <w:t>, Tevfik İŞLEYEN***</w:t>
      </w:r>
      <w:r w:rsidR="0010013A">
        <w:rPr>
          <w:rFonts w:ascii="Times New Roman" w:hAnsi="Times New Roman" w:cs="Times New Roman"/>
          <w:b/>
          <w:sz w:val="24"/>
          <w:szCs w:val="24"/>
        </w:rPr>
        <w:br/>
      </w:r>
    </w:p>
    <w:p w14:paraId="692F0144" w14:textId="4F068DC9" w:rsidR="0040186A" w:rsidRPr="00CD33C0" w:rsidRDefault="003E7E33" w:rsidP="00CD33C0">
      <w:pPr>
        <w:spacing w:after="0" w:line="360" w:lineRule="auto"/>
        <w:jc w:val="both"/>
        <w:rPr>
          <w:rFonts w:ascii="Times New Roman" w:hAnsi="Times New Roman" w:cs="Times New Roman"/>
          <w:sz w:val="24"/>
          <w:szCs w:val="24"/>
        </w:rPr>
      </w:pPr>
      <w:r w:rsidRPr="00CD33C0">
        <w:rPr>
          <w:rFonts w:ascii="Times New Roman" w:hAnsi="Times New Roman" w:cs="Times New Roman"/>
          <w:b/>
          <w:sz w:val="24"/>
          <w:szCs w:val="24"/>
        </w:rPr>
        <w:t xml:space="preserve">Öz: </w:t>
      </w:r>
      <w:r w:rsidR="005E7EB5" w:rsidRPr="005E7EB5">
        <w:rPr>
          <w:rFonts w:ascii="Times New Roman" w:hAnsi="Times New Roman" w:cs="Times New Roman"/>
          <w:sz w:val="24"/>
          <w:szCs w:val="24"/>
        </w:rPr>
        <w:t>Bu araştırmanın amacı, Argümantasyon Tabanlı Bilim Öğrenme (ATBÖ) yaklaşımının ortaöğretim 9. sınıf öğrencilerinin fonksiyonlar konusundaki matematik başarısına olan etkisini araştırmaktır. Çalışma örneklemini 2012-2013 eğitim-öğretim yılında Bayburt’ta bir lisede 9. sınıfta öğrenim gören toplam 22 öğrenci oluşturmaktadır. Çalışmada nicel yöntem kullanılmıştır ve çalışma tek grup ön test-son test zayıf deneysel araştırma deseninden oluşmaktadır. Veri Toplama aracı olarak; araştırmacı tarafından geliştirilen “Fonksiyon Başarı Testi(FBT)”</w:t>
      </w:r>
      <w:r w:rsidR="00147327">
        <w:rPr>
          <w:rFonts w:ascii="Times New Roman" w:hAnsi="Times New Roman" w:cs="Times New Roman"/>
          <w:sz w:val="24"/>
          <w:szCs w:val="24"/>
        </w:rPr>
        <w:t xml:space="preserve"> ve</w:t>
      </w:r>
      <w:r w:rsidR="00147327" w:rsidRPr="004D627E">
        <w:rPr>
          <w:rFonts w:ascii="Times New Roman" w:hAnsi="Times New Roman"/>
          <w:sz w:val="24"/>
          <w:szCs w:val="24"/>
        </w:rPr>
        <w:t xml:space="preserve"> Matematik Muhakeme Yaklaşımı (MMY) öğrenci şablonu kullanılmıştır</w:t>
      </w:r>
      <w:r w:rsidR="00147327">
        <w:rPr>
          <w:rFonts w:ascii="Times New Roman" w:hAnsi="Times New Roman"/>
          <w:sz w:val="24"/>
          <w:szCs w:val="24"/>
        </w:rPr>
        <w:t>.</w:t>
      </w:r>
      <w:r w:rsidR="00147327">
        <w:rPr>
          <w:rFonts w:ascii="Times New Roman" w:hAnsi="Times New Roman" w:cs="Times New Roman"/>
          <w:sz w:val="24"/>
          <w:szCs w:val="24"/>
        </w:rPr>
        <w:t xml:space="preserve"> </w:t>
      </w:r>
      <w:r w:rsidR="005E7EB5" w:rsidRPr="005E7EB5">
        <w:rPr>
          <w:rFonts w:ascii="Times New Roman" w:hAnsi="Times New Roman" w:cs="Times New Roman"/>
          <w:sz w:val="24"/>
          <w:szCs w:val="24"/>
        </w:rPr>
        <w:t>Fonksiyon Başarı Testi için ön test-son testten elde edilen verilerin çözümlenmesinde SPSS 18.0 paket programı kullanılmıştır. Parametriğin şartları olan normallik şartı için çarpıklık (skewness) ve basıklık (kurtosis) değerlerine bakılmıştır ve bu değerler -1 ve +1 arasında olup Eşleştirilmiş örneklem t-testi yapılmıştır. Kategorilere ayrıştırılan Fonksiyon Başarı Testi’nin çarpıklık (skewness) ve basıklık (kurtosis) değerleri -1 ve +1 arasında olup Eşleştirilmiş örneklem t-testi kullanılmı</w:t>
      </w:r>
      <w:bookmarkStart w:id="0" w:name="_GoBack"/>
      <w:bookmarkEnd w:id="0"/>
      <w:r w:rsidR="005E7EB5" w:rsidRPr="005E7EB5">
        <w:rPr>
          <w:rFonts w:ascii="Times New Roman" w:hAnsi="Times New Roman" w:cs="Times New Roman"/>
          <w:sz w:val="24"/>
          <w:szCs w:val="24"/>
        </w:rPr>
        <w:t>ştır.</w:t>
      </w:r>
      <w:r w:rsidR="00147327" w:rsidRPr="00147327">
        <w:rPr>
          <w:rFonts w:ascii="Times New Roman" w:hAnsi="Times New Roman"/>
          <w:sz w:val="24"/>
          <w:szCs w:val="24"/>
        </w:rPr>
        <w:t xml:space="preserve"> </w:t>
      </w:r>
      <w:r w:rsidR="00147327">
        <w:rPr>
          <w:rFonts w:ascii="Times New Roman" w:hAnsi="Times New Roman"/>
          <w:sz w:val="24"/>
          <w:szCs w:val="24"/>
        </w:rPr>
        <w:t>Ö</w:t>
      </w:r>
      <w:r w:rsidR="00147327" w:rsidRPr="004D627E">
        <w:rPr>
          <w:rFonts w:ascii="Times New Roman" w:hAnsi="Times New Roman"/>
          <w:sz w:val="24"/>
          <w:szCs w:val="24"/>
        </w:rPr>
        <w:t xml:space="preserve">ğrencilerin hazırladıkları MMY raporlarının değerlendirilmesi sonucunda elde edilen puanlar </w:t>
      </w:r>
      <w:r w:rsidR="00147327">
        <w:rPr>
          <w:rFonts w:ascii="Times New Roman" w:hAnsi="Times New Roman"/>
          <w:sz w:val="24"/>
          <w:szCs w:val="24"/>
        </w:rPr>
        <w:t>ile FBT son testinden aldıkları</w:t>
      </w:r>
      <w:r w:rsidR="00147327" w:rsidRPr="004D627E">
        <w:rPr>
          <w:rFonts w:ascii="Times New Roman" w:hAnsi="Times New Roman"/>
          <w:sz w:val="24"/>
          <w:szCs w:val="24"/>
        </w:rPr>
        <w:t xml:space="preserve"> puanlar arasındaki korelasyona bakılmıştır.</w:t>
      </w:r>
      <w:r w:rsidR="005E7EB5" w:rsidRPr="005E7EB5">
        <w:rPr>
          <w:rFonts w:ascii="Times New Roman" w:hAnsi="Times New Roman" w:cs="Times New Roman"/>
          <w:sz w:val="24"/>
          <w:szCs w:val="24"/>
        </w:rPr>
        <w:t xml:space="preserve"> Araştırma sonucunda elde edilen bulgulara göre Argümantasyon Tabanlı Bilim Öğrenme yaklaşımı temel alınarak işlenilen fonksiyonlar konusu öncesinde ve sonrasında öğrencilere uygulanan başarı testi sonuçları değerlendirildiğinde son test lehine anlamlı bir </w:t>
      </w:r>
      <w:r w:rsidR="005E7EB5" w:rsidRPr="005E7EB5">
        <w:rPr>
          <w:rFonts w:ascii="Times New Roman" w:hAnsi="Times New Roman" w:cs="Times New Roman"/>
          <w:sz w:val="24"/>
          <w:szCs w:val="24"/>
        </w:rPr>
        <w:lastRenderedPageBreak/>
        <w:t>farklılığın olduğu tespit edilmiştir.</w:t>
      </w:r>
      <w:r w:rsidR="00147327">
        <w:rPr>
          <w:rFonts w:ascii="Times New Roman" w:hAnsi="Times New Roman" w:cs="Times New Roman"/>
          <w:sz w:val="24"/>
          <w:szCs w:val="24"/>
        </w:rPr>
        <w:t xml:space="preserve"> </w:t>
      </w:r>
      <w:r w:rsidR="00147327" w:rsidRPr="004D627E">
        <w:rPr>
          <w:rFonts w:ascii="Times New Roman" w:hAnsi="Times New Roman"/>
          <w:sz w:val="24"/>
          <w:szCs w:val="24"/>
        </w:rPr>
        <w:t xml:space="preserve">MMY rapor puanlarıyla FBT son test puanları arasında olumlu, </w:t>
      </w:r>
      <w:r w:rsidR="00147327" w:rsidRPr="004D627E">
        <w:rPr>
          <w:rFonts w:ascii="Times New Roman" w:hAnsi="Times New Roman"/>
          <w:sz w:val="24"/>
          <w:szCs w:val="24"/>
          <w:lang w:eastAsia="zh-CN"/>
        </w:rPr>
        <w:t xml:space="preserve">orta düzeyde ve anlamlı </w:t>
      </w:r>
      <w:r w:rsidR="00147327" w:rsidRPr="004D627E">
        <w:rPr>
          <w:rFonts w:ascii="Times New Roman" w:hAnsi="Times New Roman"/>
          <w:sz w:val="24"/>
          <w:szCs w:val="24"/>
        </w:rPr>
        <w:t>düzeyde bir ilişki tespit edilmiştir (r=.614).</w:t>
      </w:r>
      <w:r w:rsidR="00955436">
        <w:rPr>
          <w:rFonts w:ascii="Times New Roman" w:hAnsi="Times New Roman"/>
          <w:sz w:val="24"/>
          <w:szCs w:val="24"/>
        </w:rPr>
        <w:t xml:space="preserve"> </w:t>
      </w:r>
    </w:p>
    <w:p w14:paraId="4C9C0B58" w14:textId="25E49E36" w:rsidR="00CB38C8" w:rsidRDefault="00DF1727" w:rsidP="00CB38C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5B07" w:rsidRPr="00CD33C0">
        <w:rPr>
          <w:rFonts w:ascii="Times New Roman" w:hAnsi="Times New Roman" w:cs="Times New Roman"/>
          <w:b/>
          <w:sz w:val="24"/>
          <w:szCs w:val="24"/>
        </w:rPr>
        <w:t xml:space="preserve">Anahtar Kelimeler: </w:t>
      </w:r>
      <w:r w:rsidR="005E7EB5">
        <w:rPr>
          <w:rFonts w:ascii="Times New Roman" w:hAnsi="Times New Roman" w:cs="Times New Roman"/>
          <w:sz w:val="24"/>
          <w:szCs w:val="24"/>
        </w:rPr>
        <w:t>Argümantasyon, matematik</w:t>
      </w:r>
      <w:r w:rsidR="004E7B72">
        <w:rPr>
          <w:rFonts w:ascii="Times New Roman" w:hAnsi="Times New Roman" w:cs="Times New Roman"/>
          <w:sz w:val="24"/>
          <w:szCs w:val="24"/>
        </w:rPr>
        <w:t xml:space="preserve">, </w:t>
      </w:r>
      <w:r w:rsidR="005E7EB5">
        <w:rPr>
          <w:rFonts w:ascii="Times New Roman" w:hAnsi="Times New Roman" w:cs="Times New Roman"/>
          <w:sz w:val="24"/>
          <w:szCs w:val="24"/>
        </w:rPr>
        <w:t>başarı</w:t>
      </w:r>
      <w:r w:rsidR="004E7B72">
        <w:rPr>
          <w:rFonts w:ascii="Times New Roman" w:hAnsi="Times New Roman" w:cs="Times New Roman"/>
          <w:sz w:val="24"/>
          <w:szCs w:val="24"/>
        </w:rPr>
        <w:t>,</w:t>
      </w:r>
      <w:r w:rsidR="005E7EB5">
        <w:rPr>
          <w:rFonts w:ascii="Times New Roman" w:hAnsi="Times New Roman" w:cs="Times New Roman"/>
          <w:sz w:val="24"/>
          <w:szCs w:val="24"/>
        </w:rPr>
        <w:t xml:space="preserve"> fonksiyon</w:t>
      </w:r>
      <w:r w:rsidR="004E7B72">
        <w:rPr>
          <w:rFonts w:ascii="Times New Roman" w:hAnsi="Times New Roman" w:cs="Times New Roman"/>
          <w:sz w:val="24"/>
          <w:szCs w:val="24"/>
        </w:rPr>
        <w:t xml:space="preserve">, </w:t>
      </w:r>
      <w:r w:rsidR="00100E42">
        <w:rPr>
          <w:rFonts w:ascii="Times New Roman" w:hAnsi="Times New Roman" w:cs="Times New Roman"/>
          <w:sz w:val="24"/>
          <w:szCs w:val="24"/>
        </w:rPr>
        <w:t xml:space="preserve">9.sınıf </w:t>
      </w:r>
      <w:r w:rsidR="004E7B72">
        <w:rPr>
          <w:rFonts w:ascii="Times New Roman" w:hAnsi="Times New Roman" w:cs="Times New Roman"/>
          <w:sz w:val="24"/>
          <w:szCs w:val="24"/>
        </w:rPr>
        <w:t>öğrenci</w:t>
      </w:r>
    </w:p>
    <w:p w14:paraId="4E9649BE" w14:textId="77777777" w:rsidR="00CB38C8" w:rsidRPr="00CB38C8" w:rsidRDefault="00CB38C8" w:rsidP="00CB38C8">
      <w:pPr>
        <w:spacing w:after="0" w:line="360" w:lineRule="auto"/>
        <w:jc w:val="both"/>
        <w:rPr>
          <w:rFonts w:ascii="Times New Roman" w:hAnsi="Times New Roman" w:cs="Times New Roman"/>
          <w:sz w:val="24"/>
          <w:szCs w:val="24"/>
        </w:rPr>
      </w:pPr>
    </w:p>
    <w:p w14:paraId="045F2B63" w14:textId="0451AE65" w:rsidR="006F4D8E" w:rsidRDefault="006F4D8E" w:rsidP="006F4D8E">
      <w:pPr>
        <w:spacing w:after="0" w:line="360" w:lineRule="auto"/>
        <w:jc w:val="center"/>
        <w:rPr>
          <w:rFonts w:ascii="Times New Roman" w:hAnsi="Times New Roman" w:cs="Times New Roman"/>
          <w:b/>
          <w:sz w:val="24"/>
          <w:szCs w:val="24"/>
          <w:lang w:val="en-GB"/>
        </w:rPr>
      </w:pPr>
      <w:r w:rsidRPr="006F4D8E">
        <w:rPr>
          <w:rFonts w:ascii="Times New Roman" w:hAnsi="Times New Roman" w:cs="Times New Roman"/>
          <w:b/>
          <w:sz w:val="24"/>
          <w:szCs w:val="24"/>
          <w:lang w:val="en-GB"/>
        </w:rPr>
        <w:t xml:space="preserve">The effect of the argumentation based science learning approach on the </w:t>
      </w:r>
      <w:r w:rsidR="00B93995" w:rsidRPr="006F4D8E">
        <w:rPr>
          <w:rFonts w:ascii="Times New Roman" w:hAnsi="Times New Roman" w:cs="Times New Roman"/>
          <w:b/>
          <w:sz w:val="24"/>
          <w:szCs w:val="24"/>
          <w:lang w:val="en-GB"/>
        </w:rPr>
        <w:t>mathematic</w:t>
      </w:r>
      <w:r w:rsidR="00B93995">
        <w:rPr>
          <w:rFonts w:ascii="Times New Roman" w:hAnsi="Times New Roman" w:cs="Times New Roman"/>
          <w:b/>
          <w:sz w:val="24"/>
          <w:szCs w:val="24"/>
          <w:lang w:val="en-GB"/>
        </w:rPr>
        <w:t>s achievement</w:t>
      </w:r>
      <w:r w:rsidR="00B93995" w:rsidRPr="006F4D8E">
        <w:rPr>
          <w:rFonts w:ascii="Times New Roman" w:hAnsi="Times New Roman" w:cs="Times New Roman"/>
          <w:b/>
          <w:sz w:val="24"/>
          <w:szCs w:val="24"/>
          <w:lang w:val="en-GB"/>
        </w:rPr>
        <w:t xml:space="preserve"> </w:t>
      </w:r>
      <w:r w:rsidRPr="006F4D8E">
        <w:rPr>
          <w:rFonts w:ascii="Times New Roman" w:hAnsi="Times New Roman" w:cs="Times New Roman"/>
          <w:b/>
          <w:sz w:val="24"/>
          <w:szCs w:val="24"/>
          <w:lang w:val="en-GB"/>
        </w:rPr>
        <w:t>of students</w:t>
      </w:r>
    </w:p>
    <w:p w14:paraId="5D62D690" w14:textId="2EDF784D" w:rsidR="004E7B72" w:rsidRDefault="00D752A2" w:rsidP="00B86B70">
      <w:pPr>
        <w:spacing w:after="0" w:line="360" w:lineRule="auto"/>
        <w:jc w:val="both"/>
        <w:rPr>
          <w:rFonts w:ascii="Times New Roman" w:hAnsi="Times New Roman" w:cs="Times New Roman"/>
          <w:sz w:val="24"/>
          <w:szCs w:val="24"/>
          <w:lang w:val="en-GB"/>
        </w:rPr>
      </w:pPr>
      <w:r w:rsidRPr="00D752A2">
        <w:rPr>
          <w:rFonts w:ascii="Times New Roman" w:hAnsi="Times New Roman" w:cs="Times New Roman"/>
          <w:b/>
          <w:sz w:val="24"/>
          <w:szCs w:val="24"/>
          <w:lang w:val="en-GB"/>
        </w:rPr>
        <w:t>Abstract:</w:t>
      </w:r>
      <w:r w:rsidR="009A2624">
        <w:rPr>
          <w:rFonts w:ascii="Times New Roman" w:hAnsi="Times New Roman" w:cs="Times New Roman"/>
          <w:b/>
          <w:sz w:val="24"/>
          <w:szCs w:val="24"/>
          <w:lang w:val="en-GB"/>
        </w:rPr>
        <w:t xml:space="preserve"> </w:t>
      </w:r>
      <w:r w:rsidR="004E7B72" w:rsidRPr="004E7B72">
        <w:rPr>
          <w:rFonts w:ascii="Times New Roman" w:hAnsi="Times New Roman" w:cs="Times New Roman"/>
          <w:sz w:val="24"/>
          <w:szCs w:val="24"/>
          <w:lang w:val="en-GB"/>
        </w:rPr>
        <w:t xml:space="preserve">The aim of this research is to investigate the effect of the Argument Based Science Learning (ABSL) approach </w:t>
      </w:r>
      <w:r w:rsidR="000C749D">
        <w:rPr>
          <w:rFonts w:ascii="Times New Roman" w:hAnsi="Times New Roman" w:cs="Times New Roman"/>
          <w:sz w:val="24"/>
          <w:szCs w:val="24"/>
          <w:lang w:val="en-GB"/>
        </w:rPr>
        <w:t xml:space="preserve">on </w:t>
      </w:r>
      <w:r w:rsidR="004E7B72" w:rsidRPr="004E7B72">
        <w:rPr>
          <w:rFonts w:ascii="Times New Roman" w:hAnsi="Times New Roman" w:cs="Times New Roman"/>
          <w:sz w:val="24"/>
          <w:szCs w:val="24"/>
          <w:lang w:val="en-GB"/>
        </w:rPr>
        <w:t>9th grade students of secondary school on mathematics achievement in terms of functions. The study sample consists of 22 st</w:t>
      </w:r>
      <w:r w:rsidR="000C749D">
        <w:rPr>
          <w:rFonts w:ascii="Times New Roman" w:hAnsi="Times New Roman" w:cs="Times New Roman"/>
          <w:sz w:val="24"/>
          <w:szCs w:val="24"/>
          <w:lang w:val="en-GB"/>
        </w:rPr>
        <w:t xml:space="preserve">udents in Bayburt who  study </w:t>
      </w:r>
      <w:r w:rsidR="004E7B72" w:rsidRPr="004E7B72">
        <w:rPr>
          <w:rFonts w:ascii="Times New Roman" w:hAnsi="Times New Roman" w:cs="Times New Roman"/>
          <w:sz w:val="24"/>
          <w:szCs w:val="24"/>
          <w:lang w:val="en-GB"/>
        </w:rPr>
        <w:t xml:space="preserve">in the 9th grade in a high school during the 2012-2013 academic year. A quantitative method was used in the study and the study consisted of a single experimental group with pre-test and post-test weak experimental design. As a data collection tool; "Functional Achievement Test (FAT)" developed by the researcher </w:t>
      </w:r>
      <w:r w:rsidR="00B86B70" w:rsidRPr="004D627E">
        <w:rPr>
          <w:rFonts w:ascii="Times New Roman" w:hAnsi="Times New Roman"/>
          <w:sz w:val="24"/>
          <w:szCs w:val="24"/>
        </w:rPr>
        <w:t>and Mathematics Reasoning Approach (MRA) student template ar</w:t>
      </w:r>
      <w:r w:rsidR="00B86B70">
        <w:rPr>
          <w:rFonts w:ascii="Times New Roman" w:hAnsi="Times New Roman"/>
          <w:sz w:val="24"/>
          <w:szCs w:val="24"/>
        </w:rPr>
        <w:t xml:space="preserve">e used as data collection tools. </w:t>
      </w:r>
      <w:r w:rsidR="004E7B72" w:rsidRPr="004E7B72">
        <w:rPr>
          <w:rFonts w:ascii="Times New Roman" w:hAnsi="Times New Roman" w:cs="Times New Roman"/>
          <w:sz w:val="24"/>
          <w:szCs w:val="24"/>
          <w:lang w:val="en-GB"/>
        </w:rPr>
        <w:t>The SPSS 18.0 package program was used in the analysis of the data obtained from the pre-test post-test for the Functional Achievement Test. The skewness and kurtosis values for the normality condition, which is the condition of the parametric, were examined between -1 and +1 and the paired sample t-test was performed. The skewness and kurtosis values of the Functional Achievement Test, which are separated into categories, are between -1 and +1 and the paired sample t-test is used.</w:t>
      </w:r>
      <w:r w:rsidR="00B86B70">
        <w:rPr>
          <w:rFonts w:ascii="Times New Roman" w:hAnsi="Times New Roman" w:cs="Times New Roman"/>
          <w:sz w:val="24"/>
          <w:szCs w:val="24"/>
          <w:lang w:val="en-GB"/>
        </w:rPr>
        <w:t xml:space="preserve"> </w:t>
      </w:r>
      <w:r w:rsidR="00B86B70">
        <w:rPr>
          <w:rFonts w:ascii="Times New Roman" w:hAnsi="Times New Roman"/>
          <w:sz w:val="24"/>
          <w:szCs w:val="24"/>
          <w:lang w:val="en-US"/>
        </w:rPr>
        <w:t>T</w:t>
      </w:r>
      <w:r w:rsidR="00B86B70" w:rsidRPr="004D627E">
        <w:rPr>
          <w:rFonts w:ascii="Times New Roman" w:hAnsi="Times New Roman"/>
          <w:sz w:val="24"/>
          <w:szCs w:val="24"/>
          <w:lang w:val="en-US"/>
        </w:rPr>
        <w:t>he correlation between  scores in MRA reports and scores in FAT post-test test was examined</w:t>
      </w:r>
      <w:r w:rsidR="00B86B70" w:rsidRPr="004D627E">
        <w:rPr>
          <w:rFonts w:ascii="Times New Roman" w:hAnsi="Times New Roman"/>
          <w:sz w:val="24"/>
          <w:szCs w:val="24"/>
        </w:rPr>
        <w:t xml:space="preserve">. </w:t>
      </w:r>
      <w:r w:rsidR="004E7B72" w:rsidRPr="004E7B72">
        <w:rPr>
          <w:rFonts w:ascii="Times New Roman" w:hAnsi="Times New Roman" w:cs="Times New Roman"/>
          <w:sz w:val="24"/>
          <w:szCs w:val="24"/>
          <w:lang w:val="en-GB"/>
        </w:rPr>
        <w:t xml:space="preserve"> According to the results obtained from the research, it was determined that there is a significant difference in favor of the end test when evaluating the achievement test results applied to the students before and after the functions based on the Argument Based Science Learning approach. </w:t>
      </w:r>
      <w:r w:rsidR="00B86B70" w:rsidRPr="004D627E">
        <w:rPr>
          <w:rFonts w:ascii="Times New Roman" w:hAnsi="Times New Roman"/>
          <w:sz w:val="24"/>
          <w:szCs w:val="24"/>
        </w:rPr>
        <w:t>A moderate, positive significant relation was found between MRA report scores and FST posttest scores (r=.614).</w:t>
      </w:r>
    </w:p>
    <w:p w14:paraId="694CB3CC" w14:textId="35DB1559" w:rsidR="00885387" w:rsidRPr="00CD33C0" w:rsidRDefault="003078F4" w:rsidP="004E7B72">
      <w:pPr>
        <w:spacing w:after="0" w:line="360" w:lineRule="auto"/>
        <w:jc w:val="both"/>
        <w:rPr>
          <w:rFonts w:ascii="Times New Roman" w:hAnsi="Times New Roman" w:cs="Times New Roman"/>
          <w:sz w:val="24"/>
          <w:szCs w:val="24"/>
        </w:rPr>
      </w:pPr>
      <w:r w:rsidRPr="00885387">
        <w:rPr>
          <w:rFonts w:ascii="Times New Roman" w:hAnsi="Times New Roman" w:cs="Times New Roman"/>
          <w:b/>
          <w:sz w:val="24"/>
          <w:szCs w:val="24"/>
          <w:lang w:val="en-GB"/>
        </w:rPr>
        <w:t>Keywords:</w:t>
      </w:r>
      <w:r w:rsidRPr="003078F4">
        <w:t xml:space="preserve"> </w:t>
      </w:r>
      <w:r w:rsidR="004E7B72" w:rsidRPr="004E7B72">
        <w:rPr>
          <w:rFonts w:ascii="Times New Roman" w:hAnsi="Times New Roman" w:cs="Times New Roman"/>
          <w:sz w:val="24"/>
          <w:szCs w:val="24"/>
          <w:lang w:val="en-GB"/>
        </w:rPr>
        <w:t xml:space="preserve">Argumentation, mathematics, achievement, function, </w:t>
      </w:r>
      <w:r w:rsidR="00100E42">
        <w:rPr>
          <w:rFonts w:ascii="Times New Roman" w:hAnsi="Times New Roman" w:cs="Times New Roman"/>
          <w:sz w:val="24"/>
          <w:szCs w:val="24"/>
          <w:lang w:val="en-GB"/>
        </w:rPr>
        <w:t>9</w:t>
      </w:r>
      <w:r w:rsidR="00100E42" w:rsidRPr="00100E42">
        <w:rPr>
          <w:rFonts w:ascii="Times New Roman" w:hAnsi="Times New Roman" w:cs="Times New Roman"/>
          <w:sz w:val="24"/>
          <w:szCs w:val="24"/>
          <w:vertAlign w:val="superscript"/>
          <w:lang w:val="en-GB"/>
        </w:rPr>
        <w:t>th</w:t>
      </w:r>
      <w:r w:rsidR="00100E42">
        <w:rPr>
          <w:rFonts w:ascii="Times New Roman" w:hAnsi="Times New Roman" w:cs="Times New Roman"/>
          <w:sz w:val="24"/>
          <w:szCs w:val="24"/>
          <w:lang w:val="en-GB"/>
        </w:rPr>
        <w:t xml:space="preserve"> grade </w:t>
      </w:r>
      <w:r w:rsidR="004E7B72" w:rsidRPr="004E7B72">
        <w:rPr>
          <w:rFonts w:ascii="Times New Roman" w:hAnsi="Times New Roman" w:cs="Times New Roman"/>
          <w:sz w:val="24"/>
          <w:szCs w:val="24"/>
          <w:lang w:val="en-GB"/>
        </w:rPr>
        <w:t>student</w:t>
      </w:r>
      <w:r w:rsidR="004E7B72" w:rsidRPr="004E7B72" w:rsidDel="004E7B72">
        <w:rPr>
          <w:rFonts w:ascii="Times New Roman" w:hAnsi="Times New Roman" w:cs="Times New Roman"/>
          <w:sz w:val="24"/>
          <w:szCs w:val="24"/>
          <w:lang w:val="en-GB"/>
        </w:rPr>
        <w:t xml:space="preserve"> </w:t>
      </w:r>
    </w:p>
    <w:p w14:paraId="3190EE3E" w14:textId="77777777" w:rsidR="00657FD4" w:rsidRPr="00CD33C0" w:rsidRDefault="009F31B1" w:rsidP="00BD56B3">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Giriş</w:t>
      </w:r>
    </w:p>
    <w:p w14:paraId="4C9A8935" w14:textId="4131F9C8" w:rsidR="002D53F8" w:rsidRPr="00F52EDB" w:rsidRDefault="002D53F8" w:rsidP="00F52EDB">
      <w:pPr>
        <w:spacing w:after="0" w:line="360" w:lineRule="auto"/>
        <w:ind w:firstLine="567"/>
        <w:jc w:val="both"/>
        <w:rPr>
          <w:rFonts w:ascii="Times New Roman" w:hAnsi="Times New Roman" w:cs="Times New Roman"/>
          <w:color w:val="FF0000"/>
          <w:sz w:val="24"/>
          <w:szCs w:val="24"/>
        </w:rPr>
      </w:pPr>
      <w:r w:rsidRPr="002D53F8">
        <w:rPr>
          <w:rFonts w:ascii="Times New Roman" w:hAnsi="Times New Roman" w:cs="Times New Roman"/>
          <w:sz w:val="24"/>
          <w:szCs w:val="24"/>
        </w:rPr>
        <w:t>Okullarda iyi bir matematik öğretiminin gerekliliği eğitimin her kademesinde önemli bir amaç olarak görülmektedir. Toplumun her kesiminde öğrencilerin matematikteki başarısının, diğer derslerde gösterdikleri başarıdan daha önemli ve belirleyici rol oynadığı kanısı yaygındır. Bu sebeple, matematik öğretiminin neden gerekli olduğunun herkes tarafından iyice bilindiği v</w:t>
      </w:r>
      <w:r w:rsidR="001E6D1E">
        <w:rPr>
          <w:rFonts w:ascii="Times New Roman" w:hAnsi="Times New Roman" w:cs="Times New Roman"/>
          <w:sz w:val="24"/>
          <w:szCs w:val="24"/>
        </w:rPr>
        <w:t xml:space="preserve">arsayılabilir (Karaçay, 2000). </w:t>
      </w:r>
      <w:r w:rsidRPr="002D53F8">
        <w:rPr>
          <w:rFonts w:ascii="Times New Roman" w:hAnsi="Times New Roman" w:cs="Times New Roman"/>
          <w:sz w:val="24"/>
          <w:szCs w:val="24"/>
        </w:rPr>
        <w:t xml:space="preserve"> Günümüzde bireylerden öğrendikleri yeni bilgiyi var olan bilgi ve beceri ile yapılandırmaları beklenmektedir. Bu nedenle öğrencilerin bilgiyi yapılandırmadan </w:t>
      </w:r>
      <w:r w:rsidRPr="002D53F8">
        <w:rPr>
          <w:rFonts w:ascii="Times New Roman" w:hAnsi="Times New Roman" w:cs="Times New Roman"/>
          <w:sz w:val="24"/>
          <w:szCs w:val="24"/>
        </w:rPr>
        <w:lastRenderedPageBreak/>
        <w:t>önce ön bilgilerinin ortaya çıkarılması önem teşkil etmektedir (Yahşi, 2006). Çünkü öğrencilerin ön bilgileri yoklanmadan, bu bilgiler üzerinde durulmadan öğretmen tarafından bilginin direkt aktarıldığı ve ayrıca kalıplaşmış sınavlarla öğrencilerin değerlendirildiği bir öğrenme ortamında yetişen bireylerin bilgiyi anlamlandırma ve yapılandırma konusunda güçlük çekmeleri muhtemeldir (Dalkıran, Kesercioğlu ve Boyacı, 2005). Bu açıdan düşünüldüğünde farklı öğrenme ve öğretme yöntemleri öğrencilerin kendi öğrenmelerine yardımcı olmalıdır (Günel, Uzoğlu ve Büyükkasap, 2009a).</w:t>
      </w:r>
      <w:r w:rsidR="001E6D1E">
        <w:rPr>
          <w:rFonts w:ascii="Times New Roman" w:hAnsi="Times New Roman" w:cs="Times New Roman"/>
          <w:sz w:val="24"/>
          <w:szCs w:val="24"/>
        </w:rPr>
        <w:t xml:space="preserve"> </w:t>
      </w:r>
      <w:r w:rsidR="001E6D1E" w:rsidRPr="001E6D1E">
        <w:rPr>
          <w:rFonts w:ascii="Times New Roman" w:hAnsi="Times New Roman" w:cs="Times New Roman"/>
          <w:sz w:val="24"/>
          <w:szCs w:val="24"/>
        </w:rPr>
        <w:t>Yeni öğretim programlarında artık derslerin ezbercilikten uzak işlenilerek bol etkinlik kullanılması, daha eğlenceli, günlük hayatla ilişkilendirilerek hayatın içinde ve kullanılabilir olmasına önem verilmesine dikkat çekildiği görülmektedir. Sorgulamaya dayalı öğrenme yaklaşımı</w:t>
      </w:r>
      <w:r w:rsidR="001E6D1E">
        <w:rPr>
          <w:rFonts w:ascii="Times New Roman" w:hAnsi="Times New Roman" w:cs="Times New Roman"/>
          <w:sz w:val="24"/>
          <w:szCs w:val="24"/>
        </w:rPr>
        <w:t>;</w:t>
      </w:r>
      <w:r w:rsidR="001E6D1E" w:rsidRPr="001E6D1E">
        <w:rPr>
          <w:rFonts w:ascii="Times New Roman" w:hAnsi="Times New Roman" w:cs="Times New Roman"/>
          <w:sz w:val="24"/>
          <w:szCs w:val="24"/>
        </w:rPr>
        <w:t xml:space="preserve"> yaparak ve düşünerek öğrenmeyi ön plana çıkaran ve gerçek yaşam bağlantılarıyla öğrencilerin ilgi ve meraklarını uyandıran bir yaklaşımdır (Duban, 2008). Araştırma ve sorgulamaya dayalı öğrenme, araştırma, sorgulama, bilgi analizi ve verileri yararlı bilgilere dönüştürme sürecidir (Perry and Richardson, 2001).</w:t>
      </w:r>
      <w:r w:rsidR="000F5BA1">
        <w:rPr>
          <w:rFonts w:ascii="Times New Roman" w:hAnsi="Times New Roman" w:cs="Times New Roman"/>
          <w:sz w:val="24"/>
          <w:szCs w:val="24"/>
        </w:rPr>
        <w:t xml:space="preserve"> </w:t>
      </w:r>
      <w:r w:rsidR="000F5BA1" w:rsidRPr="0018734F">
        <w:rPr>
          <w:rFonts w:ascii="Times New Roman" w:hAnsi="Times New Roman" w:cs="Times New Roman"/>
          <w:sz w:val="24"/>
          <w:szCs w:val="24"/>
        </w:rPr>
        <w:t>Argümantasyon Tabanlı Bilim Öğrenme (ATBÖ) yaklaşımının temelinde araştırma-sorgulama stratejileri vardır ve düşünmeye önem veren süreçleri desteklemektedir (Hohenshell, 2004).</w:t>
      </w:r>
      <w:r w:rsidR="00976997" w:rsidRPr="0018734F">
        <w:rPr>
          <w:rFonts w:ascii="Times New Roman" w:hAnsi="Times New Roman" w:cs="Times New Roman"/>
          <w:sz w:val="24"/>
          <w:szCs w:val="24"/>
        </w:rPr>
        <w:t xml:space="preserve"> ATBÖ araştırma ve sorgulamaya dayalı olarak fikirlerin ortaya atıldığı, kritik edildiği, değerlendirildiği, soru-iddia ve delil süreçlerinin işlenerek argüman oluşturulduğu, uzlaşma ve müzakere süreçlerinin gerçekleştiği bir yaklaşımdır (Akkuş, Günel ve Hand, 2007).</w:t>
      </w:r>
      <w:r w:rsidR="00F52EDB" w:rsidRPr="0018734F">
        <w:rPr>
          <w:rFonts w:ascii="Times New Roman" w:hAnsi="Times New Roman" w:cs="Times New Roman"/>
          <w:sz w:val="24"/>
          <w:szCs w:val="24"/>
        </w:rPr>
        <w:t xml:space="preserve"> ATBÖ yaklaşımınının uygulandığı sınıf ortamları öğrencilerin bilimsel çalışmaları arkadaşlarıyla birlikte yapmalarını ve yazma aktivitesini tartışarak yapmalarını sağlamaktadır (Hohenshell, 2004). Öğrenciler tartışmanın yararına inandıkları takdirde kaliteli tartışmalar yaparlar ve kaliteli tartışma yapabilen öğrenciler iddia ile kanıt ve iddia ile gerekçe arasındaki ilişkiyi muhakeme ederler ve bu sayede öğrencilerin kritik düşü</w:t>
      </w:r>
      <w:r w:rsidR="006A2EE7" w:rsidRPr="0018734F">
        <w:rPr>
          <w:rFonts w:ascii="Times New Roman" w:hAnsi="Times New Roman" w:cs="Times New Roman"/>
          <w:sz w:val="24"/>
          <w:szCs w:val="24"/>
        </w:rPr>
        <w:t>nmeleri de gelişir (Erduran, Ardaç ve Güzel,</w:t>
      </w:r>
      <w:r w:rsidR="00F52EDB" w:rsidRPr="0018734F">
        <w:rPr>
          <w:rFonts w:ascii="Times New Roman" w:hAnsi="Times New Roman" w:cs="Times New Roman"/>
          <w:sz w:val="24"/>
          <w:szCs w:val="24"/>
        </w:rPr>
        <w:t xml:space="preserve"> 2006).</w:t>
      </w:r>
    </w:p>
    <w:p w14:paraId="5F8EA2F9" w14:textId="7E1F10C6"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Bilimsel tartışmada öğrenciler argümanlarını yapılandırırken bir bilim insanı gibi çalıştıkları için (veri toplar, gerekçe sunar, alternatif yorumları dikkate alır, tümevarımla sonuca ulaşır) öğrencilerin araştırma ve sorgulama yeteneği artmaktadır (Driver, Newton ve Osborne, 2000). Bilimsel tartışmanın öğrencilerde araştırma yeteneğini arttırdığına yönelik çok sayıda çalışma yapılmıştır (Druker, Chen ve Kelly, 1996; Yerrick, 2000). Bu çalışmalar; bilimsel tartışmanın öğrencilerin nedensel ilişkileri anlamaya yardımcı olma, test edilebilir hipotezler oluşturma, deneyler tasarlama, gerçek yaşam problemlerine çözümler getirme ve bilimsel araştırmayla ilgili yeteneklerinde olumlu değişiklikler oluşturduğunu göstermektedir. </w:t>
      </w:r>
      <w:r w:rsidRPr="002D53F8">
        <w:rPr>
          <w:rFonts w:ascii="Times New Roman" w:hAnsi="Times New Roman" w:cs="Times New Roman"/>
          <w:sz w:val="24"/>
          <w:szCs w:val="24"/>
        </w:rPr>
        <w:lastRenderedPageBreak/>
        <w:t xml:space="preserve">Ayrıca bilimsel tartışmada </w:t>
      </w:r>
      <w:r w:rsidR="00F52EDB">
        <w:rPr>
          <w:rFonts w:ascii="Times New Roman" w:hAnsi="Times New Roman" w:cs="Times New Roman"/>
          <w:sz w:val="24"/>
          <w:szCs w:val="24"/>
        </w:rPr>
        <w:t>öğrenciler grup halinde çalışt</w:t>
      </w:r>
      <w:r w:rsidRPr="002D53F8">
        <w:rPr>
          <w:rFonts w:ascii="Times New Roman" w:hAnsi="Times New Roman" w:cs="Times New Roman"/>
          <w:sz w:val="24"/>
          <w:szCs w:val="24"/>
        </w:rPr>
        <w:t>ıkları için bu grup çalışmaları sayesinde öğrencilerin sosyal etkileşimde bulunmaları ve işbirliği içinde olmaları amaçlanır.</w:t>
      </w:r>
    </w:p>
    <w:p w14:paraId="7E0F19CC" w14:textId="30E6A550" w:rsidR="002D53F8" w:rsidRPr="002D53F8"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Bilimsel tartışma ortamlarında zıt fikirlerin çürütülmesi, hipotezlerin yarıştırılması, gerekçelendirmelerin sunulması gibi uygulamalar</w:t>
      </w:r>
      <w:r w:rsidR="001F12CD">
        <w:rPr>
          <w:rFonts w:ascii="Times New Roman" w:hAnsi="Times New Roman" w:cs="Times New Roman"/>
          <w:sz w:val="24"/>
          <w:szCs w:val="24"/>
        </w:rPr>
        <w:t>,</w:t>
      </w:r>
      <w:r w:rsidRPr="002D53F8">
        <w:rPr>
          <w:rFonts w:ascii="Times New Roman" w:hAnsi="Times New Roman" w:cs="Times New Roman"/>
          <w:sz w:val="24"/>
          <w:szCs w:val="24"/>
        </w:rPr>
        <w:t xml:space="preserve"> kavramsal deği</w:t>
      </w:r>
      <w:r w:rsidR="00F52EDB">
        <w:rPr>
          <w:rFonts w:ascii="Times New Roman" w:hAnsi="Times New Roman" w:cs="Times New Roman"/>
          <w:sz w:val="24"/>
          <w:szCs w:val="24"/>
        </w:rPr>
        <w:t>şim üzerinde etkili olmaktadır</w:t>
      </w:r>
      <w:r w:rsidR="00F52EDB" w:rsidRPr="002D53F8">
        <w:rPr>
          <w:rFonts w:ascii="Times New Roman" w:hAnsi="Times New Roman" w:cs="Times New Roman"/>
          <w:sz w:val="24"/>
          <w:szCs w:val="24"/>
        </w:rPr>
        <w:t xml:space="preserve">(Uluçınar, 2008). </w:t>
      </w:r>
      <w:r w:rsidRPr="002D53F8">
        <w:rPr>
          <w:rFonts w:ascii="Times New Roman" w:hAnsi="Times New Roman" w:cs="Times New Roman"/>
          <w:sz w:val="24"/>
          <w:szCs w:val="24"/>
        </w:rPr>
        <w:t xml:space="preserve">Ayrıca bilimsel tartışmalar sırasında öğrencilerin sahip oldukları alternatif fikirlerin sorgulanması ve bu süreçte zıt gerekçelerin ve bilimsel fikirlerin farkına varılması kavramsal değişim sürecini hızlandırmaktadır (Niaz, Alguilera, Maza </w:t>
      </w:r>
      <w:r w:rsidR="00894647">
        <w:rPr>
          <w:rFonts w:ascii="Times New Roman" w:hAnsi="Times New Roman" w:cs="Times New Roman"/>
          <w:sz w:val="24"/>
          <w:szCs w:val="24"/>
        </w:rPr>
        <w:t>ve</w:t>
      </w:r>
      <w:r w:rsidRPr="002D53F8">
        <w:rPr>
          <w:rFonts w:ascii="Times New Roman" w:hAnsi="Times New Roman" w:cs="Times New Roman"/>
          <w:sz w:val="24"/>
          <w:szCs w:val="24"/>
        </w:rPr>
        <w:t xml:space="preserve"> Liendo, 2002). Osborne (2005) öğrencilerin sebepler kullanarak inandıklarını ispat etme, tahmin etme, delilleri değerlendirme, </w:t>
      </w:r>
      <w:r w:rsidR="001F12CD">
        <w:rPr>
          <w:rFonts w:ascii="Times New Roman" w:hAnsi="Times New Roman" w:cs="Times New Roman"/>
          <w:sz w:val="24"/>
          <w:szCs w:val="24"/>
        </w:rPr>
        <w:t xml:space="preserve">ve </w:t>
      </w:r>
      <w:r w:rsidRPr="002D53F8">
        <w:rPr>
          <w:rFonts w:ascii="Times New Roman" w:hAnsi="Times New Roman" w:cs="Times New Roman"/>
          <w:sz w:val="24"/>
          <w:szCs w:val="24"/>
        </w:rPr>
        <w:t>karşıt (zıt) argüman üzerinde düşünmenin</w:t>
      </w:r>
      <w:r w:rsidR="001F12CD">
        <w:rPr>
          <w:rFonts w:ascii="Times New Roman" w:hAnsi="Times New Roman" w:cs="Times New Roman"/>
          <w:sz w:val="24"/>
          <w:szCs w:val="24"/>
        </w:rPr>
        <w:t>,</w:t>
      </w:r>
      <w:r w:rsidRPr="002D53F8">
        <w:rPr>
          <w:rFonts w:ascii="Times New Roman" w:hAnsi="Times New Roman" w:cs="Times New Roman"/>
          <w:sz w:val="24"/>
          <w:szCs w:val="24"/>
        </w:rPr>
        <w:t xml:space="preserve"> konuları kavramsal olarak öğrenmeye katkı sağlayacağını vurgulamıştır. </w:t>
      </w:r>
    </w:p>
    <w:p w14:paraId="73D0535C" w14:textId="77777777" w:rsidR="00F52EDB" w:rsidRDefault="002D53F8" w:rsidP="00F52EDB">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Tar</w:t>
      </w:r>
      <w:r w:rsidR="00925747">
        <w:rPr>
          <w:rFonts w:ascii="Times New Roman" w:hAnsi="Times New Roman" w:cs="Times New Roman"/>
          <w:sz w:val="24"/>
          <w:szCs w:val="24"/>
        </w:rPr>
        <w:t>tışmaya</w:t>
      </w:r>
      <w:r w:rsidR="00746630">
        <w:rPr>
          <w:rFonts w:ascii="Times New Roman" w:hAnsi="Times New Roman" w:cs="Times New Roman"/>
          <w:sz w:val="24"/>
          <w:szCs w:val="24"/>
        </w:rPr>
        <w:t xml:space="preserve"> (argümantasyon)</w:t>
      </w:r>
      <w:r w:rsidR="00925747">
        <w:rPr>
          <w:rFonts w:ascii="Times New Roman" w:hAnsi="Times New Roman" w:cs="Times New Roman"/>
          <w:sz w:val="24"/>
          <w:szCs w:val="24"/>
        </w:rPr>
        <w:t xml:space="preserve"> dayalı öğretim yaklaşımında, öğrenciler</w:t>
      </w:r>
      <w:r w:rsidRPr="002D53F8">
        <w:rPr>
          <w:rFonts w:ascii="Times New Roman" w:hAnsi="Times New Roman" w:cs="Times New Roman"/>
          <w:sz w:val="24"/>
          <w:szCs w:val="24"/>
        </w:rPr>
        <w:t xml:space="preserve"> zihinsel şemalarını ortaya koy</w:t>
      </w:r>
      <w:r w:rsidR="00925747">
        <w:rPr>
          <w:rFonts w:ascii="Times New Roman" w:hAnsi="Times New Roman" w:cs="Times New Roman"/>
          <w:sz w:val="24"/>
          <w:szCs w:val="24"/>
        </w:rPr>
        <w:t xml:space="preserve">up </w:t>
      </w:r>
      <w:r w:rsidRPr="002D53F8">
        <w:rPr>
          <w:rFonts w:ascii="Times New Roman" w:hAnsi="Times New Roman" w:cs="Times New Roman"/>
          <w:sz w:val="24"/>
          <w:szCs w:val="24"/>
        </w:rPr>
        <w:t>hem kendi hem de diğer ö</w:t>
      </w:r>
      <w:r w:rsidR="00925747">
        <w:rPr>
          <w:rFonts w:ascii="Times New Roman" w:hAnsi="Times New Roman" w:cs="Times New Roman"/>
          <w:sz w:val="24"/>
          <w:szCs w:val="24"/>
        </w:rPr>
        <w:t>ğrencilerin fikirlerin</w:t>
      </w:r>
      <w:r w:rsidR="00F52EDB">
        <w:rPr>
          <w:rFonts w:ascii="Times New Roman" w:hAnsi="Times New Roman" w:cs="Times New Roman"/>
          <w:sz w:val="24"/>
          <w:szCs w:val="24"/>
        </w:rPr>
        <w:t>i sorgulamaya çalışmaktadır. A</w:t>
      </w:r>
      <w:r w:rsidR="00925747">
        <w:rPr>
          <w:rFonts w:ascii="Times New Roman" w:hAnsi="Times New Roman" w:cs="Times New Roman"/>
          <w:sz w:val="24"/>
          <w:szCs w:val="24"/>
        </w:rPr>
        <w:t>ynı zamanda o</w:t>
      </w:r>
      <w:r w:rsidRPr="002D53F8">
        <w:rPr>
          <w:rFonts w:ascii="Times New Roman" w:hAnsi="Times New Roman" w:cs="Times New Roman"/>
          <w:sz w:val="24"/>
          <w:szCs w:val="24"/>
        </w:rPr>
        <w:t>rtaya attıkları iddialarını savunm</w:t>
      </w:r>
      <w:r w:rsidR="00925747">
        <w:rPr>
          <w:rFonts w:ascii="Times New Roman" w:hAnsi="Times New Roman" w:cs="Times New Roman"/>
          <w:sz w:val="24"/>
          <w:szCs w:val="24"/>
        </w:rPr>
        <w:t xml:space="preserve">ak için gerekçe ve kanıt kullanarak </w:t>
      </w:r>
      <w:r w:rsidRPr="002D53F8">
        <w:rPr>
          <w:rFonts w:ascii="Times New Roman" w:hAnsi="Times New Roman" w:cs="Times New Roman"/>
          <w:sz w:val="24"/>
          <w:szCs w:val="24"/>
        </w:rPr>
        <w:t>gerektiğinde yaptıkları çürütmelerl</w:t>
      </w:r>
      <w:r w:rsidR="00925747">
        <w:rPr>
          <w:rFonts w:ascii="Times New Roman" w:hAnsi="Times New Roman" w:cs="Times New Roman"/>
          <w:sz w:val="24"/>
          <w:szCs w:val="24"/>
        </w:rPr>
        <w:t>e karşıt iddiaları geçersiz kılarak</w:t>
      </w:r>
      <w:r w:rsidRPr="002D53F8">
        <w:rPr>
          <w:rFonts w:ascii="Times New Roman" w:hAnsi="Times New Roman" w:cs="Times New Roman"/>
          <w:sz w:val="24"/>
          <w:szCs w:val="24"/>
        </w:rPr>
        <w:t xml:space="preserve">, üst düzey düşünme içeren, muhakeme etme ve bunları </w:t>
      </w:r>
      <w:r w:rsidR="00925747">
        <w:rPr>
          <w:rFonts w:ascii="Times New Roman" w:hAnsi="Times New Roman" w:cs="Times New Roman"/>
          <w:sz w:val="24"/>
          <w:szCs w:val="24"/>
        </w:rPr>
        <w:t>sözel olarak ifade etme becerilerini ortaya koyarlar</w:t>
      </w:r>
      <w:r w:rsidRPr="002D53F8">
        <w:rPr>
          <w:rFonts w:ascii="Times New Roman" w:hAnsi="Times New Roman" w:cs="Times New Roman"/>
          <w:sz w:val="24"/>
          <w:szCs w:val="24"/>
        </w:rPr>
        <w:t xml:space="preserve">. Bu açıdan bakıldığında </w:t>
      </w:r>
      <w:r w:rsidR="00F52EDB">
        <w:rPr>
          <w:rFonts w:ascii="Times New Roman" w:hAnsi="Times New Roman" w:cs="Times New Roman"/>
          <w:sz w:val="24"/>
          <w:szCs w:val="24"/>
        </w:rPr>
        <w:t>tartışmaya dayalı yaklaşımın g</w:t>
      </w:r>
      <w:r w:rsidRPr="002D53F8">
        <w:rPr>
          <w:rFonts w:ascii="Times New Roman" w:hAnsi="Times New Roman" w:cs="Times New Roman"/>
          <w:sz w:val="24"/>
          <w:szCs w:val="24"/>
        </w:rPr>
        <w:t xml:space="preserve">eleneksel yaklaşımdan üstün birçok yönü öne çıkmaktadır (Uluçınar, 2008). </w:t>
      </w:r>
    </w:p>
    <w:p w14:paraId="245DA42B" w14:textId="71D9741F" w:rsidR="002D53F8" w:rsidRDefault="002D53F8" w:rsidP="00F52EDB">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ATBÖ yaklaşımı tartışmaya dayalı bir yaklaşım olduğundan toplumun ihtiyaç duyduğu sürekli araştıran sorgulayan ve ezbere değil tartışarak fikirlerini ileri süren yaratıcı bireylerin yetiştirilmesi ve geliştirilmesi açısından bu ihtiyaca cevap verecek nitelikte bir yaklaşım olması açısından da öneme sahiptir.</w:t>
      </w:r>
      <w:r w:rsidR="007A0BCB">
        <w:rPr>
          <w:rFonts w:ascii="Times New Roman" w:hAnsi="Times New Roman" w:cs="Times New Roman"/>
          <w:sz w:val="24"/>
          <w:szCs w:val="24"/>
        </w:rPr>
        <w:t xml:space="preserve"> </w:t>
      </w:r>
    </w:p>
    <w:p w14:paraId="2BE86D5E" w14:textId="77777777" w:rsidR="007A0BCB" w:rsidRPr="007A0BCB" w:rsidRDefault="007A0BCB" w:rsidP="007A0BCB">
      <w:pPr>
        <w:autoSpaceDE w:val="0"/>
        <w:autoSpaceDN w:val="0"/>
        <w:adjustRightInd w:val="0"/>
        <w:spacing w:before="120" w:line="360" w:lineRule="auto"/>
        <w:ind w:firstLine="709"/>
        <w:jc w:val="both"/>
        <w:rPr>
          <w:rFonts w:ascii="Times New Roman" w:eastAsiaTheme="minorHAnsi" w:hAnsi="Times New Roman" w:cs="Times New Roman"/>
          <w:sz w:val="24"/>
          <w:szCs w:val="24"/>
          <w:lang w:eastAsia="en-US"/>
        </w:rPr>
      </w:pPr>
      <w:r w:rsidRPr="007A0BCB">
        <w:rPr>
          <w:rFonts w:ascii="Times New Roman" w:eastAsia="Calibri" w:hAnsi="Times New Roman" w:cs="Times New Roman"/>
          <w:sz w:val="24"/>
          <w:szCs w:val="24"/>
          <w:lang w:eastAsia="en-US"/>
        </w:rPr>
        <w:t xml:space="preserve">ATBÖ yaklaşımının uygulandığı öğrenme ortamında öğretmen öğrencileri gözlemler, veriler, iddialar ve kanıtlar arasında bağlantılar kurmasına teşvik eder ve diğer grup arkadaşlarının ileri sürdüğü iddiaları karşılaştırma yapmasına fırsat sağlar. Ayrıca ATBÖ yaklaşımı öğrencilere deneyimlerinden sonra başlangıçtaki fikirlerinin nasıl değiştiğini göstermektedir (Hohenshell, 2004). </w:t>
      </w:r>
      <w:r w:rsidRPr="007A0BCB">
        <w:rPr>
          <w:rFonts w:ascii="Times New Roman" w:eastAsiaTheme="minorHAnsi" w:hAnsi="Times New Roman" w:cs="Times New Roman"/>
          <w:sz w:val="24"/>
          <w:szCs w:val="24"/>
          <w:lang w:eastAsia="en-US"/>
        </w:rPr>
        <w:t>Öğrenciler ATBÖ yaklaşımındaki kendi sorularını meydana getirme, akran grup tartışmalarına katılım ve yazma işlemiyle kavramlar arasında bağlantı kurma aktiviteleriyle anlamalarının arttığını ifade etmişlerdir. (Hand, Wallace &amp; Yang, 2004).</w:t>
      </w:r>
      <w:r w:rsidRPr="007A0BCB">
        <w:rPr>
          <w:rFonts w:ascii="Times New Roman" w:eastAsia="Calibri" w:hAnsi="Times New Roman" w:cs="Times New Roman"/>
          <w:sz w:val="24"/>
          <w:szCs w:val="24"/>
          <w:lang w:eastAsia="en-US"/>
        </w:rPr>
        <w:t xml:space="preserve"> </w:t>
      </w:r>
      <w:r w:rsidRPr="007A0BCB">
        <w:rPr>
          <w:rFonts w:ascii="Times New Roman" w:eastAsiaTheme="minorHAnsi" w:hAnsi="Times New Roman" w:cs="Times New Roman"/>
          <w:sz w:val="24"/>
          <w:szCs w:val="24"/>
          <w:lang w:eastAsia="en-US"/>
        </w:rPr>
        <w:t xml:space="preserve">ATBÖ yaklaşımında öğretmen çoğunlukla öğrenci merkezli aktiviteleri planlar ve öğrencileri kendilerini özgürce ifade edebilmeleri yönünde cesaretlendirir. </w:t>
      </w:r>
    </w:p>
    <w:p w14:paraId="0EB87EF3" w14:textId="41FC5A3D" w:rsidR="007A0BCB" w:rsidRPr="007A0BCB" w:rsidRDefault="007A0BCB" w:rsidP="007A0BCB">
      <w:pPr>
        <w:autoSpaceDE w:val="0"/>
        <w:autoSpaceDN w:val="0"/>
        <w:adjustRightInd w:val="0"/>
        <w:spacing w:before="120" w:after="360" w:line="360" w:lineRule="auto"/>
        <w:ind w:firstLine="709"/>
        <w:jc w:val="both"/>
        <w:rPr>
          <w:rFonts w:ascii="Times New Roman" w:eastAsiaTheme="minorHAnsi" w:hAnsi="Times New Roman" w:cs="Times New Roman"/>
          <w:sz w:val="24"/>
          <w:szCs w:val="24"/>
          <w:lang w:eastAsia="en-US"/>
        </w:rPr>
      </w:pPr>
      <w:r w:rsidRPr="007A0BCB">
        <w:rPr>
          <w:rFonts w:ascii="Calibri" w:eastAsia="Calibri" w:hAnsi="Calibri" w:cs="Times New Roman"/>
          <w:noProof/>
          <w:sz w:val="22"/>
          <w:szCs w:val="22"/>
        </w:rPr>
        <mc:AlternateContent>
          <mc:Choice Requires="wpg">
            <w:drawing>
              <wp:anchor distT="0" distB="0" distL="114300" distR="114300" simplePos="0" relativeHeight="251659264" behindDoc="0" locked="0" layoutInCell="1" allowOverlap="1" wp14:anchorId="6550B2AD" wp14:editId="7BA34789">
                <wp:simplePos x="0" y="0"/>
                <wp:positionH relativeFrom="column">
                  <wp:posOffset>70485</wp:posOffset>
                </wp:positionH>
                <wp:positionV relativeFrom="paragraph">
                  <wp:posOffset>690880</wp:posOffset>
                </wp:positionV>
                <wp:extent cx="5012690" cy="2368550"/>
                <wp:effectExtent l="13335" t="5080" r="12700" b="762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2368550"/>
                          <a:chOff x="2379" y="4979"/>
                          <a:chExt cx="7894" cy="3730"/>
                        </a:xfrm>
                      </wpg:grpSpPr>
                      <wps:wsp>
                        <wps:cNvPr id="2" name="Oval 3"/>
                        <wps:cNvSpPr>
                          <a:spLocks noChangeArrowheads="1"/>
                        </wps:cNvSpPr>
                        <wps:spPr bwMode="auto">
                          <a:xfrm>
                            <a:off x="2379" y="5024"/>
                            <a:ext cx="2265" cy="585"/>
                          </a:xfrm>
                          <a:prstGeom prst="ellipse">
                            <a:avLst/>
                          </a:prstGeom>
                          <a:solidFill>
                            <a:srgbClr val="FFFFFF"/>
                          </a:solidFill>
                          <a:ln w="9525">
                            <a:solidFill>
                              <a:srgbClr val="000000"/>
                            </a:solidFill>
                            <a:round/>
                            <a:headEnd/>
                            <a:tailEnd/>
                          </a:ln>
                        </wps:spPr>
                        <wps:txbx>
                          <w:txbxContent>
                            <w:p w14:paraId="63E3934D" w14:textId="77777777" w:rsidR="007A0BCB" w:rsidRDefault="007A0BCB" w:rsidP="007A0BCB">
                              <w:pPr>
                                <w:jc w:val="center"/>
                              </w:pPr>
                              <w:r>
                                <w:t xml:space="preserve"> Veri   (Ground)</w:t>
                              </w:r>
                            </w:p>
                          </w:txbxContent>
                        </wps:txbx>
                        <wps:bodyPr rot="0" vert="horz" wrap="square" lIns="91440" tIns="45720" rIns="91440" bIns="45720" anchor="t" anchorCtr="0" upright="1">
                          <a:noAutofit/>
                        </wps:bodyPr>
                      </wps:wsp>
                      <wps:wsp>
                        <wps:cNvPr id="3" name="AutoShape 4"/>
                        <wps:cNvCnPr>
                          <a:cxnSpLocks noChangeShapeType="1"/>
                        </wps:cNvCnPr>
                        <wps:spPr bwMode="auto">
                          <a:xfrm flipV="1">
                            <a:off x="4659" y="5279"/>
                            <a:ext cx="3450"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Oval 5"/>
                        <wps:cNvSpPr>
                          <a:spLocks noChangeArrowheads="1"/>
                        </wps:cNvSpPr>
                        <wps:spPr bwMode="auto">
                          <a:xfrm>
                            <a:off x="8109" y="4979"/>
                            <a:ext cx="1935" cy="585"/>
                          </a:xfrm>
                          <a:prstGeom prst="ellipse">
                            <a:avLst/>
                          </a:prstGeom>
                          <a:solidFill>
                            <a:srgbClr val="FFFFFF"/>
                          </a:solidFill>
                          <a:ln w="9525">
                            <a:solidFill>
                              <a:srgbClr val="000000"/>
                            </a:solidFill>
                            <a:round/>
                            <a:headEnd/>
                            <a:tailEnd/>
                          </a:ln>
                        </wps:spPr>
                        <wps:txbx>
                          <w:txbxContent>
                            <w:p w14:paraId="33FD108C" w14:textId="77777777" w:rsidR="007A0BCB" w:rsidRDefault="007A0BCB" w:rsidP="007A0BCB">
                              <w:pPr>
                                <w:spacing w:line="240" w:lineRule="auto"/>
                                <w:jc w:val="center"/>
                              </w:pPr>
                              <w:r>
                                <w:t>İddia (Claim)</w:t>
                              </w:r>
                            </w:p>
                          </w:txbxContent>
                        </wps:txbx>
                        <wps:bodyPr rot="0" vert="horz" wrap="square" lIns="91440" tIns="45720" rIns="91440" bIns="45720" anchor="t" anchorCtr="0" upright="1">
                          <a:noAutofit/>
                        </wps:bodyPr>
                      </wps:wsp>
                      <wps:wsp>
                        <wps:cNvPr id="5" name="AutoShape 6"/>
                        <wps:cNvCnPr>
                          <a:cxnSpLocks noChangeShapeType="1"/>
                        </wps:cNvCnPr>
                        <wps:spPr bwMode="auto">
                          <a:xfrm>
                            <a:off x="5081" y="5324"/>
                            <a:ext cx="1" cy="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3776" y="6474"/>
                            <a:ext cx="2685" cy="555"/>
                          </a:xfrm>
                          <a:prstGeom prst="ellipse">
                            <a:avLst/>
                          </a:prstGeom>
                          <a:solidFill>
                            <a:srgbClr val="FFFFFF"/>
                          </a:solidFill>
                          <a:ln w="9525">
                            <a:solidFill>
                              <a:srgbClr val="000000"/>
                            </a:solidFill>
                            <a:round/>
                            <a:headEnd/>
                            <a:tailEnd/>
                          </a:ln>
                        </wps:spPr>
                        <wps:txbx>
                          <w:txbxContent>
                            <w:p w14:paraId="139ECADD" w14:textId="77777777" w:rsidR="007A0BCB" w:rsidRDefault="007A0BCB" w:rsidP="007A0BCB">
                              <w:r>
                                <w:t>Gerekçe (warrant)</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5082" y="7029"/>
                            <a:ext cx="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Oval 9"/>
                        <wps:cNvSpPr>
                          <a:spLocks noChangeArrowheads="1"/>
                        </wps:cNvSpPr>
                        <wps:spPr bwMode="auto">
                          <a:xfrm>
                            <a:off x="3626" y="8094"/>
                            <a:ext cx="3060" cy="615"/>
                          </a:xfrm>
                          <a:prstGeom prst="ellipse">
                            <a:avLst/>
                          </a:prstGeom>
                          <a:solidFill>
                            <a:srgbClr val="FFFFFF"/>
                          </a:solidFill>
                          <a:ln w="9525">
                            <a:solidFill>
                              <a:srgbClr val="000000"/>
                            </a:solidFill>
                            <a:round/>
                            <a:headEnd/>
                            <a:tailEnd/>
                          </a:ln>
                        </wps:spPr>
                        <wps:txbx>
                          <w:txbxContent>
                            <w:p w14:paraId="237AD0CB" w14:textId="77777777" w:rsidR="007A0BCB" w:rsidRDefault="007A0BCB" w:rsidP="007A0BCB">
                              <w:r>
                                <w:t>Destekleyici (Backing)</w:t>
                              </w:r>
                            </w:p>
                            <w:p w14:paraId="39A8CE51" w14:textId="77777777" w:rsidR="007A0BCB" w:rsidRDefault="007A0BCB" w:rsidP="007A0BCB"/>
                          </w:txbxContent>
                        </wps:txbx>
                        <wps:bodyPr rot="0" vert="horz" wrap="square" lIns="91440" tIns="45720" rIns="91440" bIns="45720" anchor="t" anchorCtr="0" upright="1">
                          <a:noAutofit/>
                        </wps:bodyPr>
                      </wps:wsp>
                      <wps:wsp>
                        <wps:cNvPr id="9" name="AutoShape 10"/>
                        <wps:cNvCnPr>
                          <a:cxnSpLocks noChangeShapeType="1"/>
                        </wps:cNvCnPr>
                        <wps:spPr bwMode="auto">
                          <a:xfrm>
                            <a:off x="9055" y="5594"/>
                            <a:ext cx="0" cy="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7978" y="6547"/>
                            <a:ext cx="2295" cy="585"/>
                          </a:xfrm>
                          <a:prstGeom prst="ellipse">
                            <a:avLst/>
                          </a:prstGeom>
                          <a:solidFill>
                            <a:srgbClr val="FFFFFF"/>
                          </a:solidFill>
                          <a:ln w="9525">
                            <a:solidFill>
                              <a:srgbClr val="000000"/>
                            </a:solidFill>
                            <a:round/>
                            <a:headEnd/>
                            <a:tailEnd/>
                          </a:ln>
                        </wps:spPr>
                        <wps:txbx>
                          <w:txbxContent>
                            <w:p w14:paraId="414FDE41" w14:textId="77777777" w:rsidR="007A0BCB" w:rsidRDefault="007A0BCB" w:rsidP="007A0BCB">
                              <w:r>
                                <w:t>İtiraz (Rebuttal)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0B2AD" id="Grup 1" o:spid="_x0000_s1026" style="position:absolute;left:0;text-align:left;margin-left:5.55pt;margin-top:54.4pt;width:394.7pt;height:186.5pt;z-index:251659264" coordorigin="2379,4979" coordsize="789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">
                <v:oval id="Oval 3" o:spid="_x0000_s1027" style="position:absolute;left:2379;top:5024;width:22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14:paraId="63E3934D" w14:textId="77777777" w:rsidR="007A0BCB" w:rsidRDefault="007A0BCB" w:rsidP="007A0BCB">
                        <w:pPr>
                          <w:jc w:val="center"/>
                        </w:pPr>
                        <w:r>
                          <w:t xml:space="preserve"> Veri   (</w:t>
                        </w:r>
                        <w:proofErr w:type="spellStart"/>
                        <w:r>
                          <w:t>Ground</w:t>
                        </w:r>
                        <w:proofErr w:type="spellEnd"/>
                        <w:r>
                          <w:t>)</w:t>
                        </w:r>
                      </w:p>
                    </w:txbxContent>
                  </v:textbox>
                </v:oval>
                <v:shapetype id="_x0000_t32" coordsize="21600,21600" o:spt="32" o:oned="t" path="m,l21600,21600e" filled="f">
                  <v:path arrowok="t" fillok="f" o:connecttype="none"/>
                  <o:lock v:ext="edit" shapetype="t"/>
                </v:shapetype>
                <v:shape id="AutoShape 4" o:spid="_x0000_s1028" type="#_x0000_t32" style="position:absolute;left:4659;top:5279;width:3450;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oval id="Oval 5" o:spid="_x0000_s1029" style="position:absolute;left:8109;top:4979;width:19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14:paraId="33FD108C" w14:textId="77777777" w:rsidR="007A0BCB" w:rsidRDefault="007A0BCB" w:rsidP="007A0BCB">
                        <w:pPr>
                          <w:spacing w:line="240" w:lineRule="auto"/>
                          <w:jc w:val="center"/>
                        </w:pPr>
                        <w:r>
                          <w:t>İddia (</w:t>
                        </w:r>
                        <w:proofErr w:type="spellStart"/>
                        <w:r>
                          <w:t>Claim</w:t>
                        </w:r>
                        <w:proofErr w:type="spellEnd"/>
                        <w:r>
                          <w:t>)</w:t>
                        </w:r>
                      </w:p>
                    </w:txbxContent>
                  </v:textbox>
                </v:oval>
                <v:shape id="AutoShape 6" o:spid="_x0000_s1030" type="#_x0000_t32" style="position:absolute;left:5081;top:5324;width:1;height:1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oval id="Oval 7" o:spid="_x0000_s1031" style="position:absolute;left:3776;top:6474;width:268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139ECADD" w14:textId="77777777" w:rsidR="007A0BCB" w:rsidRDefault="007A0BCB" w:rsidP="007A0BCB">
                        <w:r>
                          <w:t>Gerekçe (</w:t>
                        </w:r>
                        <w:proofErr w:type="spellStart"/>
                        <w:r>
                          <w:t>warrant</w:t>
                        </w:r>
                        <w:proofErr w:type="spellEnd"/>
                        <w:r>
                          <w:t>)</w:t>
                        </w:r>
                      </w:p>
                    </w:txbxContent>
                  </v:textbox>
                </v:oval>
                <v:shape id="AutoShape 8" o:spid="_x0000_s1032" type="#_x0000_t32" style="position:absolute;left:5082;top:7029;width:0;height:1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oval id="Oval 9" o:spid="_x0000_s1033" style="position:absolute;left:3626;top:8094;width:30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237AD0CB" w14:textId="77777777" w:rsidR="007A0BCB" w:rsidRDefault="007A0BCB" w:rsidP="007A0BCB">
                        <w:r>
                          <w:t>Destekleyici (</w:t>
                        </w:r>
                        <w:proofErr w:type="spellStart"/>
                        <w:r>
                          <w:t>Backing</w:t>
                        </w:r>
                        <w:proofErr w:type="spellEnd"/>
                        <w:r>
                          <w:t>)</w:t>
                        </w:r>
                      </w:p>
                      <w:p w14:paraId="39A8CE51" w14:textId="77777777" w:rsidR="007A0BCB" w:rsidRDefault="007A0BCB" w:rsidP="007A0BCB"/>
                    </w:txbxContent>
                  </v:textbox>
                </v:oval>
                <v:shape id="AutoShape 10" o:spid="_x0000_s1034" type="#_x0000_t32" style="position:absolute;left:9055;top:5594;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oval id="Oval 11" o:spid="_x0000_s1035" style="position:absolute;left:7978;top:6547;width:229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14:paraId="414FDE41" w14:textId="77777777" w:rsidR="007A0BCB" w:rsidRDefault="007A0BCB" w:rsidP="007A0BCB">
                        <w:r>
                          <w:t>İtiraz (</w:t>
                        </w:r>
                        <w:proofErr w:type="spellStart"/>
                        <w:r>
                          <w:t>Rebuttal</w:t>
                        </w:r>
                        <w:proofErr w:type="spellEnd"/>
                        <w:r>
                          <w:t>)</w:t>
                        </w:r>
                      </w:p>
                    </w:txbxContent>
                  </v:textbox>
                </v:oval>
              </v:group>
            </w:pict>
          </mc:Fallback>
        </mc:AlternateContent>
      </w:r>
      <w:r w:rsidRPr="007A0BCB">
        <w:rPr>
          <w:rFonts w:ascii="Times New Roman" w:eastAsiaTheme="minorHAnsi" w:hAnsi="Times New Roman" w:cs="Times New Roman"/>
          <w:sz w:val="24"/>
          <w:szCs w:val="24"/>
          <w:lang w:eastAsia="en-US"/>
        </w:rPr>
        <w:t xml:space="preserve"> Argümantasyonun yapısını oluşturan bileşenler Toulmin (1958) tarafından aşağıdaki şekilde görüldüğü gibi belirlenmiştir.</w:t>
      </w:r>
    </w:p>
    <w:p w14:paraId="56EAF4E9" w14:textId="77777777" w:rsidR="007A0BCB" w:rsidRPr="007A0BCB" w:rsidRDefault="007A0BCB" w:rsidP="007A0BCB">
      <w:pPr>
        <w:spacing w:after="200" w:line="276" w:lineRule="auto"/>
        <w:rPr>
          <w:rFonts w:ascii="Calibri" w:eastAsia="Calibri" w:hAnsi="Calibri" w:cs="Times New Roman"/>
          <w:sz w:val="22"/>
          <w:szCs w:val="22"/>
          <w:lang w:eastAsia="en-US"/>
        </w:rPr>
      </w:pPr>
    </w:p>
    <w:p w14:paraId="0EC2772C" w14:textId="77777777" w:rsidR="007A0BCB" w:rsidRPr="007A0BCB" w:rsidRDefault="007A0BCB" w:rsidP="007A0BCB">
      <w:pPr>
        <w:spacing w:after="200" w:line="276" w:lineRule="auto"/>
        <w:rPr>
          <w:rFonts w:ascii="Calibri" w:eastAsia="Calibri" w:hAnsi="Calibri" w:cs="Times New Roman"/>
          <w:sz w:val="22"/>
          <w:szCs w:val="22"/>
          <w:lang w:eastAsia="en-US"/>
        </w:rPr>
      </w:pPr>
    </w:p>
    <w:p w14:paraId="5562955F" w14:textId="77777777" w:rsidR="007A0BCB" w:rsidRPr="007A0BCB" w:rsidRDefault="007A0BCB" w:rsidP="007A0BCB">
      <w:pPr>
        <w:spacing w:after="200" w:line="276" w:lineRule="auto"/>
        <w:rPr>
          <w:rFonts w:ascii="Calibri" w:eastAsia="Calibri" w:hAnsi="Calibri" w:cs="Times New Roman"/>
          <w:sz w:val="22"/>
          <w:szCs w:val="22"/>
          <w:lang w:eastAsia="en-US"/>
        </w:rPr>
      </w:pPr>
    </w:p>
    <w:p w14:paraId="420934CE" w14:textId="77777777" w:rsidR="007A0BCB" w:rsidRPr="007A0BCB" w:rsidRDefault="007A0BCB" w:rsidP="007A0BCB">
      <w:pPr>
        <w:spacing w:after="200" w:line="276" w:lineRule="auto"/>
        <w:rPr>
          <w:rFonts w:ascii="Calibri" w:eastAsia="Calibri" w:hAnsi="Calibri" w:cs="Times New Roman"/>
          <w:sz w:val="22"/>
          <w:szCs w:val="22"/>
          <w:lang w:eastAsia="en-US"/>
        </w:rPr>
      </w:pPr>
    </w:p>
    <w:p w14:paraId="763B8DC3" w14:textId="77777777" w:rsidR="007A0BCB" w:rsidRPr="007A0BCB" w:rsidRDefault="007A0BCB" w:rsidP="007A0BCB">
      <w:pPr>
        <w:spacing w:after="200" w:line="276" w:lineRule="auto"/>
        <w:rPr>
          <w:rFonts w:ascii="Calibri" w:eastAsia="Calibri" w:hAnsi="Calibri" w:cs="Times New Roman"/>
          <w:sz w:val="22"/>
          <w:szCs w:val="22"/>
          <w:lang w:eastAsia="en-US"/>
        </w:rPr>
      </w:pPr>
    </w:p>
    <w:p w14:paraId="65BA6441" w14:textId="77777777" w:rsidR="007A0BCB" w:rsidRPr="007A0BCB" w:rsidRDefault="007A0BCB" w:rsidP="007A0BCB">
      <w:pPr>
        <w:widowControl w:val="0"/>
        <w:spacing w:before="200" w:after="360" w:line="240" w:lineRule="auto"/>
        <w:jc w:val="center"/>
        <w:outlineLvl w:val="2"/>
        <w:rPr>
          <w:rFonts w:ascii="Times New Roman" w:eastAsiaTheme="majorEastAsia" w:hAnsi="Times New Roman" w:cs="Times New Roman"/>
          <w:bCs/>
          <w:i/>
          <w:iCs/>
          <w:color w:val="000000" w:themeColor="text1"/>
          <w:sz w:val="24"/>
          <w:szCs w:val="22"/>
          <w:lang w:eastAsia="en-US"/>
        </w:rPr>
      </w:pPr>
      <w:bookmarkStart w:id="1" w:name="_Toc400882009"/>
    </w:p>
    <w:p w14:paraId="3AA4F98A" w14:textId="77777777" w:rsidR="007A0BCB" w:rsidRPr="007A0BCB" w:rsidRDefault="007A0BCB" w:rsidP="007A0BCB">
      <w:pPr>
        <w:widowControl w:val="0"/>
        <w:spacing w:before="200" w:after="360" w:line="240" w:lineRule="auto"/>
        <w:outlineLvl w:val="2"/>
        <w:rPr>
          <w:rFonts w:ascii="Times New Roman" w:eastAsiaTheme="majorEastAsia" w:hAnsi="Times New Roman" w:cs="Times New Roman"/>
          <w:bCs/>
          <w:i/>
          <w:iCs/>
          <w:color w:val="000000" w:themeColor="text1"/>
          <w:sz w:val="24"/>
          <w:szCs w:val="22"/>
          <w:lang w:eastAsia="en-US"/>
        </w:rPr>
      </w:pPr>
    </w:p>
    <w:p w14:paraId="6605FA7F" w14:textId="77777777" w:rsidR="007A0BCB" w:rsidRPr="007A0BCB" w:rsidRDefault="007A0BCB" w:rsidP="007A0BCB">
      <w:pPr>
        <w:widowControl w:val="0"/>
        <w:spacing w:before="200" w:after="360" w:line="240" w:lineRule="auto"/>
        <w:jc w:val="center"/>
        <w:outlineLvl w:val="2"/>
        <w:rPr>
          <w:rFonts w:ascii="Times New Roman" w:eastAsiaTheme="majorEastAsia" w:hAnsi="Times New Roman" w:cs="Times New Roman"/>
          <w:bCs/>
          <w:color w:val="000000" w:themeColor="text1"/>
          <w:sz w:val="24"/>
          <w:szCs w:val="22"/>
          <w:lang w:eastAsia="en-US"/>
        </w:rPr>
      </w:pPr>
      <w:r w:rsidRPr="007A0BCB">
        <w:rPr>
          <w:rFonts w:ascii="Times New Roman" w:eastAsiaTheme="majorEastAsia" w:hAnsi="Times New Roman" w:cs="Times New Roman"/>
          <w:bCs/>
          <w:i/>
          <w:iCs/>
          <w:color w:val="000000" w:themeColor="text1"/>
          <w:sz w:val="24"/>
          <w:szCs w:val="22"/>
          <w:lang w:eastAsia="en-US"/>
        </w:rPr>
        <w:t>Şekil 2.1.</w:t>
      </w:r>
      <w:r w:rsidRPr="007A0BCB">
        <w:rPr>
          <w:rFonts w:ascii="Times New Roman" w:eastAsiaTheme="majorEastAsia" w:hAnsi="Times New Roman" w:cs="Times New Roman"/>
          <w:bCs/>
          <w:color w:val="000000" w:themeColor="text1"/>
          <w:sz w:val="24"/>
          <w:szCs w:val="22"/>
          <w:lang w:eastAsia="en-US"/>
        </w:rPr>
        <w:t xml:space="preserve"> Toulmin’in tartışma modeli</w:t>
      </w:r>
      <w:bookmarkEnd w:id="1"/>
    </w:p>
    <w:p w14:paraId="3E48CBDD" w14:textId="46BB19E1" w:rsidR="007A0BCB" w:rsidRDefault="007A0BCB" w:rsidP="007A0BCB">
      <w:pPr>
        <w:autoSpaceDE w:val="0"/>
        <w:autoSpaceDN w:val="0"/>
        <w:adjustRightInd w:val="0"/>
        <w:spacing w:before="120" w:line="360" w:lineRule="auto"/>
        <w:ind w:firstLine="709"/>
        <w:jc w:val="both"/>
        <w:rPr>
          <w:rFonts w:ascii="Times New Roman" w:eastAsiaTheme="minorHAnsi" w:hAnsi="Times New Roman" w:cs="Times New Roman"/>
          <w:sz w:val="24"/>
          <w:szCs w:val="24"/>
          <w:lang w:eastAsia="en-US"/>
        </w:rPr>
      </w:pPr>
      <w:r w:rsidRPr="007A0BCB">
        <w:rPr>
          <w:rFonts w:ascii="Times New Roman" w:eastAsiaTheme="minorHAnsi" w:hAnsi="Times New Roman" w:cs="Times New Roman"/>
          <w:sz w:val="24"/>
          <w:szCs w:val="24"/>
          <w:lang w:eastAsia="en-US"/>
        </w:rPr>
        <w:t>Argümantasyon yapısının oluşabilmesi için öğrencilerin veriye bağlı olarak kendi iddialarını ortaya atmaları, bu iddia ile veri arasında geçerli ve kabul edilebilir gerekçeler kurabilmeleri gerekir. Ayrıca argümantasyon sürecinde bu iddialarına itirazlar (çürütmeler) geldiğinde bunları daha genel formal bilgilerle destekleyebilmeleri istenir (Aldağ, 2006; Sampson and Clark, 2008). Bu süreç içerisinde öğretmenin öğrencilerini bilişsel olarak yönlendirebilmesi oldukça önemlidir (Carpenter, Fennema and Franke, 1996).</w:t>
      </w:r>
    </w:p>
    <w:p w14:paraId="12DCA395" w14:textId="6999CA20" w:rsidR="009F4400" w:rsidRPr="007A0BCB" w:rsidRDefault="009F4400" w:rsidP="009F4400">
      <w:pPr>
        <w:autoSpaceDE w:val="0"/>
        <w:autoSpaceDN w:val="0"/>
        <w:adjustRightInd w:val="0"/>
        <w:spacing w:before="120" w:line="360" w:lineRule="auto"/>
        <w:jc w:val="both"/>
        <w:rPr>
          <w:rFonts w:ascii="Times New Roman" w:eastAsiaTheme="minorHAnsi" w:hAnsi="Times New Roman" w:cs="Times New Roman"/>
          <w:sz w:val="24"/>
          <w:szCs w:val="24"/>
          <w:lang w:eastAsia="en-US"/>
        </w:rPr>
      </w:pPr>
      <w:r w:rsidRPr="004B53FB">
        <w:rPr>
          <w:rFonts w:ascii="Times New Roman" w:eastAsia="Times New Roman" w:hAnsi="Times New Roman"/>
          <w:color w:val="000000" w:themeColor="text1"/>
          <w:sz w:val="24"/>
          <w:szCs w:val="24"/>
        </w:rPr>
        <w:t>ATBÖ yaklaşımının uygulandığı sınıf ortamıyla geleneksel yaklaşımının uygulandığı sınıf ortamının karşılaştırılarak fen derslerinde başarıya etki ve fene karşı tutumun incelendiği çalışmalar incelenirse;</w:t>
      </w:r>
      <w:r>
        <w:rPr>
          <w:rFonts w:ascii="Times New Roman" w:eastAsia="Times New Roman" w:hAnsi="Times New Roman"/>
          <w:color w:val="000000" w:themeColor="text1"/>
          <w:sz w:val="24"/>
          <w:szCs w:val="24"/>
        </w:rPr>
        <w:t xml:space="preserve"> </w:t>
      </w:r>
      <w:r w:rsidRPr="004B53FB">
        <w:rPr>
          <w:rFonts w:ascii="Times New Roman" w:hAnsi="Times New Roman"/>
          <w:sz w:val="24"/>
          <w:szCs w:val="24"/>
        </w:rPr>
        <w:t>Kaya (2005) tarafından yapılan çalışmada da tartışma teorisine dayalı eğitim alan öğrencilerin, geleneksel yaklaşımla eğitim alan öğrencilere göre daha başarılı oldukları ve istatistiksel olarak anlamlı bir farkın olduğu tespit edilmiştir.</w:t>
      </w:r>
      <w:r>
        <w:rPr>
          <w:rFonts w:ascii="Times New Roman" w:hAnsi="Times New Roman"/>
          <w:sz w:val="24"/>
          <w:szCs w:val="24"/>
        </w:rPr>
        <w:t xml:space="preserve"> Yeşiloğlu (2007)’nin yürüttüğü çalışmada </w:t>
      </w:r>
      <w:r w:rsidRPr="004B53FB">
        <w:rPr>
          <w:rFonts w:ascii="Times New Roman" w:hAnsi="Times New Roman"/>
          <w:sz w:val="24"/>
          <w:szCs w:val="24"/>
        </w:rPr>
        <w:t>bilimsel tartışma modeli ile eğitim verilen öğrencilerin başarılarının ve kavramsal değişimlerinin geleneksel öğretim ile eğitim gören öğrencilerden daha yüksek olduğu ortaya çıkmıştır.</w:t>
      </w:r>
      <w:r>
        <w:rPr>
          <w:rFonts w:ascii="Times New Roman" w:hAnsi="Times New Roman"/>
          <w:sz w:val="24"/>
          <w:szCs w:val="24"/>
        </w:rPr>
        <w:t xml:space="preserve"> </w:t>
      </w:r>
      <w:r w:rsidRPr="004B53FB">
        <w:rPr>
          <w:rFonts w:ascii="Times New Roman" w:hAnsi="Times New Roman"/>
          <w:sz w:val="24"/>
          <w:szCs w:val="24"/>
        </w:rPr>
        <w:t>Ceylan (2010), biyoloji öğretmen adayları ile Argümantasyon Tabanlı Bilim Öğrenme yaklaşımını Bitki Fizyolojisi Laboratuarı dersinde uygulayarak, bu yöntemin öğrencilerin akademik başarısı üzerindeki etkisini incelemek amacıyla gerçekleştirdiği çalışma sonuçlarına göre deney grubunun ön test ve son test sonuçları arasında istatistiksel açıdan anlamlı bir farklılığın bulunduğunu, ATBÖ yaklaşımının öğrenci başarısını olumlu etkilediğini ortaya koymuştur.</w:t>
      </w:r>
    </w:p>
    <w:p w14:paraId="2E143E78" w14:textId="3B322552" w:rsidR="006D5C8A" w:rsidRPr="00CD33C0" w:rsidRDefault="002D53F8" w:rsidP="002D53F8">
      <w:pPr>
        <w:pStyle w:val="ListeParagraf"/>
        <w:spacing w:after="0" w:line="360" w:lineRule="auto"/>
        <w:ind w:left="0"/>
        <w:jc w:val="both"/>
        <w:rPr>
          <w:rFonts w:ascii="Times New Roman" w:hAnsi="Times New Roman" w:cs="Times New Roman"/>
          <w:sz w:val="24"/>
          <w:szCs w:val="24"/>
        </w:rPr>
      </w:pPr>
      <w:r w:rsidRPr="002D53F8">
        <w:rPr>
          <w:rFonts w:ascii="Times New Roman" w:hAnsi="Times New Roman" w:cs="Times New Roman"/>
          <w:sz w:val="24"/>
          <w:szCs w:val="24"/>
        </w:rPr>
        <w:t xml:space="preserve">Bu çalışmada ATBÖ yaklaşımının matematik dersinde uygulanmasının öğrencilerin matematik kavramlarını ezber yapmadan, kavrayarak öğrenmelerinin yanında kendi yaratıcılıklarının </w:t>
      </w:r>
      <w:r w:rsidRPr="002D53F8">
        <w:rPr>
          <w:rFonts w:ascii="Times New Roman" w:hAnsi="Times New Roman" w:cs="Times New Roman"/>
          <w:sz w:val="24"/>
          <w:szCs w:val="24"/>
        </w:rPr>
        <w:lastRenderedPageBreak/>
        <w:t xml:space="preserve">farkına varabilecekleri örnek bir öğrenme ortamını tecrübe etmeleri düşünülmektedir. Bu </w:t>
      </w:r>
      <w:r w:rsidR="00F52EDB">
        <w:rPr>
          <w:rFonts w:ascii="Times New Roman" w:hAnsi="Times New Roman" w:cs="Times New Roman"/>
          <w:sz w:val="24"/>
          <w:szCs w:val="24"/>
        </w:rPr>
        <w:t>düşünce</w:t>
      </w:r>
      <w:r w:rsidR="00C2333D">
        <w:rPr>
          <w:rFonts w:ascii="Times New Roman" w:hAnsi="Times New Roman" w:cs="Times New Roman"/>
          <w:sz w:val="24"/>
          <w:szCs w:val="24"/>
        </w:rPr>
        <w:t>den hareketle araştırmamızın</w:t>
      </w:r>
      <w:r w:rsidRPr="002D53F8">
        <w:rPr>
          <w:rFonts w:ascii="Times New Roman" w:hAnsi="Times New Roman" w:cs="Times New Roman"/>
          <w:sz w:val="24"/>
          <w:szCs w:val="24"/>
        </w:rPr>
        <w:t xml:space="preserve"> amacı argümantasyon tabanlı bilim öğrenme yaklaşımının 9. sınıf öğrencilerinin fonksiyonlar konusundaki başarılarına olan etkisini incelemektir. </w:t>
      </w:r>
    </w:p>
    <w:p w14:paraId="670A4BFE" w14:textId="570C1942" w:rsidR="006D5C8A" w:rsidRDefault="005F655A" w:rsidP="0078124A">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Yöntem</w:t>
      </w:r>
    </w:p>
    <w:p w14:paraId="0631EC72" w14:textId="77777777" w:rsidR="00CC23CE" w:rsidRPr="00CD33C0" w:rsidRDefault="00CC23CE" w:rsidP="00CC23CE">
      <w:pPr>
        <w:spacing w:after="0" w:line="360" w:lineRule="auto"/>
        <w:jc w:val="both"/>
        <w:rPr>
          <w:rFonts w:ascii="Times New Roman" w:hAnsi="Times New Roman" w:cs="Times New Roman"/>
          <w:b/>
          <w:sz w:val="24"/>
          <w:szCs w:val="24"/>
        </w:rPr>
      </w:pPr>
    </w:p>
    <w:p w14:paraId="2C97D694" w14:textId="41DB3946" w:rsidR="00CC23CE" w:rsidRDefault="00CC23CE" w:rsidP="00AB5A29">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Problem Cümlesi</w:t>
      </w:r>
    </w:p>
    <w:p w14:paraId="123119E9" w14:textId="1144305F" w:rsidR="00CC23CE" w:rsidRPr="00CC23CE" w:rsidRDefault="00CC23CE" w:rsidP="00CC23CE">
      <w:pPr>
        <w:spacing w:before="120" w:line="360" w:lineRule="auto"/>
        <w:ind w:firstLine="709"/>
        <w:jc w:val="both"/>
        <w:rPr>
          <w:rFonts w:ascii="Times New Roman" w:eastAsia="Calibri" w:hAnsi="Times New Roman" w:cs="Times New Roman"/>
          <w:sz w:val="24"/>
          <w:szCs w:val="24"/>
          <w:lang w:eastAsia="en-US"/>
        </w:rPr>
      </w:pPr>
      <w:r w:rsidRPr="00CC23CE">
        <w:rPr>
          <w:rFonts w:ascii="Times New Roman" w:eastAsia="Calibri" w:hAnsi="Times New Roman" w:cs="Times New Roman"/>
          <w:sz w:val="24"/>
          <w:szCs w:val="24"/>
          <w:lang w:eastAsia="en-US"/>
        </w:rPr>
        <w:t>Bu çalışmada Argümantasyon Tabanlı Bilim Öğrenme Yaklaşımının 9. Sınıf öğrencilerinin matematik başarılarını nasıl etkilediği araştırılmıştır.</w:t>
      </w:r>
    </w:p>
    <w:p w14:paraId="11122AB0" w14:textId="4448815E" w:rsidR="00250FF0" w:rsidRPr="00CD33C0" w:rsidRDefault="005F655A" w:rsidP="00AB5A29">
      <w:pPr>
        <w:spacing w:after="0" w:line="360" w:lineRule="auto"/>
        <w:ind w:firstLine="567"/>
        <w:rPr>
          <w:rFonts w:ascii="Times New Roman" w:hAnsi="Times New Roman" w:cs="Times New Roman"/>
          <w:b/>
          <w:sz w:val="24"/>
          <w:szCs w:val="24"/>
        </w:rPr>
      </w:pPr>
      <w:r w:rsidRPr="00CD33C0">
        <w:rPr>
          <w:rFonts w:ascii="Times New Roman" w:hAnsi="Times New Roman" w:cs="Times New Roman"/>
          <w:b/>
          <w:sz w:val="24"/>
          <w:szCs w:val="24"/>
        </w:rPr>
        <w:t>Araştırma Deseni</w:t>
      </w:r>
    </w:p>
    <w:p w14:paraId="13D13A5E" w14:textId="6656CE3C"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Çalışmada nicel yöntem kullanılmıştır. Çalışma, tek grup ön test-son test zayıf deneysel araştırma deseninden oluşmaktadır. Karasar (2007) tek grup ön test son test modelinde gelişi güzel seçilmiş bir gruba bağımsız değişken uygulandığını belirtmiş, hem deney öncesi (ön test), hem de deney sonrası (son test) ölçmelerin olduğunu belirtmiştir.</w:t>
      </w:r>
      <w:r>
        <w:rPr>
          <w:rFonts w:ascii="Times New Roman" w:hAnsi="Times New Roman" w:cs="Times New Roman"/>
          <w:sz w:val="24"/>
          <w:szCs w:val="24"/>
        </w:rPr>
        <w:t xml:space="preserve"> </w:t>
      </w:r>
      <w:r w:rsidR="00C2333D">
        <w:rPr>
          <w:rFonts w:ascii="Times New Roman" w:hAnsi="Times New Roman" w:cs="Times New Roman"/>
          <w:sz w:val="24"/>
          <w:szCs w:val="24"/>
        </w:rPr>
        <w:t>Bu çalışmada rasgele bir 9.sınıf şubesi seçilerek uygulama öncesi ve uygulama sonrası başarı testi kullanıldığı için bu desenin uygun olduğuna karar verilmiştir.</w:t>
      </w:r>
    </w:p>
    <w:p w14:paraId="5FD0456D" w14:textId="5CB8F3FA" w:rsidR="00250FF0" w:rsidRPr="00BD56B3" w:rsidRDefault="0045501C"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Çalışma Grubu</w:t>
      </w:r>
    </w:p>
    <w:p w14:paraId="30A48635" w14:textId="0A48A394" w:rsidR="00AB5A29" w:rsidRDefault="002D53F8" w:rsidP="002D53F8">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Araştırma Bayburt Fen Lisesi 2012–2013 öğretim yılı güz döneminde 9. sınıfta öğrenim gören 11 kız ve 11 erkek öğrenci olmak üzere toplam 22 öğrenci ile yürütülmüştür. Öğrencilerin hepsi ilköğretimde benzer eğitim almış oldukları ve SBS’den belli bir taban puanla fen lisesine yerleştikleri dikkate alınırsa oldukça homojen bir grup olduğu söylenebilir. Öğrencilerin seçiminde seçkisiz olmayan örnekleme yaklaşımlardan biri olan amaçsal örnekleme yöntemi kullanılmıştır.</w:t>
      </w:r>
      <w:r w:rsidR="00B95274">
        <w:rPr>
          <w:rFonts w:ascii="Times New Roman" w:hAnsi="Times New Roman" w:cs="Times New Roman"/>
          <w:sz w:val="24"/>
          <w:szCs w:val="24"/>
        </w:rPr>
        <w:t xml:space="preserve"> Amaçsal örnekleme olasılığa dayanmayanseçkisiz olmayan bir örnekleme türüdür(Büyüköztürk, 2008).</w:t>
      </w:r>
      <w:r w:rsidRPr="002D53F8">
        <w:rPr>
          <w:rFonts w:ascii="Times New Roman" w:hAnsi="Times New Roman" w:cs="Times New Roman"/>
          <w:sz w:val="24"/>
          <w:szCs w:val="24"/>
        </w:rPr>
        <w:t xml:space="preserve"> Fen Lisesi öğrencilerinin verimli ve kaliteli tartışmalar yapabileceği düşünüldüğü için bu lise seçilmiştir. Fen Liseleri; matematik ve fen bilimleri alanlarında gereksinim duyulan üstün nitelikli bilim adamlarının yetiştirilmesine kaynaklık etmeyi, öğrencileri araştırmaya yöneltmeyi, bilimsel ve teknolojik gelişmeler ile yeni buluşlara ilgi duyanların çalışacakları ortamı ve koşulları hazırlamayı, yeni teknolojileri kullanabilen, yeni bilgiler üretebilen ve projeler hazırlayabilen bireyler yetiştirmeyi amaçlayan okullardır (MEB, 2009).</w:t>
      </w:r>
    </w:p>
    <w:p w14:paraId="1FB819D1" w14:textId="74C3317A" w:rsidR="006A2EE7" w:rsidRDefault="006A2EE7" w:rsidP="002D53F8">
      <w:pPr>
        <w:spacing w:after="0" w:line="360" w:lineRule="auto"/>
        <w:ind w:firstLine="567"/>
        <w:jc w:val="both"/>
        <w:rPr>
          <w:rFonts w:ascii="Times New Roman" w:hAnsi="Times New Roman" w:cs="Times New Roman"/>
          <w:sz w:val="24"/>
          <w:szCs w:val="24"/>
        </w:rPr>
      </w:pPr>
    </w:p>
    <w:p w14:paraId="7F4E0B41" w14:textId="77777777" w:rsidR="006A2EE7" w:rsidRDefault="006A2EE7" w:rsidP="002D53F8">
      <w:pPr>
        <w:spacing w:after="0" w:line="360" w:lineRule="auto"/>
        <w:ind w:firstLine="567"/>
        <w:jc w:val="both"/>
        <w:rPr>
          <w:rFonts w:ascii="Times New Roman" w:hAnsi="Times New Roman" w:cs="Times New Roman"/>
          <w:sz w:val="24"/>
          <w:szCs w:val="24"/>
        </w:rPr>
      </w:pPr>
    </w:p>
    <w:p w14:paraId="2B653C0B" w14:textId="71BF64E9" w:rsidR="00100E42" w:rsidRDefault="00100E42" w:rsidP="002D53F8">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Uygulama</w:t>
      </w:r>
    </w:p>
    <w:p w14:paraId="02E8312B" w14:textId="08AF2386" w:rsidR="00100E42" w:rsidRPr="004B53FB" w:rsidRDefault="00100E42" w:rsidP="00100E42">
      <w:pPr>
        <w:spacing w:before="120" w:line="360" w:lineRule="auto"/>
        <w:ind w:firstLine="709"/>
        <w:jc w:val="both"/>
        <w:rPr>
          <w:rFonts w:ascii="Times New Roman" w:hAnsi="Times New Roman"/>
          <w:sz w:val="24"/>
          <w:szCs w:val="24"/>
        </w:rPr>
      </w:pPr>
      <w:r w:rsidRPr="004B53FB">
        <w:rPr>
          <w:rFonts w:ascii="Times New Roman" w:eastAsiaTheme="minorHAnsi" w:hAnsi="Times New Roman"/>
          <w:sz w:val="24"/>
          <w:szCs w:val="24"/>
        </w:rPr>
        <w:t>ATBÖ yaklaşımının uygulanacağı sınıf ortamında öğrencilerin veriye bağlı olarak kendi iddialarını ortaya atmaları, bu iddia ile veri arasında geçerli ve kabul edilebilir gerekçeler kurabilmeleri ve bu süreçte ortaya attıkları iddialarına itirazlar geldiğinde bunları daha geçerli bilgilerle destekleyebi</w:t>
      </w:r>
      <w:r>
        <w:rPr>
          <w:rFonts w:ascii="Times New Roman" w:eastAsiaTheme="minorHAnsi" w:hAnsi="Times New Roman"/>
          <w:sz w:val="24"/>
          <w:szCs w:val="24"/>
        </w:rPr>
        <w:t>lmeleri istenir ve beklenir. B</w:t>
      </w:r>
      <w:r w:rsidRPr="004B53FB">
        <w:rPr>
          <w:rFonts w:ascii="Times New Roman" w:eastAsiaTheme="minorHAnsi" w:hAnsi="Times New Roman"/>
          <w:sz w:val="24"/>
          <w:szCs w:val="24"/>
        </w:rPr>
        <w:t>u süreçte öğretmenin öğrencilerini bilişsel olarak yönlendirebilmesi oldukça önemlidir.</w:t>
      </w:r>
      <w:r>
        <w:rPr>
          <w:rFonts w:ascii="Times New Roman" w:eastAsiaTheme="minorHAnsi" w:hAnsi="Times New Roman"/>
          <w:sz w:val="24"/>
          <w:szCs w:val="24"/>
        </w:rPr>
        <w:t xml:space="preserve"> </w:t>
      </w:r>
      <w:r w:rsidRPr="004B53FB">
        <w:rPr>
          <w:rFonts w:ascii="Times New Roman" w:hAnsi="Times New Roman"/>
          <w:sz w:val="24"/>
          <w:szCs w:val="24"/>
        </w:rPr>
        <w:t>İlk olarak öğrencilerin ezbere başvurmaksızın öğrenecekleri konunun kavramları ile ilgili sorgulanması; bu sayede sahip oldukları fikirleri önce grup içinde arkadaşlarıyla tartışarak ortak bir karara varmaları; vardıkları ortak karar nihayetinde bir iddia oluşturarak diğer gruplara bu iddialarını sunmaları ve her grubun iddiası dinlendikten sonra ileri sürülen iddiaları sağlam delillere dayandırarak çürütmele</w:t>
      </w:r>
      <w:r>
        <w:rPr>
          <w:rFonts w:ascii="Times New Roman" w:hAnsi="Times New Roman"/>
          <w:sz w:val="24"/>
          <w:szCs w:val="24"/>
        </w:rPr>
        <w:t>ri yahut desteklemeleri beklenmektedir</w:t>
      </w:r>
      <w:r w:rsidRPr="004B53FB">
        <w:rPr>
          <w:rFonts w:ascii="Times New Roman" w:hAnsi="Times New Roman"/>
          <w:sz w:val="24"/>
          <w:szCs w:val="24"/>
        </w:rPr>
        <w:t>. Bir süre tartışmadan sonra kendilerine bir etkinlik</w:t>
      </w:r>
      <w:r>
        <w:rPr>
          <w:rFonts w:ascii="Times New Roman" w:hAnsi="Times New Roman"/>
          <w:sz w:val="24"/>
          <w:szCs w:val="24"/>
        </w:rPr>
        <w:t xml:space="preserve"> verilerek tekrar tartışmaları istenip</w:t>
      </w:r>
      <w:r w:rsidRPr="004B53FB">
        <w:rPr>
          <w:rFonts w:ascii="Times New Roman" w:hAnsi="Times New Roman"/>
          <w:sz w:val="24"/>
          <w:szCs w:val="24"/>
        </w:rPr>
        <w:t xml:space="preserve"> ve nihayetinde tartışarak istenen şeye hazır bilgiden değil kendilerinin düşünerek </w:t>
      </w:r>
      <w:r>
        <w:rPr>
          <w:rFonts w:ascii="Times New Roman" w:hAnsi="Times New Roman"/>
          <w:sz w:val="24"/>
          <w:szCs w:val="24"/>
        </w:rPr>
        <w:t>ve tartışarak ulaşmaları sağlanmaya çalışılmıştır.</w:t>
      </w:r>
      <w:r w:rsidR="00B820AB">
        <w:rPr>
          <w:rFonts w:ascii="Times New Roman" w:hAnsi="Times New Roman"/>
          <w:sz w:val="24"/>
          <w:szCs w:val="24"/>
        </w:rPr>
        <w:t xml:space="preserve"> </w:t>
      </w:r>
      <w:r w:rsidRPr="004B53FB">
        <w:rPr>
          <w:rFonts w:ascii="Times New Roman" w:hAnsi="Times New Roman"/>
          <w:sz w:val="24"/>
          <w:szCs w:val="24"/>
        </w:rPr>
        <w:t xml:space="preserve">Bu süreç esnasında araştırmacı çoğunlukla “Arkadaşlarınızın fikrine katılıyor musunuz?, Neden?, Nasıl” gibi sorularla öğrenciler arasında müzakere süreçlerinin oluşmasına katkıda bulunmuştur. Bütün grupların tartışmaları bittikten sonra araştırmacı soru-cevap yöntemini kullanarak genel bir toparlama yoluna gitmiş ve yapılan etkinliklerin dersin ana fikri ile ilişkilendirilmesini sağlamıştır. </w:t>
      </w:r>
    </w:p>
    <w:p w14:paraId="568F2BE4" w14:textId="77777777" w:rsidR="00100E42" w:rsidRPr="00100E42" w:rsidRDefault="00100E42" w:rsidP="002D53F8">
      <w:pPr>
        <w:spacing w:after="0" w:line="360" w:lineRule="auto"/>
        <w:ind w:firstLine="567"/>
        <w:jc w:val="both"/>
        <w:rPr>
          <w:rFonts w:ascii="Times New Roman" w:hAnsi="Times New Roman" w:cs="Times New Roman"/>
          <w:b/>
          <w:sz w:val="24"/>
          <w:szCs w:val="24"/>
        </w:rPr>
      </w:pPr>
    </w:p>
    <w:p w14:paraId="77A1BB4B" w14:textId="77777777" w:rsidR="002D3855" w:rsidRDefault="002D3855" w:rsidP="00AB5A29">
      <w:pPr>
        <w:spacing w:after="0" w:line="240" w:lineRule="auto"/>
        <w:ind w:firstLine="567"/>
        <w:jc w:val="both"/>
        <w:rPr>
          <w:rFonts w:ascii="Times New Roman" w:hAnsi="Times New Roman" w:cs="Times New Roman"/>
          <w:b/>
          <w:sz w:val="24"/>
          <w:szCs w:val="24"/>
        </w:rPr>
      </w:pPr>
    </w:p>
    <w:p w14:paraId="129B20C3" w14:textId="13BF995A" w:rsidR="00250FF0" w:rsidRDefault="00B16431" w:rsidP="00AB5A29">
      <w:pPr>
        <w:spacing w:after="0" w:line="360" w:lineRule="auto"/>
        <w:ind w:firstLine="567"/>
        <w:jc w:val="both"/>
        <w:rPr>
          <w:rFonts w:ascii="Times New Roman" w:hAnsi="Times New Roman" w:cs="Times New Roman"/>
          <w:b/>
          <w:sz w:val="24"/>
          <w:szCs w:val="24"/>
        </w:rPr>
      </w:pPr>
      <w:r w:rsidRPr="00CD33C0">
        <w:rPr>
          <w:rFonts w:ascii="Times New Roman" w:hAnsi="Times New Roman" w:cs="Times New Roman"/>
          <w:b/>
          <w:sz w:val="24"/>
          <w:szCs w:val="24"/>
        </w:rPr>
        <w:t>Verilerin Toplanması</w:t>
      </w:r>
    </w:p>
    <w:p w14:paraId="386AC685" w14:textId="4F7240C3" w:rsidR="006F4D3E" w:rsidRPr="006F4D3E" w:rsidRDefault="006F4D3E" w:rsidP="00AB5A29">
      <w:pPr>
        <w:spacing w:after="0" w:line="360" w:lineRule="auto"/>
        <w:ind w:firstLine="567"/>
        <w:jc w:val="both"/>
        <w:rPr>
          <w:rFonts w:ascii="Times New Roman" w:hAnsi="Times New Roman" w:cs="Times New Roman"/>
          <w:sz w:val="24"/>
          <w:szCs w:val="24"/>
        </w:rPr>
      </w:pPr>
      <w:r w:rsidRPr="006F4D3E">
        <w:rPr>
          <w:rFonts w:ascii="Times New Roman" w:hAnsi="Times New Roman" w:cs="Times New Roman"/>
          <w:sz w:val="24"/>
          <w:szCs w:val="24"/>
        </w:rPr>
        <w:t xml:space="preserve">Çalışmanın </w:t>
      </w:r>
      <w:r>
        <w:rPr>
          <w:rFonts w:ascii="Times New Roman" w:hAnsi="Times New Roman" w:cs="Times New Roman"/>
          <w:sz w:val="24"/>
          <w:szCs w:val="24"/>
        </w:rPr>
        <w:t>verileri Fonksiyon Başarı Testi ve Matematik Muhakeme Yaklaşımı Öğrenci Şablonu kullanılarak toplanmıştır.</w:t>
      </w:r>
    </w:p>
    <w:p w14:paraId="386AF6F4" w14:textId="25947695" w:rsidR="006F4D3E" w:rsidRDefault="006F4D3E" w:rsidP="00AB5A29">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Fonksiyon Başarı Testi:</w:t>
      </w:r>
    </w:p>
    <w:p w14:paraId="4B960945" w14:textId="77777777" w:rsidR="006F4D3E" w:rsidRPr="00CD33C0" w:rsidRDefault="006F4D3E" w:rsidP="006F4D3E">
      <w:pPr>
        <w:spacing w:after="0" w:line="360" w:lineRule="auto"/>
        <w:jc w:val="both"/>
        <w:rPr>
          <w:rFonts w:ascii="Times New Roman" w:hAnsi="Times New Roman" w:cs="Times New Roman"/>
          <w:b/>
          <w:sz w:val="24"/>
          <w:szCs w:val="24"/>
        </w:rPr>
      </w:pPr>
    </w:p>
    <w:p w14:paraId="281172F8" w14:textId="38CE2A6C" w:rsidR="002D53F8" w:rsidRDefault="00BB0A5C" w:rsidP="002D53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Çalışmada verilerin toplanması için Fonksiyon Başarı Testi (FBT) kullanılmıştır. </w:t>
      </w:r>
      <w:r w:rsidR="002D53F8" w:rsidRPr="002D53F8">
        <w:rPr>
          <w:rFonts w:ascii="Times New Roman" w:hAnsi="Times New Roman" w:cs="Times New Roman"/>
          <w:sz w:val="24"/>
          <w:szCs w:val="24"/>
        </w:rPr>
        <w:t xml:space="preserve">Çalışma için geliştirilen testin ilk hali 20 açık uçlu sorudan oluşmaktadır. Fonksiyonlar konusuyla ilgili geçmiş yıllarda ÖSS-LYS-YGS sınavında çıkmış sorular bir araya getirilerek bir soru havuzu oluşturulmuştur. Soruların hangilerinin kullanılacağı belirlenirken konu ile ilgili kazanımlar ve çalışmanın amacı kriter olarak alınmıştır ve belirtke tablosu hazırlanmıştır. Bu kriterlere bağlı olarak belirlenen sorular aynen kullanılmamış, çoktan seçmeli olarak sorulmuş sorular açık uçlu soru haline dönüştürülerek kullanılmıştır. Oluşturulan belirtke tablosuna göre 20 adet soru belirlenmiştir. Testin pilot çalışması 10. sınıfta öğrenim gören 50 </w:t>
      </w:r>
      <w:r w:rsidR="002D53F8" w:rsidRPr="002D53F8">
        <w:rPr>
          <w:rFonts w:ascii="Times New Roman" w:hAnsi="Times New Roman" w:cs="Times New Roman"/>
          <w:sz w:val="24"/>
          <w:szCs w:val="24"/>
        </w:rPr>
        <w:lastRenderedPageBreak/>
        <w:t>kişilik öğrenci grubuna uygulanmış ve her öğrencinin testten elde ettiği toplam puan hesaplanmıştır. Hesaplanan bu puanlar büyükten küçüğe doğru sıralanmış daha sonra öğrenciler 3 gruba ayrılmış, üst grup 15, orta grup 20 ve alt grup 15 öğrenciden oluşmuştur. Oluşan bu gruplara göre testin maddeler için ayırt edicilik ve güçlük indeksleri hesaplanmıştır. Özçelik (1989)’a göre madde güçlük indeksi 0,20 den düşük olanlar kullanılamaz, 0,20-0,30 olanlar kullanılabilir, 0,30-0,40 olanlar iyi, 0,40 dan büyük olanlar iyi soru olarak tasnif edildiğinden madde güçlük indeksi 0,20 nin altında olan sorular çıkarılmıştır. Testte yer alan 2,6,13,15 ve 19. sorular madde analizinde ayırt edicilikleri düşük olduğu için çıkarılmıştır. Testin geçerliliğini sağlamak için uzman görüşüne başvurulmuştur. 3 matematik eğitimi uzmanı ve uygulama yapılan lisede görev yapan 2 matematik öğretmeni tarafından sorular incelenmiş ve görüşleri alınarak kapsam geçerliliği sağlanmaya çalışılmıştır.</w:t>
      </w:r>
    </w:p>
    <w:p w14:paraId="002C17F7"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w:r w:rsidRPr="002132EB">
        <w:rPr>
          <w:rFonts w:ascii="Times New Roman" w:eastAsia="Calibri" w:hAnsi="Times New Roman" w:cs="Times New Roman"/>
          <w:sz w:val="24"/>
          <w:szCs w:val="24"/>
          <w:lang w:eastAsia="en-US"/>
        </w:rPr>
        <w:t>Açık uçlu soruların madde analizleri aşağıdaki gibi yapılmıştır (Bayrakçeken, 2008).</w:t>
      </w:r>
    </w:p>
    <w:p w14:paraId="36A012BB"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w:r w:rsidRPr="002132EB">
        <w:rPr>
          <w:rFonts w:ascii="Times New Roman" w:eastAsia="Calibri" w:hAnsi="Times New Roman" w:cs="Times New Roman"/>
          <w:sz w:val="24"/>
          <w:szCs w:val="24"/>
          <w:lang w:eastAsia="en-US"/>
        </w:rPr>
        <w:t xml:space="preserve">P:Madde güçlük indeksi ve  D:madde ayırıcılık indeksi </w:t>
      </w:r>
    </w:p>
    <w:p w14:paraId="35FB6C06"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w:r w:rsidRPr="002132EB">
        <w:rPr>
          <w:rFonts w:ascii="Times New Roman" w:eastAsia="Calibri" w:hAnsi="Times New Roman" w:cs="Times New Roman"/>
          <w:sz w:val="24"/>
          <w:szCs w:val="24"/>
          <w:lang w:eastAsia="en-US"/>
        </w:rPr>
        <w:t xml:space="preserve">olmak üzere 4. sorunun madde analizleri </w:t>
      </w:r>
    </w:p>
    <w:p w14:paraId="096BED1D" w14:textId="77777777" w:rsidR="002132EB" w:rsidRPr="002132EB" w:rsidRDefault="002132EB" w:rsidP="002132EB">
      <w:pPr>
        <w:spacing w:before="120" w:line="360" w:lineRule="auto"/>
        <w:ind w:firstLine="709"/>
        <w:jc w:val="both"/>
        <w:rPr>
          <w:rFonts w:ascii="Times New Roman" w:hAnsi="Times New Roman" w:cs="Times New Roman"/>
          <w:sz w:val="24"/>
          <w:szCs w:val="24"/>
          <w:lang w:eastAsia="en-US"/>
        </w:rPr>
      </w:pPr>
      <m:oMathPara>
        <m:oMath>
          <m:r>
            <w:rPr>
              <w:rFonts w:ascii="Cambria Math" w:eastAsia="Calibri" w:hAnsi="Cambria Math" w:cs="Times New Roman"/>
              <w:sz w:val="24"/>
              <w:szCs w:val="24"/>
              <w:lang w:eastAsia="en-US"/>
            </w:rPr>
            <m:t>P=</m:t>
          </m:r>
          <m:f>
            <m:fPr>
              <m:ctrlPr>
                <w:rPr>
                  <w:rFonts w:ascii="Cambria Math" w:eastAsiaTheme="minorHAnsi" w:hAnsi="Cambria Math" w:cs="Times New Roman"/>
                  <w:i/>
                  <w:sz w:val="24"/>
                  <w:szCs w:val="24"/>
                  <w:lang w:eastAsia="en-US"/>
                </w:rPr>
              </m:ctrlPr>
            </m:fPr>
            <m:num>
              <m:r>
                <w:rPr>
                  <w:rFonts w:ascii="Cambria Math" w:eastAsia="Calibri" w:hAnsi="Cambria Math" w:cs="Times New Roman"/>
                  <w:sz w:val="24"/>
                  <w:szCs w:val="24"/>
                  <w:lang w:eastAsia="en-US"/>
                </w:rPr>
                <m:t>(47+19)</m:t>
              </m:r>
            </m:num>
            <m:den>
              <m:r>
                <w:rPr>
                  <w:rFonts w:ascii="Cambria Math" w:eastAsia="Calibri" w:hAnsi="Cambria Math" w:cs="Times New Roman"/>
                  <w:sz w:val="24"/>
                  <w:szCs w:val="24"/>
                  <w:lang w:eastAsia="en-US"/>
                </w:rPr>
                <m:t>30*4</m:t>
              </m:r>
            </m:den>
          </m:f>
          <m:r>
            <w:rPr>
              <w:rFonts w:ascii="Cambria Math" w:eastAsia="Calibri" w:hAnsi="Cambria Math" w:cs="Times New Roman"/>
              <w:sz w:val="24"/>
              <w:szCs w:val="24"/>
              <w:lang w:eastAsia="en-US"/>
            </w:rPr>
            <m:t>=</m:t>
          </m:r>
          <m:f>
            <m:fPr>
              <m:ctrlPr>
                <w:rPr>
                  <w:rFonts w:ascii="Cambria Math" w:eastAsiaTheme="minorHAnsi" w:hAnsi="Cambria Math" w:cs="Times New Roman"/>
                  <w:i/>
                  <w:sz w:val="24"/>
                  <w:szCs w:val="24"/>
                  <w:lang w:eastAsia="en-US"/>
                </w:rPr>
              </m:ctrlPr>
            </m:fPr>
            <m:num>
              <m:r>
                <w:rPr>
                  <w:rFonts w:ascii="Cambria Math" w:eastAsia="Calibri" w:hAnsi="Cambria Math" w:cs="Times New Roman"/>
                  <w:sz w:val="24"/>
                  <w:szCs w:val="24"/>
                  <w:lang w:eastAsia="en-US"/>
                </w:rPr>
                <m:t>66</m:t>
              </m:r>
            </m:num>
            <m:den>
              <m:r>
                <w:rPr>
                  <w:rFonts w:ascii="Cambria Math" w:eastAsia="Calibri" w:hAnsi="Cambria Math" w:cs="Times New Roman"/>
                  <w:sz w:val="24"/>
                  <w:szCs w:val="24"/>
                  <w:lang w:eastAsia="en-US"/>
                </w:rPr>
                <m:t>120</m:t>
              </m:r>
            </m:den>
          </m:f>
          <m:r>
            <w:rPr>
              <w:rFonts w:ascii="Cambria Math" w:eastAsia="Calibri" w:hAnsi="Cambria Math" w:cs="Times New Roman"/>
              <w:sz w:val="24"/>
              <w:szCs w:val="24"/>
              <w:lang w:eastAsia="en-US"/>
            </w:rPr>
            <m:t>=0,55</m:t>
          </m:r>
        </m:oMath>
      </m:oMathPara>
    </w:p>
    <w:p w14:paraId="0C74173A"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m:oMathPara>
        <m:oMath>
          <m:r>
            <w:rPr>
              <w:rFonts w:ascii="Cambria Math" w:eastAsia="Calibri" w:hAnsi="Cambria Math" w:cs="Times New Roman"/>
              <w:sz w:val="24"/>
              <w:szCs w:val="24"/>
              <w:lang w:eastAsia="en-US"/>
            </w:rPr>
            <m:t>D=</m:t>
          </m:r>
          <m:f>
            <m:fPr>
              <m:ctrlPr>
                <w:rPr>
                  <w:rFonts w:ascii="Cambria Math" w:eastAsiaTheme="minorHAnsi" w:hAnsi="Cambria Math" w:cs="Times New Roman"/>
                  <w:i/>
                  <w:sz w:val="24"/>
                  <w:szCs w:val="24"/>
                  <w:lang w:eastAsia="en-US"/>
                </w:rPr>
              </m:ctrlPr>
            </m:fPr>
            <m:num>
              <m:r>
                <w:rPr>
                  <w:rFonts w:ascii="Cambria Math" w:eastAsia="Calibri" w:hAnsi="Cambria Math" w:cs="Times New Roman"/>
                  <w:sz w:val="24"/>
                  <w:szCs w:val="24"/>
                  <w:lang w:eastAsia="en-US"/>
                </w:rPr>
                <m:t>(47-19)</m:t>
              </m:r>
            </m:num>
            <m:den>
              <m:r>
                <w:rPr>
                  <w:rFonts w:ascii="Cambria Math" w:eastAsia="Calibri" w:hAnsi="Cambria Math" w:cs="Times New Roman"/>
                  <w:sz w:val="24"/>
                  <w:szCs w:val="24"/>
                  <w:lang w:eastAsia="en-US"/>
                </w:rPr>
                <m:t>15*4</m:t>
              </m:r>
            </m:den>
          </m:f>
          <m:r>
            <w:rPr>
              <w:rFonts w:ascii="Cambria Math" w:hAnsi="Cambria Math" w:cs="Times New Roman"/>
              <w:sz w:val="24"/>
              <w:szCs w:val="24"/>
              <w:lang w:eastAsia="en-US"/>
            </w:rPr>
            <m:t>=</m:t>
          </m:r>
          <m:f>
            <m:fPr>
              <m:ctrlPr>
                <w:rPr>
                  <w:rFonts w:ascii="Cambria Math" w:hAnsi="Cambria Math" w:cs="Times New Roman"/>
                  <w:i/>
                  <w:sz w:val="24"/>
                  <w:szCs w:val="24"/>
                  <w:lang w:eastAsia="en-US"/>
                </w:rPr>
              </m:ctrlPr>
            </m:fPr>
            <m:num>
              <m:r>
                <w:rPr>
                  <w:rFonts w:ascii="Cambria Math" w:hAnsi="Cambria Math" w:cs="Times New Roman"/>
                  <w:sz w:val="24"/>
                  <w:szCs w:val="24"/>
                  <w:lang w:eastAsia="en-US"/>
                </w:rPr>
                <m:t>28</m:t>
              </m:r>
            </m:num>
            <m:den>
              <m:r>
                <w:rPr>
                  <w:rFonts w:ascii="Cambria Math" w:hAnsi="Cambria Math" w:cs="Times New Roman"/>
                  <w:sz w:val="24"/>
                  <w:szCs w:val="24"/>
                  <w:lang w:eastAsia="en-US"/>
                </w:rPr>
                <m:t>60</m:t>
              </m:r>
            </m:den>
          </m:f>
          <m:r>
            <w:rPr>
              <w:rFonts w:ascii="Cambria Math" w:hAnsi="Cambria Math" w:cs="Times New Roman"/>
              <w:sz w:val="24"/>
              <w:szCs w:val="24"/>
              <w:lang w:eastAsia="en-US"/>
            </w:rPr>
            <m:t>=0,466</m:t>
          </m:r>
        </m:oMath>
      </m:oMathPara>
    </w:p>
    <w:p w14:paraId="5CABCD8E"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w:r w:rsidRPr="002132EB">
        <w:rPr>
          <w:rFonts w:ascii="Times New Roman" w:eastAsia="Calibri" w:hAnsi="Times New Roman" w:cs="Times New Roman"/>
          <w:sz w:val="24"/>
          <w:szCs w:val="24"/>
          <w:lang w:eastAsia="en-US"/>
        </w:rPr>
        <w:t>şeklinde hesaplanmıştır.</w:t>
      </w:r>
    </w:p>
    <w:p w14:paraId="45F9B759" w14:textId="77777777" w:rsidR="002132EB" w:rsidRPr="002132EB" w:rsidRDefault="002132EB" w:rsidP="002132EB">
      <w:pPr>
        <w:spacing w:before="120" w:line="360" w:lineRule="auto"/>
        <w:ind w:firstLine="709"/>
        <w:jc w:val="both"/>
        <w:rPr>
          <w:rFonts w:ascii="Times New Roman" w:eastAsia="Calibri" w:hAnsi="Times New Roman" w:cs="Times New Roman"/>
          <w:sz w:val="24"/>
          <w:szCs w:val="24"/>
          <w:lang w:eastAsia="en-US"/>
        </w:rPr>
      </w:pPr>
      <w:r w:rsidRPr="002132EB">
        <w:rPr>
          <w:rFonts w:ascii="Times New Roman" w:eastAsia="Calibri" w:hAnsi="Times New Roman" w:cs="Times New Roman"/>
          <w:sz w:val="24"/>
          <w:szCs w:val="24"/>
          <w:lang w:eastAsia="en-US"/>
        </w:rPr>
        <w:t>Oluşturulan fonksiyon başarı testindeki 20 açık uçlu sorunun madde analizlerine Tablo 3.2’ de yer verilmiştir.</w:t>
      </w:r>
    </w:p>
    <w:p w14:paraId="401ED9CD" w14:textId="77777777" w:rsidR="002132EB" w:rsidRPr="002132EB" w:rsidRDefault="002132EB" w:rsidP="002132EB">
      <w:pPr>
        <w:keepNext/>
        <w:keepLines/>
        <w:spacing w:after="0" w:line="360" w:lineRule="auto"/>
        <w:jc w:val="both"/>
        <w:outlineLvl w:val="1"/>
        <w:rPr>
          <w:rFonts w:ascii="Times New Roman" w:eastAsia="Times New Roman" w:hAnsi="Times New Roman" w:cs="Times New Roman"/>
          <w:bCs/>
          <w:iCs/>
          <w:sz w:val="24"/>
          <w:szCs w:val="26"/>
          <w:lang w:eastAsia="en-US"/>
        </w:rPr>
      </w:pPr>
      <w:bookmarkStart w:id="2" w:name="_Toc384194004"/>
      <w:bookmarkStart w:id="3" w:name="_Toc400882120"/>
      <w:r w:rsidRPr="002132EB">
        <w:rPr>
          <w:rFonts w:ascii="Times New Roman" w:eastAsia="Times New Roman" w:hAnsi="Times New Roman" w:cs="Times New Roman"/>
          <w:bCs/>
          <w:iCs/>
          <w:sz w:val="24"/>
          <w:szCs w:val="26"/>
          <w:lang w:eastAsia="en-US"/>
        </w:rPr>
        <w:t>Tablo 3.2.</w:t>
      </w:r>
      <w:bookmarkEnd w:id="2"/>
      <w:bookmarkEnd w:id="3"/>
    </w:p>
    <w:p w14:paraId="7A966882" w14:textId="77777777" w:rsidR="002132EB" w:rsidRPr="002132EB" w:rsidRDefault="002132EB" w:rsidP="002132EB">
      <w:pPr>
        <w:keepNext/>
        <w:keepLines/>
        <w:spacing w:line="360" w:lineRule="auto"/>
        <w:jc w:val="both"/>
        <w:outlineLvl w:val="1"/>
        <w:rPr>
          <w:rFonts w:ascii="Times New Roman" w:eastAsia="Times New Roman" w:hAnsi="Times New Roman" w:cs="Times New Roman"/>
          <w:bCs/>
          <w:i/>
          <w:sz w:val="24"/>
          <w:szCs w:val="26"/>
          <w:lang w:eastAsia="en-US"/>
        </w:rPr>
      </w:pPr>
      <w:bookmarkStart w:id="4" w:name="_Toc400882121"/>
      <w:r w:rsidRPr="002132EB">
        <w:rPr>
          <w:rFonts w:ascii="Times New Roman" w:eastAsia="Times New Roman" w:hAnsi="Times New Roman" w:cs="Times New Roman"/>
          <w:bCs/>
          <w:i/>
          <w:sz w:val="24"/>
          <w:szCs w:val="26"/>
          <w:lang w:eastAsia="en-US"/>
        </w:rPr>
        <w:t>Fonksiyon Başarı Testi Açık Uçlu Soruların Madde Analizleri</w:t>
      </w:r>
      <w:bookmarkEnd w:id="4"/>
    </w:p>
    <w:tbl>
      <w:tblPr>
        <w:tblStyle w:val="TabloKlavuzu2"/>
        <w:tblW w:w="4969" w:type="pct"/>
        <w:tblBorders>
          <w:left w:val="none" w:sz="0" w:space="0" w:color="auto"/>
          <w:right w:val="none" w:sz="0" w:space="0" w:color="auto"/>
          <w:insideV w:val="none" w:sz="0" w:space="0" w:color="auto"/>
        </w:tblBorders>
        <w:tblLook w:val="04A0" w:firstRow="1" w:lastRow="0" w:firstColumn="1" w:lastColumn="0" w:noHBand="0" w:noVBand="1"/>
      </w:tblPr>
      <w:tblGrid>
        <w:gridCol w:w="1107"/>
        <w:gridCol w:w="1421"/>
        <w:gridCol w:w="653"/>
        <w:gridCol w:w="653"/>
        <w:gridCol w:w="653"/>
        <w:gridCol w:w="653"/>
        <w:gridCol w:w="653"/>
        <w:gridCol w:w="1489"/>
        <w:gridCol w:w="845"/>
        <w:gridCol w:w="843"/>
      </w:tblGrid>
      <w:tr w:rsidR="002132EB" w:rsidRPr="002132EB" w14:paraId="22E35D35" w14:textId="77777777" w:rsidTr="00370613">
        <w:trPr>
          <w:cantSplit/>
          <w:trHeight w:val="787"/>
        </w:trPr>
        <w:tc>
          <w:tcPr>
            <w:tcW w:w="617" w:type="pct"/>
            <w:vAlign w:val="center"/>
          </w:tcPr>
          <w:p w14:paraId="5C2397A3" w14:textId="77777777" w:rsidR="002132EB" w:rsidRPr="002132EB" w:rsidRDefault="002132EB" w:rsidP="002132EB">
            <w:pPr>
              <w:jc w:val="center"/>
              <w:rPr>
                <w:rFonts w:eastAsia="Calibri"/>
                <w:b/>
                <w:sz w:val="22"/>
                <w:szCs w:val="24"/>
                <w:lang w:eastAsia="en-US"/>
              </w:rPr>
            </w:pPr>
            <w:r w:rsidRPr="002132EB">
              <w:rPr>
                <w:rFonts w:eastAsia="Calibri"/>
                <w:b/>
                <w:sz w:val="22"/>
                <w:szCs w:val="24"/>
                <w:lang w:eastAsia="en-US"/>
              </w:rPr>
              <w:t>SORU</w:t>
            </w:r>
          </w:p>
        </w:tc>
        <w:tc>
          <w:tcPr>
            <w:tcW w:w="792" w:type="pct"/>
            <w:vAlign w:val="center"/>
          </w:tcPr>
          <w:p w14:paraId="5C7D26C6" w14:textId="77777777" w:rsidR="002132EB" w:rsidRPr="002132EB" w:rsidRDefault="002132EB" w:rsidP="002132EB">
            <w:pPr>
              <w:jc w:val="center"/>
              <w:rPr>
                <w:rFonts w:eastAsia="Calibri"/>
                <w:b/>
                <w:sz w:val="22"/>
                <w:szCs w:val="24"/>
                <w:lang w:eastAsia="en-US"/>
              </w:rPr>
            </w:pPr>
            <w:r w:rsidRPr="002132EB">
              <w:rPr>
                <w:rFonts w:eastAsia="Calibri"/>
                <w:b/>
                <w:sz w:val="22"/>
                <w:szCs w:val="24"/>
                <w:lang w:eastAsia="en-US"/>
              </w:rPr>
              <w:t>GRUP</w:t>
            </w:r>
          </w:p>
        </w:tc>
        <w:tc>
          <w:tcPr>
            <w:tcW w:w="364" w:type="pct"/>
            <w:textDirection w:val="btLr"/>
            <w:vAlign w:val="center"/>
          </w:tcPr>
          <w:p w14:paraId="48455C9C" w14:textId="77777777" w:rsidR="002132EB" w:rsidRPr="002132EB" w:rsidRDefault="002132EB" w:rsidP="002132EB">
            <w:pPr>
              <w:ind w:left="57" w:right="57"/>
              <w:jc w:val="center"/>
              <w:rPr>
                <w:rFonts w:eastAsia="Calibri"/>
                <w:b/>
                <w:sz w:val="22"/>
                <w:szCs w:val="24"/>
                <w:lang w:eastAsia="en-US"/>
              </w:rPr>
            </w:pPr>
            <w:r w:rsidRPr="002132EB">
              <w:rPr>
                <w:rFonts w:eastAsia="Calibri"/>
                <w:b/>
                <w:sz w:val="22"/>
                <w:szCs w:val="24"/>
                <w:lang w:eastAsia="en-US"/>
              </w:rPr>
              <w:t>4 puan</w:t>
            </w:r>
          </w:p>
        </w:tc>
        <w:tc>
          <w:tcPr>
            <w:tcW w:w="364" w:type="pct"/>
            <w:textDirection w:val="btLr"/>
            <w:vAlign w:val="center"/>
          </w:tcPr>
          <w:p w14:paraId="27FEAEFB" w14:textId="77777777" w:rsidR="002132EB" w:rsidRPr="002132EB" w:rsidRDefault="002132EB" w:rsidP="002132EB">
            <w:pPr>
              <w:ind w:left="57" w:right="57"/>
              <w:jc w:val="center"/>
              <w:rPr>
                <w:rFonts w:eastAsia="Calibri"/>
                <w:b/>
                <w:sz w:val="22"/>
                <w:szCs w:val="24"/>
                <w:lang w:eastAsia="en-US"/>
              </w:rPr>
            </w:pPr>
            <w:r w:rsidRPr="002132EB">
              <w:rPr>
                <w:rFonts w:eastAsia="Calibri"/>
                <w:b/>
                <w:sz w:val="22"/>
                <w:szCs w:val="24"/>
                <w:lang w:eastAsia="en-US"/>
              </w:rPr>
              <w:t>3 puan</w:t>
            </w:r>
          </w:p>
        </w:tc>
        <w:tc>
          <w:tcPr>
            <w:tcW w:w="364" w:type="pct"/>
            <w:textDirection w:val="btLr"/>
            <w:vAlign w:val="center"/>
          </w:tcPr>
          <w:p w14:paraId="708B92A5" w14:textId="77777777" w:rsidR="002132EB" w:rsidRPr="002132EB" w:rsidRDefault="002132EB" w:rsidP="002132EB">
            <w:pPr>
              <w:ind w:left="57" w:right="57"/>
              <w:jc w:val="center"/>
              <w:rPr>
                <w:rFonts w:eastAsia="Calibri"/>
                <w:b/>
                <w:sz w:val="22"/>
                <w:szCs w:val="24"/>
                <w:lang w:eastAsia="en-US"/>
              </w:rPr>
            </w:pPr>
            <w:r w:rsidRPr="002132EB">
              <w:rPr>
                <w:rFonts w:eastAsia="Calibri"/>
                <w:b/>
                <w:sz w:val="22"/>
                <w:szCs w:val="24"/>
                <w:lang w:eastAsia="en-US"/>
              </w:rPr>
              <w:t>2 puan</w:t>
            </w:r>
          </w:p>
        </w:tc>
        <w:tc>
          <w:tcPr>
            <w:tcW w:w="364" w:type="pct"/>
            <w:textDirection w:val="btLr"/>
            <w:vAlign w:val="center"/>
          </w:tcPr>
          <w:p w14:paraId="3585BE60" w14:textId="77777777" w:rsidR="002132EB" w:rsidRPr="002132EB" w:rsidRDefault="002132EB" w:rsidP="002132EB">
            <w:pPr>
              <w:ind w:left="57" w:right="57"/>
              <w:jc w:val="center"/>
              <w:rPr>
                <w:rFonts w:eastAsia="Calibri"/>
                <w:b/>
                <w:sz w:val="22"/>
                <w:szCs w:val="24"/>
                <w:lang w:eastAsia="en-US"/>
              </w:rPr>
            </w:pPr>
            <w:r w:rsidRPr="002132EB">
              <w:rPr>
                <w:rFonts w:eastAsia="Calibri"/>
                <w:b/>
                <w:sz w:val="22"/>
                <w:szCs w:val="24"/>
                <w:lang w:eastAsia="en-US"/>
              </w:rPr>
              <w:t>1 puan</w:t>
            </w:r>
          </w:p>
        </w:tc>
        <w:tc>
          <w:tcPr>
            <w:tcW w:w="364" w:type="pct"/>
            <w:textDirection w:val="btLr"/>
            <w:vAlign w:val="center"/>
          </w:tcPr>
          <w:p w14:paraId="66E53B38" w14:textId="77777777" w:rsidR="002132EB" w:rsidRPr="002132EB" w:rsidRDefault="002132EB" w:rsidP="002132EB">
            <w:pPr>
              <w:ind w:left="57" w:right="57"/>
              <w:jc w:val="center"/>
              <w:rPr>
                <w:rFonts w:eastAsia="Calibri"/>
                <w:b/>
                <w:sz w:val="22"/>
                <w:szCs w:val="24"/>
                <w:lang w:eastAsia="en-US"/>
              </w:rPr>
            </w:pPr>
            <w:r w:rsidRPr="002132EB">
              <w:rPr>
                <w:rFonts w:eastAsia="Calibri"/>
                <w:b/>
                <w:sz w:val="22"/>
                <w:szCs w:val="24"/>
                <w:lang w:eastAsia="en-US"/>
              </w:rPr>
              <w:t>0 puan</w:t>
            </w:r>
          </w:p>
        </w:tc>
        <w:tc>
          <w:tcPr>
            <w:tcW w:w="830" w:type="pct"/>
            <w:vAlign w:val="center"/>
          </w:tcPr>
          <w:p w14:paraId="031DC517" w14:textId="77777777" w:rsidR="002132EB" w:rsidRPr="002132EB" w:rsidRDefault="002132EB" w:rsidP="002132EB">
            <w:pPr>
              <w:jc w:val="center"/>
              <w:rPr>
                <w:rFonts w:eastAsia="Calibri"/>
                <w:b/>
                <w:sz w:val="22"/>
                <w:szCs w:val="24"/>
                <w:lang w:eastAsia="en-US"/>
              </w:rPr>
            </w:pPr>
            <w:r w:rsidRPr="002132EB">
              <w:rPr>
                <w:rFonts w:eastAsia="Calibri"/>
                <w:b/>
                <w:sz w:val="22"/>
                <w:szCs w:val="24"/>
                <w:lang w:eastAsia="en-US"/>
              </w:rPr>
              <w:t>TOPLAM PUAN</w:t>
            </w:r>
          </w:p>
        </w:tc>
        <w:tc>
          <w:tcPr>
            <w:tcW w:w="471" w:type="pct"/>
            <w:vAlign w:val="center"/>
          </w:tcPr>
          <w:p w14:paraId="281EAC7E" w14:textId="77777777" w:rsidR="002132EB" w:rsidRPr="002132EB" w:rsidRDefault="002132EB" w:rsidP="002132EB">
            <w:pPr>
              <w:jc w:val="center"/>
              <w:rPr>
                <w:rFonts w:eastAsia="Calibri"/>
                <w:b/>
                <w:sz w:val="22"/>
                <w:szCs w:val="24"/>
                <w:lang w:eastAsia="en-US"/>
              </w:rPr>
            </w:pPr>
            <w:r w:rsidRPr="002132EB">
              <w:rPr>
                <w:rFonts w:eastAsia="Calibri"/>
                <w:b/>
                <w:sz w:val="22"/>
                <w:szCs w:val="24"/>
                <w:lang w:eastAsia="en-US"/>
              </w:rPr>
              <w:t>P</w:t>
            </w:r>
          </w:p>
        </w:tc>
        <w:tc>
          <w:tcPr>
            <w:tcW w:w="470" w:type="pct"/>
            <w:vAlign w:val="center"/>
          </w:tcPr>
          <w:p w14:paraId="3BCC2CE7" w14:textId="77777777" w:rsidR="002132EB" w:rsidRPr="002132EB" w:rsidRDefault="002132EB" w:rsidP="002132EB">
            <w:pPr>
              <w:jc w:val="center"/>
              <w:rPr>
                <w:rFonts w:eastAsia="Calibri"/>
                <w:b/>
                <w:sz w:val="22"/>
                <w:szCs w:val="24"/>
                <w:lang w:eastAsia="en-US"/>
              </w:rPr>
            </w:pPr>
            <w:r w:rsidRPr="002132EB">
              <w:rPr>
                <w:rFonts w:eastAsia="Calibri"/>
                <w:b/>
                <w:sz w:val="22"/>
                <w:szCs w:val="24"/>
                <w:lang w:eastAsia="en-US"/>
              </w:rPr>
              <w:t>D</w:t>
            </w:r>
          </w:p>
        </w:tc>
      </w:tr>
      <w:tr w:rsidR="002132EB" w:rsidRPr="002132EB" w14:paraId="419A2624" w14:textId="77777777" w:rsidTr="00370613">
        <w:trPr>
          <w:trHeight w:val="20"/>
        </w:trPr>
        <w:tc>
          <w:tcPr>
            <w:tcW w:w="617" w:type="pct"/>
            <w:vMerge w:val="restart"/>
            <w:vAlign w:val="center"/>
          </w:tcPr>
          <w:p w14:paraId="077B7214"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w:t>
            </w:r>
          </w:p>
        </w:tc>
        <w:tc>
          <w:tcPr>
            <w:tcW w:w="792" w:type="pct"/>
            <w:vAlign w:val="center"/>
          </w:tcPr>
          <w:p w14:paraId="25D4291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5739C15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14</w:t>
            </w:r>
          </w:p>
        </w:tc>
        <w:tc>
          <w:tcPr>
            <w:tcW w:w="364" w:type="pct"/>
            <w:vAlign w:val="center"/>
          </w:tcPr>
          <w:p w14:paraId="5DBBA40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28FECC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67B07B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8E3387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5FFA274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59</w:t>
            </w:r>
          </w:p>
        </w:tc>
        <w:tc>
          <w:tcPr>
            <w:tcW w:w="471" w:type="pct"/>
            <w:vMerge w:val="restart"/>
            <w:vAlign w:val="center"/>
          </w:tcPr>
          <w:p w14:paraId="1AC2179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0,883</w:t>
            </w:r>
          </w:p>
        </w:tc>
        <w:tc>
          <w:tcPr>
            <w:tcW w:w="470" w:type="pct"/>
            <w:vMerge w:val="restart"/>
            <w:vAlign w:val="center"/>
          </w:tcPr>
          <w:p w14:paraId="231040F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0,20</w:t>
            </w:r>
          </w:p>
        </w:tc>
      </w:tr>
      <w:tr w:rsidR="002132EB" w:rsidRPr="002132EB" w14:paraId="5BB5AB09" w14:textId="77777777" w:rsidTr="00370613">
        <w:trPr>
          <w:trHeight w:val="20"/>
        </w:trPr>
        <w:tc>
          <w:tcPr>
            <w:tcW w:w="617" w:type="pct"/>
            <w:vMerge/>
            <w:vAlign w:val="center"/>
          </w:tcPr>
          <w:p w14:paraId="51B6130F" w14:textId="77777777" w:rsidR="002132EB" w:rsidRPr="002132EB" w:rsidRDefault="002132EB" w:rsidP="002132EB">
            <w:pPr>
              <w:jc w:val="center"/>
              <w:rPr>
                <w:rFonts w:eastAsia="Calibri"/>
                <w:b/>
                <w:sz w:val="22"/>
                <w:szCs w:val="22"/>
                <w:lang w:eastAsia="en-US"/>
              </w:rPr>
            </w:pPr>
          </w:p>
        </w:tc>
        <w:tc>
          <w:tcPr>
            <w:tcW w:w="792" w:type="pct"/>
            <w:vAlign w:val="center"/>
          </w:tcPr>
          <w:p w14:paraId="51061A7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72311B6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60F5C4D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4F8C63F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7E3ACA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4629BA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65F9C5C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47</w:t>
            </w:r>
          </w:p>
        </w:tc>
        <w:tc>
          <w:tcPr>
            <w:tcW w:w="471" w:type="pct"/>
            <w:vMerge/>
            <w:vAlign w:val="center"/>
          </w:tcPr>
          <w:p w14:paraId="3A257661" w14:textId="77777777" w:rsidR="002132EB" w:rsidRPr="002132EB" w:rsidRDefault="002132EB" w:rsidP="002132EB">
            <w:pPr>
              <w:jc w:val="center"/>
              <w:rPr>
                <w:rFonts w:eastAsia="Calibri"/>
                <w:sz w:val="22"/>
                <w:szCs w:val="22"/>
                <w:lang w:eastAsia="en-US"/>
              </w:rPr>
            </w:pPr>
          </w:p>
        </w:tc>
        <w:tc>
          <w:tcPr>
            <w:tcW w:w="470" w:type="pct"/>
            <w:vMerge/>
            <w:vAlign w:val="center"/>
          </w:tcPr>
          <w:p w14:paraId="4A3B3038" w14:textId="77777777" w:rsidR="002132EB" w:rsidRPr="002132EB" w:rsidRDefault="002132EB" w:rsidP="002132EB">
            <w:pPr>
              <w:jc w:val="center"/>
              <w:rPr>
                <w:rFonts w:eastAsia="Calibri"/>
                <w:sz w:val="22"/>
                <w:szCs w:val="22"/>
                <w:lang w:eastAsia="en-US"/>
              </w:rPr>
            </w:pPr>
          </w:p>
        </w:tc>
      </w:tr>
      <w:tr w:rsidR="002132EB" w:rsidRPr="002132EB" w14:paraId="02B4563A" w14:textId="77777777" w:rsidTr="00370613">
        <w:trPr>
          <w:trHeight w:val="20"/>
        </w:trPr>
        <w:tc>
          <w:tcPr>
            <w:tcW w:w="617" w:type="pct"/>
            <w:vMerge w:val="restart"/>
            <w:vAlign w:val="center"/>
          </w:tcPr>
          <w:p w14:paraId="636F582D"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2</w:t>
            </w:r>
          </w:p>
        </w:tc>
        <w:tc>
          <w:tcPr>
            <w:tcW w:w="792" w:type="pct"/>
            <w:vAlign w:val="center"/>
          </w:tcPr>
          <w:p w14:paraId="4196A35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4B06320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15</w:t>
            </w:r>
          </w:p>
        </w:tc>
        <w:tc>
          <w:tcPr>
            <w:tcW w:w="364" w:type="pct"/>
            <w:vAlign w:val="center"/>
          </w:tcPr>
          <w:p w14:paraId="47B9169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22A3C07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7F1AB45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3E85997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265E44A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60</w:t>
            </w:r>
          </w:p>
        </w:tc>
        <w:tc>
          <w:tcPr>
            <w:tcW w:w="471" w:type="pct"/>
            <w:vMerge w:val="restart"/>
            <w:vAlign w:val="center"/>
          </w:tcPr>
          <w:p w14:paraId="097B7D6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0,958</w:t>
            </w:r>
          </w:p>
        </w:tc>
        <w:tc>
          <w:tcPr>
            <w:tcW w:w="470" w:type="pct"/>
            <w:vMerge w:val="restart"/>
            <w:vAlign w:val="center"/>
          </w:tcPr>
          <w:p w14:paraId="618692A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0,08</w:t>
            </w:r>
          </w:p>
        </w:tc>
      </w:tr>
      <w:tr w:rsidR="002132EB" w:rsidRPr="002132EB" w14:paraId="2F597333" w14:textId="77777777" w:rsidTr="00370613">
        <w:trPr>
          <w:trHeight w:val="20"/>
        </w:trPr>
        <w:tc>
          <w:tcPr>
            <w:tcW w:w="617" w:type="pct"/>
            <w:vMerge/>
            <w:vAlign w:val="center"/>
          </w:tcPr>
          <w:p w14:paraId="5B5CAED5" w14:textId="77777777" w:rsidR="002132EB" w:rsidRPr="002132EB" w:rsidRDefault="002132EB" w:rsidP="002132EB">
            <w:pPr>
              <w:jc w:val="center"/>
              <w:rPr>
                <w:rFonts w:eastAsia="Calibri"/>
                <w:b/>
                <w:sz w:val="22"/>
                <w:szCs w:val="22"/>
                <w:lang w:eastAsia="en-US"/>
              </w:rPr>
            </w:pPr>
          </w:p>
        </w:tc>
        <w:tc>
          <w:tcPr>
            <w:tcW w:w="792" w:type="pct"/>
            <w:vAlign w:val="center"/>
          </w:tcPr>
          <w:p w14:paraId="0DAC115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1D2175D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364" w:type="pct"/>
            <w:vAlign w:val="center"/>
          </w:tcPr>
          <w:p w14:paraId="27B3A1E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31564BF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6AC4B8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2ADA078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095FBA8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55</w:t>
            </w:r>
          </w:p>
        </w:tc>
        <w:tc>
          <w:tcPr>
            <w:tcW w:w="471" w:type="pct"/>
            <w:vMerge/>
            <w:vAlign w:val="center"/>
          </w:tcPr>
          <w:p w14:paraId="3884C4BC" w14:textId="77777777" w:rsidR="002132EB" w:rsidRPr="002132EB" w:rsidRDefault="002132EB" w:rsidP="002132EB">
            <w:pPr>
              <w:jc w:val="center"/>
              <w:rPr>
                <w:rFonts w:eastAsia="Calibri"/>
                <w:sz w:val="22"/>
                <w:szCs w:val="22"/>
                <w:lang w:eastAsia="en-US"/>
              </w:rPr>
            </w:pPr>
          </w:p>
        </w:tc>
        <w:tc>
          <w:tcPr>
            <w:tcW w:w="470" w:type="pct"/>
            <w:vMerge/>
            <w:vAlign w:val="center"/>
          </w:tcPr>
          <w:p w14:paraId="587C3065" w14:textId="77777777" w:rsidR="002132EB" w:rsidRPr="002132EB" w:rsidRDefault="002132EB" w:rsidP="002132EB">
            <w:pPr>
              <w:jc w:val="center"/>
              <w:rPr>
                <w:rFonts w:eastAsia="Calibri"/>
                <w:sz w:val="22"/>
                <w:szCs w:val="22"/>
                <w:lang w:eastAsia="en-US"/>
              </w:rPr>
            </w:pPr>
          </w:p>
        </w:tc>
      </w:tr>
      <w:tr w:rsidR="002132EB" w:rsidRPr="002132EB" w14:paraId="149A1B06" w14:textId="77777777" w:rsidTr="00370613">
        <w:trPr>
          <w:trHeight w:val="20"/>
        </w:trPr>
        <w:tc>
          <w:tcPr>
            <w:tcW w:w="617" w:type="pct"/>
            <w:vMerge w:val="restart"/>
            <w:vAlign w:val="center"/>
          </w:tcPr>
          <w:p w14:paraId="15A54392"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3</w:t>
            </w:r>
          </w:p>
        </w:tc>
        <w:tc>
          <w:tcPr>
            <w:tcW w:w="792" w:type="pct"/>
            <w:vAlign w:val="center"/>
          </w:tcPr>
          <w:p w14:paraId="001DFBE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19567C4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13</w:t>
            </w:r>
          </w:p>
        </w:tc>
        <w:tc>
          <w:tcPr>
            <w:tcW w:w="364" w:type="pct"/>
            <w:vAlign w:val="center"/>
          </w:tcPr>
          <w:p w14:paraId="25EB819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6D69FF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2C31E8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275B33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4869575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57</w:t>
            </w:r>
          </w:p>
        </w:tc>
        <w:tc>
          <w:tcPr>
            <w:tcW w:w="471" w:type="pct"/>
            <w:vMerge w:val="restart"/>
            <w:vAlign w:val="center"/>
          </w:tcPr>
          <w:p w14:paraId="0C47A57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0,800</w:t>
            </w:r>
          </w:p>
        </w:tc>
        <w:tc>
          <w:tcPr>
            <w:tcW w:w="470" w:type="pct"/>
            <w:vMerge w:val="restart"/>
            <w:vAlign w:val="center"/>
          </w:tcPr>
          <w:p w14:paraId="33A3239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0,30</w:t>
            </w:r>
          </w:p>
        </w:tc>
      </w:tr>
      <w:tr w:rsidR="002132EB" w:rsidRPr="002132EB" w14:paraId="36B56548" w14:textId="77777777" w:rsidTr="00370613">
        <w:trPr>
          <w:trHeight w:val="20"/>
        </w:trPr>
        <w:tc>
          <w:tcPr>
            <w:tcW w:w="617" w:type="pct"/>
            <w:vMerge/>
            <w:vAlign w:val="center"/>
          </w:tcPr>
          <w:p w14:paraId="770B789D" w14:textId="77777777" w:rsidR="002132EB" w:rsidRPr="002132EB" w:rsidRDefault="002132EB" w:rsidP="002132EB">
            <w:pPr>
              <w:jc w:val="center"/>
              <w:rPr>
                <w:rFonts w:eastAsia="Calibri"/>
                <w:b/>
                <w:sz w:val="22"/>
                <w:szCs w:val="22"/>
                <w:lang w:eastAsia="en-US"/>
              </w:rPr>
            </w:pPr>
          </w:p>
        </w:tc>
        <w:tc>
          <w:tcPr>
            <w:tcW w:w="792" w:type="pct"/>
            <w:vAlign w:val="center"/>
          </w:tcPr>
          <w:p w14:paraId="0E1F0B2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57FBDB9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w:t>
            </w:r>
          </w:p>
        </w:tc>
        <w:tc>
          <w:tcPr>
            <w:tcW w:w="364" w:type="pct"/>
            <w:vAlign w:val="center"/>
          </w:tcPr>
          <w:p w14:paraId="742321F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02D9F35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7E5933E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3F2858C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830" w:type="pct"/>
            <w:vAlign w:val="center"/>
          </w:tcPr>
          <w:p w14:paraId="09E33FB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39</w:t>
            </w:r>
          </w:p>
        </w:tc>
        <w:tc>
          <w:tcPr>
            <w:tcW w:w="471" w:type="pct"/>
            <w:vMerge/>
            <w:vAlign w:val="center"/>
          </w:tcPr>
          <w:p w14:paraId="6E0EF18A" w14:textId="77777777" w:rsidR="002132EB" w:rsidRPr="002132EB" w:rsidRDefault="002132EB" w:rsidP="002132EB">
            <w:pPr>
              <w:jc w:val="center"/>
              <w:rPr>
                <w:rFonts w:eastAsia="Calibri"/>
                <w:sz w:val="22"/>
                <w:szCs w:val="22"/>
                <w:lang w:eastAsia="en-US"/>
              </w:rPr>
            </w:pPr>
          </w:p>
        </w:tc>
        <w:tc>
          <w:tcPr>
            <w:tcW w:w="470" w:type="pct"/>
            <w:vMerge/>
            <w:vAlign w:val="center"/>
          </w:tcPr>
          <w:p w14:paraId="4E553A96" w14:textId="77777777" w:rsidR="002132EB" w:rsidRPr="002132EB" w:rsidRDefault="002132EB" w:rsidP="002132EB">
            <w:pPr>
              <w:jc w:val="center"/>
              <w:rPr>
                <w:rFonts w:eastAsia="Calibri"/>
                <w:sz w:val="22"/>
                <w:szCs w:val="22"/>
                <w:lang w:eastAsia="en-US"/>
              </w:rPr>
            </w:pPr>
          </w:p>
        </w:tc>
      </w:tr>
      <w:tr w:rsidR="002132EB" w:rsidRPr="002132EB" w14:paraId="672AF3F4" w14:textId="77777777" w:rsidTr="00370613">
        <w:trPr>
          <w:trHeight w:val="20"/>
        </w:trPr>
        <w:tc>
          <w:tcPr>
            <w:tcW w:w="617" w:type="pct"/>
            <w:vMerge w:val="restart"/>
            <w:vAlign w:val="center"/>
          </w:tcPr>
          <w:p w14:paraId="67FB5E5C"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4</w:t>
            </w:r>
          </w:p>
        </w:tc>
        <w:tc>
          <w:tcPr>
            <w:tcW w:w="792" w:type="pct"/>
            <w:vAlign w:val="center"/>
          </w:tcPr>
          <w:p w14:paraId="315FDC2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458D406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56ED45E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67A0750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1B5946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7E0A587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6DF046B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47</w:t>
            </w:r>
          </w:p>
        </w:tc>
        <w:tc>
          <w:tcPr>
            <w:tcW w:w="471" w:type="pct"/>
            <w:vMerge w:val="restart"/>
            <w:vAlign w:val="center"/>
          </w:tcPr>
          <w:p w14:paraId="35D5959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0,550</w:t>
            </w:r>
          </w:p>
        </w:tc>
        <w:tc>
          <w:tcPr>
            <w:tcW w:w="470" w:type="pct"/>
            <w:vMerge w:val="restart"/>
            <w:vAlign w:val="center"/>
          </w:tcPr>
          <w:p w14:paraId="5DD8F48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0,46</w:t>
            </w:r>
          </w:p>
        </w:tc>
      </w:tr>
      <w:tr w:rsidR="002132EB" w:rsidRPr="002132EB" w14:paraId="12F6F0BA" w14:textId="77777777" w:rsidTr="00370613">
        <w:trPr>
          <w:trHeight w:val="20"/>
        </w:trPr>
        <w:tc>
          <w:tcPr>
            <w:tcW w:w="617" w:type="pct"/>
            <w:vMerge/>
            <w:vAlign w:val="center"/>
          </w:tcPr>
          <w:p w14:paraId="75DDC7F5" w14:textId="77777777" w:rsidR="002132EB" w:rsidRPr="002132EB" w:rsidRDefault="002132EB" w:rsidP="002132EB">
            <w:pPr>
              <w:jc w:val="center"/>
              <w:rPr>
                <w:rFonts w:eastAsia="Calibri"/>
                <w:b/>
                <w:sz w:val="22"/>
                <w:szCs w:val="22"/>
                <w:lang w:eastAsia="en-US"/>
              </w:rPr>
            </w:pPr>
          </w:p>
        </w:tc>
        <w:tc>
          <w:tcPr>
            <w:tcW w:w="792" w:type="pct"/>
            <w:vAlign w:val="center"/>
          </w:tcPr>
          <w:p w14:paraId="584CE68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1935CCC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3FFE879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2A3E79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4F8A03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1272A5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8</w:t>
            </w:r>
          </w:p>
        </w:tc>
        <w:tc>
          <w:tcPr>
            <w:tcW w:w="830" w:type="pct"/>
            <w:vAlign w:val="center"/>
          </w:tcPr>
          <w:p w14:paraId="668FDC3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19</w:t>
            </w:r>
          </w:p>
        </w:tc>
        <w:tc>
          <w:tcPr>
            <w:tcW w:w="471" w:type="pct"/>
            <w:vMerge/>
            <w:vAlign w:val="center"/>
          </w:tcPr>
          <w:p w14:paraId="3800F670" w14:textId="77777777" w:rsidR="002132EB" w:rsidRPr="002132EB" w:rsidRDefault="002132EB" w:rsidP="002132EB">
            <w:pPr>
              <w:jc w:val="center"/>
              <w:rPr>
                <w:rFonts w:eastAsia="Calibri"/>
                <w:sz w:val="22"/>
                <w:szCs w:val="22"/>
                <w:lang w:eastAsia="en-US"/>
              </w:rPr>
            </w:pPr>
          </w:p>
        </w:tc>
        <w:tc>
          <w:tcPr>
            <w:tcW w:w="470" w:type="pct"/>
            <w:vMerge/>
            <w:vAlign w:val="center"/>
          </w:tcPr>
          <w:p w14:paraId="17FAFE35" w14:textId="77777777" w:rsidR="002132EB" w:rsidRPr="002132EB" w:rsidRDefault="002132EB" w:rsidP="002132EB">
            <w:pPr>
              <w:jc w:val="center"/>
              <w:rPr>
                <w:rFonts w:eastAsia="Calibri"/>
                <w:sz w:val="22"/>
                <w:szCs w:val="22"/>
                <w:lang w:eastAsia="en-US"/>
              </w:rPr>
            </w:pPr>
          </w:p>
        </w:tc>
      </w:tr>
      <w:tr w:rsidR="002132EB" w:rsidRPr="002132EB" w14:paraId="5F2E5AC2" w14:textId="77777777" w:rsidTr="00370613">
        <w:trPr>
          <w:trHeight w:val="20"/>
        </w:trPr>
        <w:tc>
          <w:tcPr>
            <w:tcW w:w="617" w:type="pct"/>
            <w:vMerge w:val="restart"/>
            <w:vAlign w:val="center"/>
          </w:tcPr>
          <w:p w14:paraId="267DCF43"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5</w:t>
            </w:r>
          </w:p>
        </w:tc>
        <w:tc>
          <w:tcPr>
            <w:tcW w:w="792" w:type="pct"/>
            <w:vAlign w:val="center"/>
          </w:tcPr>
          <w:p w14:paraId="4384FFF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605BF97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364" w:type="pct"/>
            <w:vAlign w:val="center"/>
          </w:tcPr>
          <w:p w14:paraId="437E7BE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66380A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24AF0D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0072D9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0E6CFBD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59</w:t>
            </w:r>
          </w:p>
        </w:tc>
        <w:tc>
          <w:tcPr>
            <w:tcW w:w="471" w:type="pct"/>
            <w:vMerge w:val="restart"/>
            <w:vAlign w:val="center"/>
          </w:tcPr>
          <w:p w14:paraId="0606E00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0,741</w:t>
            </w:r>
          </w:p>
        </w:tc>
        <w:tc>
          <w:tcPr>
            <w:tcW w:w="470" w:type="pct"/>
            <w:vMerge w:val="restart"/>
            <w:vAlign w:val="center"/>
          </w:tcPr>
          <w:p w14:paraId="50CCE30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0,35</w:t>
            </w:r>
          </w:p>
        </w:tc>
      </w:tr>
      <w:tr w:rsidR="002132EB" w:rsidRPr="002132EB" w14:paraId="24AD995A" w14:textId="77777777" w:rsidTr="00370613">
        <w:trPr>
          <w:trHeight w:val="20"/>
        </w:trPr>
        <w:tc>
          <w:tcPr>
            <w:tcW w:w="617" w:type="pct"/>
            <w:vMerge/>
            <w:vAlign w:val="center"/>
          </w:tcPr>
          <w:p w14:paraId="105CAECE" w14:textId="77777777" w:rsidR="002132EB" w:rsidRPr="002132EB" w:rsidRDefault="002132EB" w:rsidP="002132EB">
            <w:pPr>
              <w:jc w:val="center"/>
              <w:rPr>
                <w:rFonts w:eastAsia="Calibri"/>
                <w:b/>
                <w:sz w:val="22"/>
                <w:szCs w:val="22"/>
                <w:lang w:eastAsia="en-US"/>
              </w:rPr>
            </w:pPr>
          </w:p>
        </w:tc>
        <w:tc>
          <w:tcPr>
            <w:tcW w:w="792" w:type="pct"/>
            <w:vAlign w:val="center"/>
          </w:tcPr>
          <w:p w14:paraId="4EAABEA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0760A76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w:t>
            </w:r>
          </w:p>
        </w:tc>
        <w:tc>
          <w:tcPr>
            <w:tcW w:w="364" w:type="pct"/>
            <w:vAlign w:val="center"/>
          </w:tcPr>
          <w:p w14:paraId="220387C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7C7D3B0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B4D816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176A704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w:t>
            </w:r>
          </w:p>
        </w:tc>
        <w:tc>
          <w:tcPr>
            <w:tcW w:w="830" w:type="pct"/>
            <w:vAlign w:val="center"/>
          </w:tcPr>
          <w:p w14:paraId="696283F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34</w:t>
            </w:r>
          </w:p>
        </w:tc>
        <w:tc>
          <w:tcPr>
            <w:tcW w:w="471" w:type="pct"/>
            <w:vMerge/>
            <w:vAlign w:val="center"/>
          </w:tcPr>
          <w:p w14:paraId="036CDC8B" w14:textId="77777777" w:rsidR="002132EB" w:rsidRPr="002132EB" w:rsidRDefault="002132EB" w:rsidP="002132EB">
            <w:pPr>
              <w:jc w:val="center"/>
              <w:rPr>
                <w:rFonts w:eastAsia="Calibri"/>
                <w:sz w:val="22"/>
                <w:szCs w:val="22"/>
                <w:lang w:eastAsia="en-US"/>
              </w:rPr>
            </w:pPr>
          </w:p>
        </w:tc>
        <w:tc>
          <w:tcPr>
            <w:tcW w:w="470" w:type="pct"/>
            <w:vMerge/>
            <w:vAlign w:val="center"/>
          </w:tcPr>
          <w:p w14:paraId="02557D1E" w14:textId="77777777" w:rsidR="002132EB" w:rsidRPr="002132EB" w:rsidRDefault="002132EB" w:rsidP="002132EB">
            <w:pPr>
              <w:jc w:val="center"/>
              <w:rPr>
                <w:rFonts w:eastAsia="Calibri"/>
                <w:sz w:val="22"/>
                <w:szCs w:val="22"/>
                <w:lang w:eastAsia="en-US"/>
              </w:rPr>
            </w:pPr>
          </w:p>
        </w:tc>
      </w:tr>
      <w:tr w:rsidR="002132EB" w:rsidRPr="002132EB" w14:paraId="535C4AAF" w14:textId="77777777" w:rsidTr="00370613">
        <w:trPr>
          <w:trHeight w:val="20"/>
        </w:trPr>
        <w:tc>
          <w:tcPr>
            <w:tcW w:w="617" w:type="pct"/>
            <w:vMerge w:val="restart"/>
            <w:vAlign w:val="center"/>
          </w:tcPr>
          <w:p w14:paraId="32E0E70B"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6</w:t>
            </w:r>
          </w:p>
        </w:tc>
        <w:tc>
          <w:tcPr>
            <w:tcW w:w="792" w:type="pct"/>
            <w:vAlign w:val="center"/>
          </w:tcPr>
          <w:p w14:paraId="790C573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697A474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w:t>
            </w:r>
          </w:p>
        </w:tc>
        <w:tc>
          <w:tcPr>
            <w:tcW w:w="364" w:type="pct"/>
            <w:vAlign w:val="center"/>
          </w:tcPr>
          <w:p w14:paraId="130E0D8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D2A6CA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F9736B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71B8BA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8</w:t>
            </w:r>
          </w:p>
        </w:tc>
        <w:tc>
          <w:tcPr>
            <w:tcW w:w="830" w:type="pct"/>
            <w:vAlign w:val="center"/>
          </w:tcPr>
          <w:p w14:paraId="26C8AEA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20</w:t>
            </w:r>
          </w:p>
        </w:tc>
        <w:tc>
          <w:tcPr>
            <w:tcW w:w="471" w:type="pct"/>
            <w:vMerge w:val="restart"/>
            <w:vAlign w:val="center"/>
          </w:tcPr>
          <w:p w14:paraId="7BE2011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0,266</w:t>
            </w:r>
          </w:p>
        </w:tc>
        <w:tc>
          <w:tcPr>
            <w:tcW w:w="470" w:type="pct"/>
            <w:vMerge w:val="restart"/>
            <w:vAlign w:val="center"/>
          </w:tcPr>
          <w:p w14:paraId="285155F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0,133</w:t>
            </w:r>
          </w:p>
        </w:tc>
      </w:tr>
      <w:tr w:rsidR="002132EB" w:rsidRPr="002132EB" w14:paraId="153EFDA3" w14:textId="77777777" w:rsidTr="00370613">
        <w:trPr>
          <w:trHeight w:val="20"/>
        </w:trPr>
        <w:tc>
          <w:tcPr>
            <w:tcW w:w="617" w:type="pct"/>
            <w:vMerge/>
            <w:vAlign w:val="center"/>
          </w:tcPr>
          <w:p w14:paraId="16AA06E0" w14:textId="77777777" w:rsidR="002132EB" w:rsidRPr="002132EB" w:rsidRDefault="002132EB" w:rsidP="002132EB">
            <w:pPr>
              <w:jc w:val="center"/>
              <w:rPr>
                <w:rFonts w:eastAsia="Calibri"/>
                <w:b/>
                <w:sz w:val="22"/>
                <w:szCs w:val="22"/>
                <w:lang w:eastAsia="en-US"/>
              </w:rPr>
            </w:pPr>
          </w:p>
        </w:tc>
        <w:tc>
          <w:tcPr>
            <w:tcW w:w="792" w:type="pct"/>
            <w:vAlign w:val="center"/>
          </w:tcPr>
          <w:p w14:paraId="13D6770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25A1DFA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4E0CD5E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5D77553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460CE55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77C7039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830" w:type="pct"/>
            <w:vAlign w:val="center"/>
          </w:tcPr>
          <w:p w14:paraId="28E1683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471" w:type="pct"/>
            <w:vMerge/>
            <w:vAlign w:val="center"/>
          </w:tcPr>
          <w:p w14:paraId="6A66B30E" w14:textId="77777777" w:rsidR="002132EB" w:rsidRPr="002132EB" w:rsidRDefault="002132EB" w:rsidP="002132EB">
            <w:pPr>
              <w:jc w:val="center"/>
              <w:rPr>
                <w:rFonts w:eastAsia="Calibri"/>
                <w:sz w:val="22"/>
                <w:szCs w:val="22"/>
                <w:lang w:eastAsia="en-US"/>
              </w:rPr>
            </w:pPr>
          </w:p>
        </w:tc>
        <w:tc>
          <w:tcPr>
            <w:tcW w:w="470" w:type="pct"/>
            <w:vMerge/>
            <w:vAlign w:val="center"/>
          </w:tcPr>
          <w:p w14:paraId="00F01414" w14:textId="77777777" w:rsidR="002132EB" w:rsidRPr="002132EB" w:rsidRDefault="002132EB" w:rsidP="002132EB">
            <w:pPr>
              <w:jc w:val="center"/>
              <w:rPr>
                <w:rFonts w:eastAsia="Calibri"/>
                <w:sz w:val="22"/>
                <w:szCs w:val="22"/>
                <w:lang w:eastAsia="en-US"/>
              </w:rPr>
            </w:pPr>
          </w:p>
        </w:tc>
      </w:tr>
      <w:tr w:rsidR="002132EB" w:rsidRPr="002132EB" w14:paraId="103B72E7" w14:textId="77777777" w:rsidTr="00370613">
        <w:trPr>
          <w:trHeight w:val="20"/>
        </w:trPr>
        <w:tc>
          <w:tcPr>
            <w:tcW w:w="617" w:type="pct"/>
            <w:vMerge w:val="restart"/>
            <w:vAlign w:val="center"/>
          </w:tcPr>
          <w:p w14:paraId="2C951CCD"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7</w:t>
            </w:r>
          </w:p>
        </w:tc>
        <w:tc>
          <w:tcPr>
            <w:tcW w:w="792" w:type="pct"/>
            <w:vAlign w:val="center"/>
          </w:tcPr>
          <w:p w14:paraId="6F7EA77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68EC8C1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14</w:t>
            </w:r>
          </w:p>
        </w:tc>
        <w:tc>
          <w:tcPr>
            <w:tcW w:w="364" w:type="pct"/>
            <w:vAlign w:val="center"/>
          </w:tcPr>
          <w:p w14:paraId="55C8160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8017D5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C32E71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77D8783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46895AA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59</w:t>
            </w:r>
          </w:p>
        </w:tc>
        <w:tc>
          <w:tcPr>
            <w:tcW w:w="471" w:type="pct"/>
            <w:vMerge w:val="restart"/>
            <w:vAlign w:val="center"/>
          </w:tcPr>
          <w:p w14:paraId="1E67B62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0,833</w:t>
            </w:r>
          </w:p>
        </w:tc>
        <w:tc>
          <w:tcPr>
            <w:tcW w:w="470" w:type="pct"/>
            <w:vMerge w:val="restart"/>
            <w:vAlign w:val="center"/>
          </w:tcPr>
          <w:p w14:paraId="0BC4995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0,30</w:t>
            </w:r>
          </w:p>
        </w:tc>
      </w:tr>
      <w:tr w:rsidR="002132EB" w:rsidRPr="002132EB" w14:paraId="64584796" w14:textId="77777777" w:rsidTr="00370613">
        <w:trPr>
          <w:trHeight w:val="20"/>
        </w:trPr>
        <w:tc>
          <w:tcPr>
            <w:tcW w:w="617" w:type="pct"/>
            <w:vMerge/>
            <w:vAlign w:val="center"/>
          </w:tcPr>
          <w:p w14:paraId="53B3C8A8" w14:textId="77777777" w:rsidR="002132EB" w:rsidRPr="002132EB" w:rsidRDefault="002132EB" w:rsidP="002132EB">
            <w:pPr>
              <w:jc w:val="center"/>
              <w:rPr>
                <w:rFonts w:eastAsia="Calibri"/>
                <w:b/>
                <w:sz w:val="22"/>
                <w:szCs w:val="22"/>
                <w:lang w:eastAsia="en-US"/>
              </w:rPr>
            </w:pPr>
          </w:p>
        </w:tc>
        <w:tc>
          <w:tcPr>
            <w:tcW w:w="792" w:type="pct"/>
            <w:vAlign w:val="center"/>
          </w:tcPr>
          <w:p w14:paraId="3325AC7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475676D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8</w:t>
            </w:r>
          </w:p>
        </w:tc>
        <w:tc>
          <w:tcPr>
            <w:tcW w:w="364" w:type="pct"/>
            <w:vAlign w:val="center"/>
          </w:tcPr>
          <w:p w14:paraId="5B19407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2CAD77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AB8DFF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174408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830" w:type="pct"/>
            <w:vAlign w:val="center"/>
          </w:tcPr>
          <w:p w14:paraId="73DC26F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41</w:t>
            </w:r>
          </w:p>
        </w:tc>
        <w:tc>
          <w:tcPr>
            <w:tcW w:w="471" w:type="pct"/>
            <w:vMerge/>
            <w:vAlign w:val="center"/>
          </w:tcPr>
          <w:p w14:paraId="5FCF230C" w14:textId="77777777" w:rsidR="002132EB" w:rsidRPr="002132EB" w:rsidRDefault="002132EB" w:rsidP="002132EB">
            <w:pPr>
              <w:jc w:val="center"/>
              <w:rPr>
                <w:rFonts w:eastAsia="Calibri"/>
                <w:sz w:val="22"/>
                <w:szCs w:val="22"/>
                <w:lang w:eastAsia="en-US"/>
              </w:rPr>
            </w:pPr>
          </w:p>
        </w:tc>
        <w:tc>
          <w:tcPr>
            <w:tcW w:w="470" w:type="pct"/>
            <w:vMerge/>
            <w:vAlign w:val="center"/>
          </w:tcPr>
          <w:p w14:paraId="28807D6B" w14:textId="77777777" w:rsidR="002132EB" w:rsidRPr="002132EB" w:rsidRDefault="002132EB" w:rsidP="002132EB">
            <w:pPr>
              <w:jc w:val="center"/>
              <w:rPr>
                <w:rFonts w:eastAsia="Calibri"/>
                <w:sz w:val="22"/>
                <w:szCs w:val="22"/>
                <w:lang w:eastAsia="en-US"/>
              </w:rPr>
            </w:pPr>
          </w:p>
        </w:tc>
      </w:tr>
      <w:tr w:rsidR="002132EB" w:rsidRPr="002132EB" w14:paraId="241360BD" w14:textId="77777777" w:rsidTr="00370613">
        <w:trPr>
          <w:trHeight w:val="20"/>
        </w:trPr>
        <w:tc>
          <w:tcPr>
            <w:tcW w:w="617" w:type="pct"/>
            <w:vMerge w:val="restart"/>
            <w:vAlign w:val="center"/>
          </w:tcPr>
          <w:p w14:paraId="29BF3DE7"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8</w:t>
            </w:r>
          </w:p>
        </w:tc>
        <w:tc>
          <w:tcPr>
            <w:tcW w:w="792" w:type="pct"/>
            <w:vAlign w:val="center"/>
          </w:tcPr>
          <w:p w14:paraId="28B69CC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00A9AB0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364" w:type="pct"/>
            <w:vAlign w:val="center"/>
          </w:tcPr>
          <w:p w14:paraId="081212F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86F54A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20F100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6E6A2A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48FBA14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54</w:t>
            </w:r>
          </w:p>
        </w:tc>
        <w:tc>
          <w:tcPr>
            <w:tcW w:w="471" w:type="pct"/>
            <w:vMerge w:val="restart"/>
            <w:vAlign w:val="center"/>
          </w:tcPr>
          <w:p w14:paraId="7867509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0,758</w:t>
            </w:r>
          </w:p>
        </w:tc>
        <w:tc>
          <w:tcPr>
            <w:tcW w:w="470" w:type="pct"/>
            <w:vMerge w:val="restart"/>
            <w:vAlign w:val="center"/>
          </w:tcPr>
          <w:p w14:paraId="2E8AF63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0,283</w:t>
            </w:r>
          </w:p>
        </w:tc>
      </w:tr>
      <w:tr w:rsidR="002132EB" w:rsidRPr="002132EB" w14:paraId="19D0C9DA" w14:textId="77777777" w:rsidTr="00370613">
        <w:trPr>
          <w:trHeight w:val="20"/>
        </w:trPr>
        <w:tc>
          <w:tcPr>
            <w:tcW w:w="617" w:type="pct"/>
            <w:vMerge/>
            <w:vAlign w:val="center"/>
          </w:tcPr>
          <w:p w14:paraId="1672E936" w14:textId="77777777" w:rsidR="002132EB" w:rsidRPr="002132EB" w:rsidRDefault="002132EB" w:rsidP="002132EB">
            <w:pPr>
              <w:jc w:val="center"/>
              <w:rPr>
                <w:rFonts w:eastAsia="Calibri"/>
                <w:b/>
                <w:sz w:val="22"/>
                <w:szCs w:val="22"/>
                <w:lang w:eastAsia="en-US"/>
              </w:rPr>
            </w:pPr>
          </w:p>
        </w:tc>
        <w:tc>
          <w:tcPr>
            <w:tcW w:w="792" w:type="pct"/>
            <w:vAlign w:val="center"/>
          </w:tcPr>
          <w:p w14:paraId="5169791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56570AD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7</w:t>
            </w:r>
          </w:p>
        </w:tc>
        <w:tc>
          <w:tcPr>
            <w:tcW w:w="364" w:type="pct"/>
            <w:vAlign w:val="center"/>
          </w:tcPr>
          <w:p w14:paraId="6448EA9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C5CC46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DE76E9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289B7F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830" w:type="pct"/>
            <w:vAlign w:val="center"/>
          </w:tcPr>
          <w:p w14:paraId="58648D4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37</w:t>
            </w:r>
          </w:p>
        </w:tc>
        <w:tc>
          <w:tcPr>
            <w:tcW w:w="471" w:type="pct"/>
            <w:vMerge/>
            <w:vAlign w:val="center"/>
          </w:tcPr>
          <w:p w14:paraId="248C95E4" w14:textId="77777777" w:rsidR="002132EB" w:rsidRPr="002132EB" w:rsidRDefault="002132EB" w:rsidP="002132EB">
            <w:pPr>
              <w:jc w:val="center"/>
              <w:rPr>
                <w:rFonts w:eastAsia="Calibri"/>
                <w:sz w:val="22"/>
                <w:szCs w:val="22"/>
                <w:lang w:eastAsia="en-US"/>
              </w:rPr>
            </w:pPr>
          </w:p>
        </w:tc>
        <w:tc>
          <w:tcPr>
            <w:tcW w:w="470" w:type="pct"/>
            <w:vMerge/>
            <w:vAlign w:val="center"/>
          </w:tcPr>
          <w:p w14:paraId="405F0F0A" w14:textId="77777777" w:rsidR="002132EB" w:rsidRPr="002132EB" w:rsidRDefault="002132EB" w:rsidP="002132EB">
            <w:pPr>
              <w:jc w:val="center"/>
              <w:rPr>
                <w:rFonts w:eastAsia="Calibri"/>
                <w:sz w:val="22"/>
                <w:szCs w:val="22"/>
                <w:lang w:eastAsia="en-US"/>
              </w:rPr>
            </w:pPr>
          </w:p>
        </w:tc>
      </w:tr>
      <w:tr w:rsidR="002132EB" w:rsidRPr="002132EB" w14:paraId="5604FC3C" w14:textId="77777777" w:rsidTr="00370613">
        <w:trPr>
          <w:trHeight w:val="20"/>
        </w:trPr>
        <w:tc>
          <w:tcPr>
            <w:tcW w:w="617" w:type="pct"/>
            <w:vMerge w:val="restart"/>
            <w:vAlign w:val="center"/>
          </w:tcPr>
          <w:p w14:paraId="79DC7427"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9</w:t>
            </w:r>
          </w:p>
        </w:tc>
        <w:tc>
          <w:tcPr>
            <w:tcW w:w="792" w:type="pct"/>
            <w:vAlign w:val="center"/>
          </w:tcPr>
          <w:p w14:paraId="1960F2B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374BCB0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364" w:type="pct"/>
            <w:vAlign w:val="center"/>
          </w:tcPr>
          <w:p w14:paraId="71B83A4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43A1CB1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30F8AB2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4ECA34A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830" w:type="pct"/>
            <w:vAlign w:val="center"/>
          </w:tcPr>
          <w:p w14:paraId="3E51F94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48</w:t>
            </w:r>
          </w:p>
        </w:tc>
        <w:tc>
          <w:tcPr>
            <w:tcW w:w="471" w:type="pct"/>
            <w:vMerge w:val="restart"/>
            <w:vAlign w:val="center"/>
          </w:tcPr>
          <w:p w14:paraId="69D5DFA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0,633</w:t>
            </w:r>
          </w:p>
        </w:tc>
        <w:tc>
          <w:tcPr>
            <w:tcW w:w="470" w:type="pct"/>
            <w:vMerge w:val="restart"/>
            <w:vAlign w:val="center"/>
          </w:tcPr>
          <w:p w14:paraId="4CF1097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0,333</w:t>
            </w:r>
          </w:p>
        </w:tc>
      </w:tr>
      <w:tr w:rsidR="002132EB" w:rsidRPr="002132EB" w14:paraId="3999B3D4" w14:textId="77777777" w:rsidTr="00370613">
        <w:trPr>
          <w:trHeight w:val="20"/>
        </w:trPr>
        <w:tc>
          <w:tcPr>
            <w:tcW w:w="617" w:type="pct"/>
            <w:vMerge/>
            <w:vAlign w:val="center"/>
          </w:tcPr>
          <w:p w14:paraId="184D7A1E" w14:textId="77777777" w:rsidR="002132EB" w:rsidRPr="002132EB" w:rsidRDefault="002132EB" w:rsidP="002132EB">
            <w:pPr>
              <w:jc w:val="center"/>
              <w:rPr>
                <w:rFonts w:eastAsia="Calibri"/>
                <w:b/>
                <w:sz w:val="22"/>
                <w:szCs w:val="22"/>
                <w:lang w:eastAsia="en-US"/>
              </w:rPr>
            </w:pPr>
          </w:p>
        </w:tc>
        <w:tc>
          <w:tcPr>
            <w:tcW w:w="792" w:type="pct"/>
            <w:vAlign w:val="center"/>
          </w:tcPr>
          <w:p w14:paraId="6F528F1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4D48360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w:t>
            </w:r>
          </w:p>
        </w:tc>
        <w:tc>
          <w:tcPr>
            <w:tcW w:w="364" w:type="pct"/>
            <w:vAlign w:val="center"/>
          </w:tcPr>
          <w:p w14:paraId="664E82B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CF87E5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1413B8B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53A2B1C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w:t>
            </w:r>
          </w:p>
        </w:tc>
        <w:tc>
          <w:tcPr>
            <w:tcW w:w="830" w:type="pct"/>
            <w:vAlign w:val="center"/>
          </w:tcPr>
          <w:p w14:paraId="238B02F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28</w:t>
            </w:r>
          </w:p>
        </w:tc>
        <w:tc>
          <w:tcPr>
            <w:tcW w:w="471" w:type="pct"/>
            <w:vMerge/>
            <w:vAlign w:val="center"/>
          </w:tcPr>
          <w:p w14:paraId="26FCEE15" w14:textId="77777777" w:rsidR="002132EB" w:rsidRPr="002132EB" w:rsidRDefault="002132EB" w:rsidP="002132EB">
            <w:pPr>
              <w:jc w:val="center"/>
              <w:rPr>
                <w:rFonts w:eastAsia="Calibri"/>
                <w:sz w:val="22"/>
                <w:szCs w:val="22"/>
                <w:lang w:eastAsia="en-US"/>
              </w:rPr>
            </w:pPr>
          </w:p>
        </w:tc>
        <w:tc>
          <w:tcPr>
            <w:tcW w:w="470" w:type="pct"/>
            <w:vMerge/>
            <w:vAlign w:val="center"/>
          </w:tcPr>
          <w:p w14:paraId="5046723F" w14:textId="77777777" w:rsidR="002132EB" w:rsidRPr="002132EB" w:rsidRDefault="002132EB" w:rsidP="002132EB">
            <w:pPr>
              <w:jc w:val="center"/>
              <w:rPr>
                <w:rFonts w:eastAsia="Calibri"/>
                <w:sz w:val="22"/>
                <w:szCs w:val="22"/>
                <w:lang w:eastAsia="en-US"/>
              </w:rPr>
            </w:pPr>
          </w:p>
        </w:tc>
      </w:tr>
      <w:tr w:rsidR="002132EB" w:rsidRPr="002132EB" w14:paraId="0AC1506E" w14:textId="77777777" w:rsidTr="00370613">
        <w:trPr>
          <w:trHeight w:val="20"/>
        </w:trPr>
        <w:tc>
          <w:tcPr>
            <w:tcW w:w="617" w:type="pct"/>
            <w:vMerge w:val="restart"/>
            <w:vAlign w:val="center"/>
          </w:tcPr>
          <w:p w14:paraId="589496CB"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10</w:t>
            </w:r>
          </w:p>
        </w:tc>
        <w:tc>
          <w:tcPr>
            <w:tcW w:w="792" w:type="pct"/>
            <w:vAlign w:val="center"/>
          </w:tcPr>
          <w:p w14:paraId="5769CE3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111950C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364" w:type="pct"/>
            <w:vAlign w:val="center"/>
          </w:tcPr>
          <w:p w14:paraId="133D982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3D01BA5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0655CC8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4954B9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0E8197D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50</w:t>
            </w:r>
          </w:p>
        </w:tc>
        <w:tc>
          <w:tcPr>
            <w:tcW w:w="471" w:type="pct"/>
            <w:vMerge w:val="restart"/>
            <w:vAlign w:val="center"/>
          </w:tcPr>
          <w:p w14:paraId="1CAA6DC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0,625</w:t>
            </w:r>
          </w:p>
        </w:tc>
        <w:tc>
          <w:tcPr>
            <w:tcW w:w="470" w:type="pct"/>
            <w:vMerge w:val="restart"/>
            <w:vAlign w:val="center"/>
          </w:tcPr>
          <w:p w14:paraId="5142CD0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0,416</w:t>
            </w:r>
          </w:p>
        </w:tc>
      </w:tr>
      <w:tr w:rsidR="002132EB" w:rsidRPr="002132EB" w14:paraId="28D9E02B" w14:textId="77777777" w:rsidTr="00370613">
        <w:trPr>
          <w:trHeight w:val="20"/>
        </w:trPr>
        <w:tc>
          <w:tcPr>
            <w:tcW w:w="617" w:type="pct"/>
            <w:vMerge/>
            <w:vAlign w:val="center"/>
          </w:tcPr>
          <w:p w14:paraId="3537443C" w14:textId="77777777" w:rsidR="002132EB" w:rsidRPr="002132EB" w:rsidRDefault="002132EB" w:rsidP="002132EB">
            <w:pPr>
              <w:jc w:val="center"/>
              <w:rPr>
                <w:rFonts w:eastAsia="Calibri"/>
                <w:b/>
                <w:sz w:val="22"/>
                <w:szCs w:val="22"/>
                <w:lang w:eastAsia="en-US"/>
              </w:rPr>
            </w:pPr>
          </w:p>
        </w:tc>
        <w:tc>
          <w:tcPr>
            <w:tcW w:w="792" w:type="pct"/>
            <w:vAlign w:val="center"/>
          </w:tcPr>
          <w:p w14:paraId="2441751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7E3584C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w:t>
            </w:r>
          </w:p>
        </w:tc>
        <w:tc>
          <w:tcPr>
            <w:tcW w:w="364" w:type="pct"/>
            <w:vAlign w:val="center"/>
          </w:tcPr>
          <w:p w14:paraId="663505C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1B2B00C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BC8A9B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3C23441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w:t>
            </w:r>
          </w:p>
        </w:tc>
        <w:tc>
          <w:tcPr>
            <w:tcW w:w="830" w:type="pct"/>
            <w:vAlign w:val="center"/>
          </w:tcPr>
          <w:p w14:paraId="2FF72CA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25</w:t>
            </w:r>
          </w:p>
        </w:tc>
        <w:tc>
          <w:tcPr>
            <w:tcW w:w="471" w:type="pct"/>
            <w:vMerge/>
            <w:vAlign w:val="center"/>
          </w:tcPr>
          <w:p w14:paraId="38799CEC" w14:textId="77777777" w:rsidR="002132EB" w:rsidRPr="002132EB" w:rsidRDefault="002132EB" w:rsidP="002132EB">
            <w:pPr>
              <w:jc w:val="center"/>
              <w:rPr>
                <w:rFonts w:eastAsia="Calibri"/>
                <w:sz w:val="22"/>
                <w:szCs w:val="22"/>
                <w:lang w:eastAsia="en-US"/>
              </w:rPr>
            </w:pPr>
          </w:p>
        </w:tc>
        <w:tc>
          <w:tcPr>
            <w:tcW w:w="470" w:type="pct"/>
            <w:vMerge/>
            <w:vAlign w:val="center"/>
          </w:tcPr>
          <w:p w14:paraId="2C85ECCB" w14:textId="77777777" w:rsidR="002132EB" w:rsidRPr="002132EB" w:rsidRDefault="002132EB" w:rsidP="002132EB">
            <w:pPr>
              <w:jc w:val="center"/>
              <w:rPr>
                <w:rFonts w:eastAsia="Calibri"/>
                <w:sz w:val="22"/>
                <w:szCs w:val="22"/>
                <w:lang w:eastAsia="en-US"/>
              </w:rPr>
            </w:pPr>
          </w:p>
        </w:tc>
      </w:tr>
      <w:tr w:rsidR="002132EB" w:rsidRPr="002132EB" w14:paraId="094AA488" w14:textId="77777777" w:rsidTr="00370613">
        <w:trPr>
          <w:trHeight w:val="20"/>
        </w:trPr>
        <w:tc>
          <w:tcPr>
            <w:tcW w:w="617" w:type="pct"/>
            <w:vMerge w:val="restart"/>
            <w:vAlign w:val="center"/>
          </w:tcPr>
          <w:p w14:paraId="4979A2D8"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11</w:t>
            </w:r>
          </w:p>
        </w:tc>
        <w:tc>
          <w:tcPr>
            <w:tcW w:w="792" w:type="pct"/>
            <w:vAlign w:val="center"/>
          </w:tcPr>
          <w:p w14:paraId="5A690E6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0B5AB91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327BBD9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025049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72E4B0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600550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830" w:type="pct"/>
            <w:vAlign w:val="center"/>
          </w:tcPr>
          <w:p w14:paraId="55C9F9E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45</w:t>
            </w:r>
          </w:p>
        </w:tc>
        <w:tc>
          <w:tcPr>
            <w:tcW w:w="471" w:type="pct"/>
            <w:vMerge w:val="restart"/>
            <w:vAlign w:val="center"/>
          </w:tcPr>
          <w:p w14:paraId="4085EEE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0,5</w:t>
            </w:r>
          </w:p>
        </w:tc>
        <w:tc>
          <w:tcPr>
            <w:tcW w:w="470" w:type="pct"/>
            <w:vMerge w:val="restart"/>
            <w:vAlign w:val="center"/>
          </w:tcPr>
          <w:p w14:paraId="6D2A429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0,5</w:t>
            </w:r>
          </w:p>
        </w:tc>
      </w:tr>
      <w:tr w:rsidR="002132EB" w:rsidRPr="002132EB" w14:paraId="0B3A469E" w14:textId="77777777" w:rsidTr="00370613">
        <w:trPr>
          <w:trHeight w:val="20"/>
        </w:trPr>
        <w:tc>
          <w:tcPr>
            <w:tcW w:w="617" w:type="pct"/>
            <w:vMerge/>
            <w:vAlign w:val="center"/>
          </w:tcPr>
          <w:p w14:paraId="0F96B613" w14:textId="77777777" w:rsidR="002132EB" w:rsidRPr="002132EB" w:rsidRDefault="002132EB" w:rsidP="002132EB">
            <w:pPr>
              <w:jc w:val="center"/>
              <w:rPr>
                <w:rFonts w:eastAsia="Calibri"/>
                <w:b/>
                <w:sz w:val="22"/>
                <w:szCs w:val="22"/>
                <w:lang w:eastAsia="en-US"/>
              </w:rPr>
            </w:pPr>
          </w:p>
        </w:tc>
        <w:tc>
          <w:tcPr>
            <w:tcW w:w="792" w:type="pct"/>
            <w:vAlign w:val="center"/>
          </w:tcPr>
          <w:p w14:paraId="23D3A10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08D4CD1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66CC3BB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441B2E2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1C645C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E6F418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830" w:type="pct"/>
            <w:vAlign w:val="center"/>
          </w:tcPr>
          <w:p w14:paraId="5D30A86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15</w:t>
            </w:r>
          </w:p>
        </w:tc>
        <w:tc>
          <w:tcPr>
            <w:tcW w:w="471" w:type="pct"/>
            <w:vMerge/>
            <w:vAlign w:val="center"/>
          </w:tcPr>
          <w:p w14:paraId="2EB9A6FA" w14:textId="77777777" w:rsidR="002132EB" w:rsidRPr="002132EB" w:rsidRDefault="002132EB" w:rsidP="002132EB">
            <w:pPr>
              <w:jc w:val="center"/>
              <w:rPr>
                <w:rFonts w:eastAsia="Calibri"/>
                <w:sz w:val="22"/>
                <w:szCs w:val="22"/>
                <w:lang w:eastAsia="en-US"/>
              </w:rPr>
            </w:pPr>
          </w:p>
        </w:tc>
        <w:tc>
          <w:tcPr>
            <w:tcW w:w="470" w:type="pct"/>
            <w:vMerge/>
            <w:vAlign w:val="center"/>
          </w:tcPr>
          <w:p w14:paraId="23478EB4" w14:textId="77777777" w:rsidR="002132EB" w:rsidRPr="002132EB" w:rsidRDefault="002132EB" w:rsidP="002132EB">
            <w:pPr>
              <w:jc w:val="center"/>
              <w:rPr>
                <w:rFonts w:eastAsia="Calibri"/>
                <w:sz w:val="22"/>
                <w:szCs w:val="22"/>
                <w:lang w:eastAsia="en-US"/>
              </w:rPr>
            </w:pPr>
          </w:p>
        </w:tc>
      </w:tr>
      <w:tr w:rsidR="002132EB" w:rsidRPr="002132EB" w14:paraId="60F363F7" w14:textId="77777777" w:rsidTr="00370613">
        <w:trPr>
          <w:trHeight w:val="20"/>
        </w:trPr>
        <w:tc>
          <w:tcPr>
            <w:tcW w:w="617" w:type="pct"/>
            <w:vMerge w:val="restart"/>
            <w:vAlign w:val="center"/>
          </w:tcPr>
          <w:p w14:paraId="55B3C9DA"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12</w:t>
            </w:r>
          </w:p>
        </w:tc>
        <w:tc>
          <w:tcPr>
            <w:tcW w:w="792" w:type="pct"/>
            <w:vAlign w:val="center"/>
          </w:tcPr>
          <w:p w14:paraId="6D53A1B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3C6FA41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21F6488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049B59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6C84B6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D02922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830" w:type="pct"/>
            <w:vAlign w:val="center"/>
          </w:tcPr>
          <w:p w14:paraId="16AEC10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42</w:t>
            </w:r>
          </w:p>
        </w:tc>
        <w:tc>
          <w:tcPr>
            <w:tcW w:w="471" w:type="pct"/>
            <w:vMerge w:val="restart"/>
            <w:vAlign w:val="center"/>
          </w:tcPr>
          <w:p w14:paraId="493127E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0,433</w:t>
            </w:r>
          </w:p>
        </w:tc>
        <w:tc>
          <w:tcPr>
            <w:tcW w:w="470" w:type="pct"/>
            <w:vMerge w:val="restart"/>
            <w:vAlign w:val="center"/>
          </w:tcPr>
          <w:p w14:paraId="7DD49F6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0,533</w:t>
            </w:r>
          </w:p>
        </w:tc>
      </w:tr>
      <w:tr w:rsidR="002132EB" w:rsidRPr="002132EB" w14:paraId="1813C950" w14:textId="77777777" w:rsidTr="00370613">
        <w:trPr>
          <w:trHeight w:val="20"/>
        </w:trPr>
        <w:tc>
          <w:tcPr>
            <w:tcW w:w="617" w:type="pct"/>
            <w:vMerge/>
            <w:vAlign w:val="center"/>
          </w:tcPr>
          <w:p w14:paraId="744EF430" w14:textId="77777777" w:rsidR="002132EB" w:rsidRPr="002132EB" w:rsidRDefault="002132EB" w:rsidP="002132EB">
            <w:pPr>
              <w:jc w:val="center"/>
              <w:rPr>
                <w:rFonts w:eastAsia="Calibri"/>
                <w:b/>
                <w:sz w:val="22"/>
                <w:szCs w:val="22"/>
                <w:lang w:eastAsia="en-US"/>
              </w:rPr>
            </w:pPr>
          </w:p>
        </w:tc>
        <w:tc>
          <w:tcPr>
            <w:tcW w:w="792" w:type="pct"/>
            <w:vAlign w:val="center"/>
          </w:tcPr>
          <w:p w14:paraId="13FAC02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15A9CB5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2DEBA80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44999D9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544042B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404B2BA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830" w:type="pct"/>
            <w:vAlign w:val="center"/>
          </w:tcPr>
          <w:p w14:paraId="1ED7B8E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471" w:type="pct"/>
            <w:vMerge/>
            <w:vAlign w:val="center"/>
          </w:tcPr>
          <w:p w14:paraId="54DE72ED" w14:textId="77777777" w:rsidR="002132EB" w:rsidRPr="002132EB" w:rsidRDefault="002132EB" w:rsidP="002132EB">
            <w:pPr>
              <w:jc w:val="center"/>
              <w:rPr>
                <w:rFonts w:eastAsia="Calibri"/>
                <w:sz w:val="22"/>
                <w:szCs w:val="22"/>
                <w:lang w:eastAsia="en-US"/>
              </w:rPr>
            </w:pPr>
          </w:p>
        </w:tc>
        <w:tc>
          <w:tcPr>
            <w:tcW w:w="470" w:type="pct"/>
            <w:vMerge/>
            <w:vAlign w:val="center"/>
          </w:tcPr>
          <w:p w14:paraId="74EBE096" w14:textId="77777777" w:rsidR="002132EB" w:rsidRPr="002132EB" w:rsidRDefault="002132EB" w:rsidP="002132EB">
            <w:pPr>
              <w:jc w:val="center"/>
              <w:rPr>
                <w:rFonts w:eastAsia="Calibri"/>
                <w:sz w:val="22"/>
                <w:szCs w:val="22"/>
                <w:lang w:eastAsia="en-US"/>
              </w:rPr>
            </w:pPr>
          </w:p>
        </w:tc>
      </w:tr>
      <w:tr w:rsidR="002132EB" w:rsidRPr="002132EB" w14:paraId="3D56DB37" w14:textId="77777777" w:rsidTr="00370613">
        <w:trPr>
          <w:trHeight w:val="20"/>
        </w:trPr>
        <w:tc>
          <w:tcPr>
            <w:tcW w:w="617" w:type="pct"/>
            <w:vMerge w:val="restart"/>
            <w:vAlign w:val="center"/>
          </w:tcPr>
          <w:p w14:paraId="4A1ECE6A"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13</w:t>
            </w:r>
          </w:p>
        </w:tc>
        <w:tc>
          <w:tcPr>
            <w:tcW w:w="792" w:type="pct"/>
            <w:vAlign w:val="center"/>
          </w:tcPr>
          <w:p w14:paraId="1AE195D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5B3F4BE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26509A9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7D4858D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B8622B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w:t>
            </w:r>
          </w:p>
        </w:tc>
        <w:tc>
          <w:tcPr>
            <w:tcW w:w="364" w:type="pct"/>
            <w:vAlign w:val="center"/>
          </w:tcPr>
          <w:p w14:paraId="43EE162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7</w:t>
            </w:r>
          </w:p>
        </w:tc>
        <w:tc>
          <w:tcPr>
            <w:tcW w:w="830" w:type="pct"/>
            <w:vAlign w:val="center"/>
          </w:tcPr>
          <w:p w14:paraId="1FD4A9F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15</w:t>
            </w:r>
          </w:p>
        </w:tc>
        <w:tc>
          <w:tcPr>
            <w:tcW w:w="471" w:type="pct"/>
            <w:vMerge w:val="restart"/>
            <w:vAlign w:val="center"/>
          </w:tcPr>
          <w:p w14:paraId="3C8838E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0,175</w:t>
            </w:r>
          </w:p>
        </w:tc>
        <w:tc>
          <w:tcPr>
            <w:tcW w:w="470" w:type="pct"/>
            <w:vMerge w:val="restart"/>
            <w:vAlign w:val="center"/>
          </w:tcPr>
          <w:p w14:paraId="50FAB74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0,15</w:t>
            </w:r>
          </w:p>
        </w:tc>
      </w:tr>
      <w:tr w:rsidR="002132EB" w:rsidRPr="002132EB" w14:paraId="44BA3842" w14:textId="77777777" w:rsidTr="00370613">
        <w:trPr>
          <w:trHeight w:val="20"/>
        </w:trPr>
        <w:tc>
          <w:tcPr>
            <w:tcW w:w="617" w:type="pct"/>
            <w:vMerge/>
            <w:vAlign w:val="center"/>
          </w:tcPr>
          <w:p w14:paraId="4824A971" w14:textId="77777777" w:rsidR="002132EB" w:rsidRPr="002132EB" w:rsidRDefault="002132EB" w:rsidP="002132EB">
            <w:pPr>
              <w:jc w:val="center"/>
              <w:rPr>
                <w:rFonts w:eastAsia="Calibri"/>
                <w:sz w:val="22"/>
                <w:szCs w:val="22"/>
                <w:lang w:eastAsia="en-US"/>
              </w:rPr>
            </w:pPr>
          </w:p>
        </w:tc>
        <w:tc>
          <w:tcPr>
            <w:tcW w:w="792" w:type="pct"/>
            <w:vAlign w:val="center"/>
          </w:tcPr>
          <w:p w14:paraId="4185336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2E130BE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2BBD84C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09C700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C83C32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55E2382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830" w:type="pct"/>
            <w:vAlign w:val="center"/>
          </w:tcPr>
          <w:p w14:paraId="62914EF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w:t>
            </w:r>
          </w:p>
        </w:tc>
        <w:tc>
          <w:tcPr>
            <w:tcW w:w="471" w:type="pct"/>
            <w:vMerge/>
            <w:vAlign w:val="center"/>
          </w:tcPr>
          <w:p w14:paraId="7B8E496A" w14:textId="77777777" w:rsidR="002132EB" w:rsidRPr="002132EB" w:rsidRDefault="002132EB" w:rsidP="002132EB">
            <w:pPr>
              <w:jc w:val="center"/>
              <w:rPr>
                <w:rFonts w:eastAsia="Calibri"/>
                <w:sz w:val="22"/>
                <w:szCs w:val="22"/>
                <w:lang w:eastAsia="en-US"/>
              </w:rPr>
            </w:pPr>
          </w:p>
        </w:tc>
        <w:tc>
          <w:tcPr>
            <w:tcW w:w="470" w:type="pct"/>
            <w:vMerge/>
            <w:vAlign w:val="center"/>
          </w:tcPr>
          <w:p w14:paraId="1CA36DDB" w14:textId="77777777" w:rsidR="002132EB" w:rsidRPr="002132EB" w:rsidRDefault="002132EB" w:rsidP="002132EB">
            <w:pPr>
              <w:jc w:val="center"/>
              <w:rPr>
                <w:rFonts w:eastAsia="Calibri"/>
                <w:sz w:val="22"/>
                <w:szCs w:val="22"/>
                <w:lang w:eastAsia="en-US"/>
              </w:rPr>
            </w:pPr>
          </w:p>
        </w:tc>
      </w:tr>
      <w:tr w:rsidR="002132EB" w:rsidRPr="002132EB" w14:paraId="0DA32ED9" w14:textId="77777777" w:rsidTr="00370613">
        <w:trPr>
          <w:trHeight w:val="20"/>
        </w:trPr>
        <w:tc>
          <w:tcPr>
            <w:tcW w:w="617" w:type="pct"/>
            <w:vMerge w:val="restart"/>
            <w:vAlign w:val="center"/>
          </w:tcPr>
          <w:p w14:paraId="370D23AE"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14</w:t>
            </w:r>
          </w:p>
        </w:tc>
        <w:tc>
          <w:tcPr>
            <w:tcW w:w="792" w:type="pct"/>
            <w:vAlign w:val="center"/>
          </w:tcPr>
          <w:p w14:paraId="0E1E8CA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450780B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364" w:type="pct"/>
            <w:vAlign w:val="center"/>
          </w:tcPr>
          <w:p w14:paraId="4BE2E63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AA5D89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772FD3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0167D63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07926D5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49</w:t>
            </w:r>
          </w:p>
        </w:tc>
        <w:tc>
          <w:tcPr>
            <w:tcW w:w="471" w:type="pct"/>
            <w:vMerge w:val="restart"/>
            <w:vAlign w:val="center"/>
          </w:tcPr>
          <w:p w14:paraId="1778E578" w14:textId="77777777" w:rsidR="002132EB" w:rsidRPr="002132EB" w:rsidRDefault="002132EB" w:rsidP="002132EB">
            <w:pPr>
              <w:rPr>
                <w:rFonts w:eastAsia="Calibri"/>
                <w:sz w:val="22"/>
                <w:szCs w:val="22"/>
                <w:lang w:eastAsia="en-US"/>
              </w:rPr>
            </w:pPr>
            <w:r w:rsidRPr="002132EB">
              <w:rPr>
                <w:rFonts w:eastAsia="Calibri"/>
                <w:sz w:val="22"/>
                <w:szCs w:val="22"/>
                <w:lang w:eastAsia="en-US"/>
              </w:rPr>
              <w:t>0,525</w:t>
            </w:r>
          </w:p>
        </w:tc>
        <w:tc>
          <w:tcPr>
            <w:tcW w:w="470" w:type="pct"/>
            <w:vMerge w:val="restart"/>
            <w:vAlign w:val="center"/>
          </w:tcPr>
          <w:p w14:paraId="1407E32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0,583</w:t>
            </w:r>
          </w:p>
        </w:tc>
      </w:tr>
      <w:tr w:rsidR="002132EB" w:rsidRPr="002132EB" w14:paraId="2266253E" w14:textId="77777777" w:rsidTr="00370613">
        <w:trPr>
          <w:trHeight w:val="20"/>
        </w:trPr>
        <w:tc>
          <w:tcPr>
            <w:tcW w:w="617" w:type="pct"/>
            <w:vMerge/>
            <w:vAlign w:val="center"/>
          </w:tcPr>
          <w:p w14:paraId="4848EF78" w14:textId="77777777" w:rsidR="002132EB" w:rsidRPr="002132EB" w:rsidRDefault="002132EB" w:rsidP="002132EB">
            <w:pPr>
              <w:jc w:val="center"/>
              <w:rPr>
                <w:rFonts w:eastAsia="Calibri"/>
                <w:b/>
                <w:sz w:val="22"/>
                <w:szCs w:val="22"/>
                <w:lang w:eastAsia="en-US"/>
              </w:rPr>
            </w:pPr>
          </w:p>
        </w:tc>
        <w:tc>
          <w:tcPr>
            <w:tcW w:w="792" w:type="pct"/>
            <w:vAlign w:val="center"/>
          </w:tcPr>
          <w:p w14:paraId="3117AC5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743C652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4C02065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04BA7B8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01225CF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1E551E9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830" w:type="pct"/>
            <w:vAlign w:val="center"/>
          </w:tcPr>
          <w:p w14:paraId="428241F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14</w:t>
            </w:r>
          </w:p>
        </w:tc>
        <w:tc>
          <w:tcPr>
            <w:tcW w:w="471" w:type="pct"/>
            <w:vMerge/>
            <w:vAlign w:val="center"/>
          </w:tcPr>
          <w:p w14:paraId="1A28B8C5" w14:textId="77777777" w:rsidR="002132EB" w:rsidRPr="002132EB" w:rsidRDefault="002132EB" w:rsidP="002132EB">
            <w:pPr>
              <w:rPr>
                <w:rFonts w:eastAsia="Calibri"/>
                <w:sz w:val="22"/>
                <w:szCs w:val="22"/>
                <w:lang w:eastAsia="en-US"/>
              </w:rPr>
            </w:pPr>
          </w:p>
        </w:tc>
        <w:tc>
          <w:tcPr>
            <w:tcW w:w="470" w:type="pct"/>
            <w:vMerge/>
            <w:vAlign w:val="center"/>
          </w:tcPr>
          <w:p w14:paraId="27452340" w14:textId="77777777" w:rsidR="002132EB" w:rsidRPr="002132EB" w:rsidRDefault="002132EB" w:rsidP="002132EB">
            <w:pPr>
              <w:jc w:val="center"/>
              <w:rPr>
                <w:rFonts w:eastAsia="Calibri"/>
                <w:sz w:val="22"/>
                <w:szCs w:val="22"/>
                <w:lang w:eastAsia="en-US"/>
              </w:rPr>
            </w:pPr>
          </w:p>
        </w:tc>
      </w:tr>
      <w:tr w:rsidR="002132EB" w:rsidRPr="002132EB" w14:paraId="6A3261F9" w14:textId="77777777" w:rsidTr="00370613">
        <w:trPr>
          <w:trHeight w:val="20"/>
        </w:trPr>
        <w:tc>
          <w:tcPr>
            <w:tcW w:w="617" w:type="pct"/>
            <w:vMerge w:val="restart"/>
            <w:vAlign w:val="center"/>
          </w:tcPr>
          <w:p w14:paraId="43AF90F1"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15</w:t>
            </w:r>
          </w:p>
        </w:tc>
        <w:tc>
          <w:tcPr>
            <w:tcW w:w="792" w:type="pct"/>
            <w:vAlign w:val="center"/>
          </w:tcPr>
          <w:p w14:paraId="41584A1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731F145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15</w:t>
            </w:r>
          </w:p>
        </w:tc>
        <w:tc>
          <w:tcPr>
            <w:tcW w:w="364" w:type="pct"/>
            <w:vAlign w:val="center"/>
          </w:tcPr>
          <w:p w14:paraId="0A5C527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2D407E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B40FC7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37234F1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609E96D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60</w:t>
            </w:r>
          </w:p>
        </w:tc>
        <w:tc>
          <w:tcPr>
            <w:tcW w:w="471" w:type="pct"/>
            <w:vMerge w:val="restart"/>
            <w:vAlign w:val="center"/>
          </w:tcPr>
          <w:p w14:paraId="3F0DED15" w14:textId="77777777" w:rsidR="002132EB" w:rsidRPr="002132EB" w:rsidRDefault="002132EB" w:rsidP="002132EB">
            <w:pPr>
              <w:rPr>
                <w:rFonts w:eastAsia="Calibri"/>
                <w:sz w:val="22"/>
                <w:szCs w:val="22"/>
                <w:lang w:eastAsia="en-US"/>
              </w:rPr>
            </w:pPr>
            <w:r w:rsidRPr="002132EB">
              <w:rPr>
                <w:rFonts w:eastAsia="Calibri"/>
                <w:sz w:val="22"/>
                <w:szCs w:val="22"/>
                <w:lang w:eastAsia="en-US"/>
              </w:rPr>
              <w:t>0,933</w:t>
            </w:r>
          </w:p>
        </w:tc>
        <w:tc>
          <w:tcPr>
            <w:tcW w:w="470" w:type="pct"/>
            <w:vMerge w:val="restart"/>
            <w:vAlign w:val="center"/>
          </w:tcPr>
          <w:p w14:paraId="144D07D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0,133</w:t>
            </w:r>
          </w:p>
        </w:tc>
      </w:tr>
      <w:tr w:rsidR="002132EB" w:rsidRPr="002132EB" w14:paraId="7FC09BA2" w14:textId="77777777" w:rsidTr="00370613">
        <w:trPr>
          <w:trHeight w:val="20"/>
        </w:trPr>
        <w:tc>
          <w:tcPr>
            <w:tcW w:w="617" w:type="pct"/>
            <w:vMerge/>
            <w:vAlign w:val="center"/>
          </w:tcPr>
          <w:p w14:paraId="29E5875E" w14:textId="77777777" w:rsidR="002132EB" w:rsidRPr="002132EB" w:rsidRDefault="002132EB" w:rsidP="002132EB">
            <w:pPr>
              <w:jc w:val="center"/>
              <w:rPr>
                <w:rFonts w:eastAsia="Calibri"/>
                <w:b/>
                <w:sz w:val="22"/>
                <w:szCs w:val="22"/>
                <w:lang w:eastAsia="en-US"/>
              </w:rPr>
            </w:pPr>
          </w:p>
        </w:tc>
        <w:tc>
          <w:tcPr>
            <w:tcW w:w="792" w:type="pct"/>
            <w:vAlign w:val="center"/>
          </w:tcPr>
          <w:p w14:paraId="6586E8E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03A2CCC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364" w:type="pct"/>
            <w:vAlign w:val="center"/>
          </w:tcPr>
          <w:p w14:paraId="1795B6D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659549A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B38425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285520C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64D735B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52</w:t>
            </w:r>
          </w:p>
        </w:tc>
        <w:tc>
          <w:tcPr>
            <w:tcW w:w="471" w:type="pct"/>
            <w:vMerge/>
            <w:vAlign w:val="center"/>
          </w:tcPr>
          <w:p w14:paraId="2F350CB1" w14:textId="77777777" w:rsidR="002132EB" w:rsidRPr="002132EB" w:rsidRDefault="002132EB" w:rsidP="002132EB">
            <w:pPr>
              <w:rPr>
                <w:rFonts w:eastAsia="Calibri"/>
                <w:sz w:val="22"/>
                <w:szCs w:val="22"/>
                <w:lang w:eastAsia="en-US"/>
              </w:rPr>
            </w:pPr>
          </w:p>
        </w:tc>
        <w:tc>
          <w:tcPr>
            <w:tcW w:w="470" w:type="pct"/>
            <w:vMerge/>
            <w:vAlign w:val="center"/>
          </w:tcPr>
          <w:p w14:paraId="2134C043" w14:textId="77777777" w:rsidR="002132EB" w:rsidRPr="002132EB" w:rsidRDefault="002132EB" w:rsidP="002132EB">
            <w:pPr>
              <w:jc w:val="center"/>
              <w:rPr>
                <w:rFonts w:eastAsia="Calibri"/>
                <w:sz w:val="22"/>
                <w:szCs w:val="22"/>
                <w:lang w:eastAsia="en-US"/>
              </w:rPr>
            </w:pPr>
          </w:p>
        </w:tc>
      </w:tr>
      <w:tr w:rsidR="002132EB" w:rsidRPr="002132EB" w14:paraId="599061D4" w14:textId="77777777" w:rsidTr="00370613">
        <w:trPr>
          <w:trHeight w:val="20"/>
        </w:trPr>
        <w:tc>
          <w:tcPr>
            <w:tcW w:w="617" w:type="pct"/>
            <w:vMerge w:val="restart"/>
            <w:vAlign w:val="center"/>
          </w:tcPr>
          <w:p w14:paraId="1B1F9921"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16</w:t>
            </w:r>
          </w:p>
        </w:tc>
        <w:tc>
          <w:tcPr>
            <w:tcW w:w="792" w:type="pct"/>
            <w:vAlign w:val="center"/>
          </w:tcPr>
          <w:p w14:paraId="2642437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5722A96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364" w:type="pct"/>
            <w:vAlign w:val="center"/>
          </w:tcPr>
          <w:p w14:paraId="67C8F22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22FFF04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4FB0DF2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4F6CD5F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830" w:type="pct"/>
            <w:vAlign w:val="center"/>
          </w:tcPr>
          <w:p w14:paraId="1D58806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56</w:t>
            </w:r>
          </w:p>
        </w:tc>
        <w:tc>
          <w:tcPr>
            <w:tcW w:w="471" w:type="pct"/>
            <w:vMerge w:val="restart"/>
            <w:vAlign w:val="center"/>
          </w:tcPr>
          <w:p w14:paraId="6742C0F0" w14:textId="77777777" w:rsidR="002132EB" w:rsidRPr="002132EB" w:rsidRDefault="002132EB" w:rsidP="002132EB">
            <w:pPr>
              <w:rPr>
                <w:rFonts w:eastAsia="Calibri"/>
                <w:sz w:val="22"/>
                <w:szCs w:val="22"/>
                <w:lang w:eastAsia="en-US"/>
              </w:rPr>
            </w:pPr>
            <w:r w:rsidRPr="002132EB">
              <w:rPr>
                <w:rFonts w:eastAsia="Calibri"/>
                <w:sz w:val="22"/>
                <w:szCs w:val="22"/>
                <w:lang w:eastAsia="en-US"/>
              </w:rPr>
              <w:t>0,791</w:t>
            </w:r>
          </w:p>
        </w:tc>
        <w:tc>
          <w:tcPr>
            <w:tcW w:w="470" w:type="pct"/>
            <w:vMerge w:val="restart"/>
            <w:vAlign w:val="center"/>
          </w:tcPr>
          <w:p w14:paraId="06F0A90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0,283</w:t>
            </w:r>
          </w:p>
        </w:tc>
      </w:tr>
      <w:tr w:rsidR="002132EB" w:rsidRPr="002132EB" w14:paraId="424B585F" w14:textId="77777777" w:rsidTr="00370613">
        <w:trPr>
          <w:trHeight w:val="20"/>
        </w:trPr>
        <w:tc>
          <w:tcPr>
            <w:tcW w:w="617" w:type="pct"/>
            <w:vMerge/>
            <w:vAlign w:val="center"/>
          </w:tcPr>
          <w:p w14:paraId="1305F363" w14:textId="77777777" w:rsidR="002132EB" w:rsidRPr="002132EB" w:rsidRDefault="002132EB" w:rsidP="002132EB">
            <w:pPr>
              <w:jc w:val="center"/>
              <w:rPr>
                <w:rFonts w:eastAsia="Calibri"/>
                <w:b/>
                <w:sz w:val="22"/>
                <w:szCs w:val="22"/>
                <w:lang w:eastAsia="en-US"/>
              </w:rPr>
            </w:pPr>
          </w:p>
        </w:tc>
        <w:tc>
          <w:tcPr>
            <w:tcW w:w="792" w:type="pct"/>
            <w:vAlign w:val="center"/>
          </w:tcPr>
          <w:p w14:paraId="6656C99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2A81BC7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4E28FE8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15BA135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1E85636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E42212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w:t>
            </w:r>
          </w:p>
        </w:tc>
        <w:tc>
          <w:tcPr>
            <w:tcW w:w="830" w:type="pct"/>
            <w:vAlign w:val="center"/>
          </w:tcPr>
          <w:p w14:paraId="49FDE53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39</w:t>
            </w:r>
          </w:p>
        </w:tc>
        <w:tc>
          <w:tcPr>
            <w:tcW w:w="471" w:type="pct"/>
            <w:vMerge/>
            <w:vAlign w:val="center"/>
          </w:tcPr>
          <w:p w14:paraId="2C4FADD3" w14:textId="77777777" w:rsidR="002132EB" w:rsidRPr="002132EB" w:rsidRDefault="002132EB" w:rsidP="002132EB">
            <w:pPr>
              <w:rPr>
                <w:rFonts w:eastAsia="Calibri"/>
                <w:sz w:val="22"/>
                <w:szCs w:val="22"/>
                <w:lang w:eastAsia="en-US"/>
              </w:rPr>
            </w:pPr>
          </w:p>
        </w:tc>
        <w:tc>
          <w:tcPr>
            <w:tcW w:w="470" w:type="pct"/>
            <w:vMerge/>
            <w:vAlign w:val="center"/>
          </w:tcPr>
          <w:p w14:paraId="07CC43A2" w14:textId="77777777" w:rsidR="002132EB" w:rsidRPr="002132EB" w:rsidRDefault="002132EB" w:rsidP="002132EB">
            <w:pPr>
              <w:jc w:val="center"/>
              <w:rPr>
                <w:rFonts w:eastAsia="Calibri"/>
                <w:sz w:val="22"/>
                <w:szCs w:val="22"/>
                <w:lang w:eastAsia="en-US"/>
              </w:rPr>
            </w:pPr>
          </w:p>
        </w:tc>
      </w:tr>
      <w:tr w:rsidR="002132EB" w:rsidRPr="002132EB" w14:paraId="1414EC51" w14:textId="77777777" w:rsidTr="00370613">
        <w:trPr>
          <w:trHeight w:val="20"/>
        </w:trPr>
        <w:tc>
          <w:tcPr>
            <w:tcW w:w="617" w:type="pct"/>
            <w:vMerge w:val="restart"/>
            <w:vAlign w:val="center"/>
          </w:tcPr>
          <w:p w14:paraId="5F8A0907"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17</w:t>
            </w:r>
          </w:p>
        </w:tc>
        <w:tc>
          <w:tcPr>
            <w:tcW w:w="792" w:type="pct"/>
            <w:vAlign w:val="center"/>
          </w:tcPr>
          <w:p w14:paraId="4D894D8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2770E54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10</w:t>
            </w:r>
          </w:p>
        </w:tc>
        <w:tc>
          <w:tcPr>
            <w:tcW w:w="364" w:type="pct"/>
            <w:vAlign w:val="center"/>
          </w:tcPr>
          <w:p w14:paraId="311994F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D7480F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984C7F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35F8441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10582B4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47</w:t>
            </w:r>
          </w:p>
        </w:tc>
        <w:tc>
          <w:tcPr>
            <w:tcW w:w="471" w:type="pct"/>
            <w:vMerge w:val="restart"/>
            <w:vAlign w:val="center"/>
          </w:tcPr>
          <w:p w14:paraId="217FFF62" w14:textId="77777777" w:rsidR="002132EB" w:rsidRPr="002132EB" w:rsidRDefault="002132EB" w:rsidP="002132EB">
            <w:pPr>
              <w:rPr>
                <w:rFonts w:eastAsia="Calibri"/>
                <w:sz w:val="22"/>
                <w:szCs w:val="22"/>
                <w:lang w:eastAsia="en-US"/>
              </w:rPr>
            </w:pPr>
            <w:r w:rsidRPr="002132EB">
              <w:rPr>
                <w:rFonts w:eastAsia="Calibri"/>
                <w:sz w:val="22"/>
                <w:szCs w:val="22"/>
                <w:lang w:eastAsia="en-US"/>
              </w:rPr>
              <w:t>0,441</w:t>
            </w:r>
          </w:p>
        </w:tc>
        <w:tc>
          <w:tcPr>
            <w:tcW w:w="470" w:type="pct"/>
            <w:vMerge w:val="restart"/>
            <w:vAlign w:val="center"/>
          </w:tcPr>
          <w:p w14:paraId="467510D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0,683</w:t>
            </w:r>
          </w:p>
        </w:tc>
      </w:tr>
      <w:tr w:rsidR="002132EB" w:rsidRPr="002132EB" w14:paraId="4EDC92EC" w14:textId="77777777" w:rsidTr="00370613">
        <w:trPr>
          <w:trHeight w:val="20"/>
        </w:trPr>
        <w:tc>
          <w:tcPr>
            <w:tcW w:w="617" w:type="pct"/>
            <w:vMerge/>
            <w:vAlign w:val="center"/>
          </w:tcPr>
          <w:p w14:paraId="01BAA6D6" w14:textId="77777777" w:rsidR="002132EB" w:rsidRPr="002132EB" w:rsidRDefault="002132EB" w:rsidP="002132EB">
            <w:pPr>
              <w:jc w:val="center"/>
              <w:rPr>
                <w:rFonts w:eastAsia="Calibri"/>
                <w:b/>
                <w:sz w:val="22"/>
                <w:szCs w:val="22"/>
                <w:lang w:eastAsia="en-US"/>
              </w:rPr>
            </w:pPr>
          </w:p>
        </w:tc>
        <w:tc>
          <w:tcPr>
            <w:tcW w:w="792" w:type="pct"/>
            <w:vAlign w:val="center"/>
          </w:tcPr>
          <w:p w14:paraId="709F173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2249762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7746FF0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9B36EB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3AC1A6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2C7DE83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830" w:type="pct"/>
            <w:vAlign w:val="center"/>
          </w:tcPr>
          <w:p w14:paraId="7542572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6</w:t>
            </w:r>
          </w:p>
        </w:tc>
        <w:tc>
          <w:tcPr>
            <w:tcW w:w="471" w:type="pct"/>
            <w:vMerge/>
            <w:vAlign w:val="center"/>
          </w:tcPr>
          <w:p w14:paraId="0D155BF7" w14:textId="77777777" w:rsidR="002132EB" w:rsidRPr="002132EB" w:rsidRDefault="002132EB" w:rsidP="002132EB">
            <w:pPr>
              <w:rPr>
                <w:rFonts w:eastAsia="Calibri"/>
                <w:sz w:val="22"/>
                <w:szCs w:val="22"/>
                <w:lang w:eastAsia="en-US"/>
              </w:rPr>
            </w:pPr>
          </w:p>
        </w:tc>
        <w:tc>
          <w:tcPr>
            <w:tcW w:w="470" w:type="pct"/>
            <w:vMerge/>
            <w:vAlign w:val="center"/>
          </w:tcPr>
          <w:p w14:paraId="0775D798" w14:textId="77777777" w:rsidR="002132EB" w:rsidRPr="002132EB" w:rsidRDefault="002132EB" w:rsidP="002132EB">
            <w:pPr>
              <w:jc w:val="center"/>
              <w:rPr>
                <w:rFonts w:eastAsia="Calibri"/>
                <w:sz w:val="22"/>
                <w:szCs w:val="22"/>
                <w:lang w:eastAsia="en-US"/>
              </w:rPr>
            </w:pPr>
          </w:p>
        </w:tc>
      </w:tr>
      <w:tr w:rsidR="002132EB" w:rsidRPr="002132EB" w14:paraId="0A515BDB" w14:textId="77777777" w:rsidTr="00370613">
        <w:trPr>
          <w:trHeight w:val="20"/>
        </w:trPr>
        <w:tc>
          <w:tcPr>
            <w:tcW w:w="617" w:type="pct"/>
            <w:vMerge w:val="restart"/>
            <w:vAlign w:val="center"/>
          </w:tcPr>
          <w:p w14:paraId="7EFD441E"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18</w:t>
            </w:r>
          </w:p>
        </w:tc>
        <w:tc>
          <w:tcPr>
            <w:tcW w:w="792" w:type="pct"/>
            <w:vAlign w:val="center"/>
          </w:tcPr>
          <w:p w14:paraId="552B31A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751DA09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0CA6025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57B5976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C7E40A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428338A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3F20835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41</w:t>
            </w:r>
          </w:p>
        </w:tc>
        <w:tc>
          <w:tcPr>
            <w:tcW w:w="471" w:type="pct"/>
            <w:vMerge w:val="restart"/>
            <w:vAlign w:val="center"/>
          </w:tcPr>
          <w:p w14:paraId="5D5B1D9B" w14:textId="77777777" w:rsidR="002132EB" w:rsidRPr="002132EB" w:rsidRDefault="002132EB" w:rsidP="002132EB">
            <w:pPr>
              <w:rPr>
                <w:rFonts w:eastAsia="Calibri"/>
                <w:sz w:val="22"/>
                <w:szCs w:val="22"/>
                <w:lang w:eastAsia="en-US"/>
              </w:rPr>
            </w:pPr>
            <w:r w:rsidRPr="002132EB">
              <w:rPr>
                <w:rFonts w:eastAsia="Calibri"/>
                <w:sz w:val="22"/>
                <w:szCs w:val="22"/>
                <w:lang w:eastAsia="en-US"/>
              </w:rPr>
              <w:t>0,366</w:t>
            </w:r>
          </w:p>
        </w:tc>
        <w:tc>
          <w:tcPr>
            <w:tcW w:w="470" w:type="pct"/>
            <w:vMerge w:val="restart"/>
            <w:vAlign w:val="center"/>
          </w:tcPr>
          <w:p w14:paraId="0B8BB953" w14:textId="77777777" w:rsidR="002132EB" w:rsidRPr="002132EB" w:rsidRDefault="002132EB" w:rsidP="002132EB">
            <w:pPr>
              <w:rPr>
                <w:rFonts w:eastAsia="Calibri"/>
                <w:sz w:val="22"/>
                <w:szCs w:val="22"/>
                <w:lang w:eastAsia="en-US"/>
              </w:rPr>
            </w:pPr>
            <w:r w:rsidRPr="002132EB">
              <w:rPr>
                <w:rFonts w:eastAsia="Calibri"/>
                <w:sz w:val="22"/>
                <w:szCs w:val="22"/>
                <w:lang w:eastAsia="en-US"/>
              </w:rPr>
              <w:t>0,633</w:t>
            </w:r>
          </w:p>
        </w:tc>
      </w:tr>
      <w:tr w:rsidR="002132EB" w:rsidRPr="002132EB" w14:paraId="53E2668F" w14:textId="77777777" w:rsidTr="00370613">
        <w:trPr>
          <w:trHeight w:val="20"/>
        </w:trPr>
        <w:tc>
          <w:tcPr>
            <w:tcW w:w="617" w:type="pct"/>
            <w:vMerge/>
            <w:vAlign w:val="center"/>
          </w:tcPr>
          <w:p w14:paraId="6E3D8499" w14:textId="77777777" w:rsidR="002132EB" w:rsidRPr="002132EB" w:rsidRDefault="002132EB" w:rsidP="002132EB">
            <w:pPr>
              <w:jc w:val="center"/>
              <w:rPr>
                <w:rFonts w:eastAsia="Calibri"/>
                <w:b/>
                <w:sz w:val="22"/>
                <w:szCs w:val="22"/>
                <w:lang w:eastAsia="en-US"/>
              </w:rPr>
            </w:pPr>
          </w:p>
        </w:tc>
        <w:tc>
          <w:tcPr>
            <w:tcW w:w="792" w:type="pct"/>
            <w:vAlign w:val="center"/>
          </w:tcPr>
          <w:p w14:paraId="4914C99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3D86377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10A9E01"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F5C7B08"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49E8C69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364" w:type="pct"/>
            <w:vAlign w:val="center"/>
          </w:tcPr>
          <w:p w14:paraId="02182D4F"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12</w:t>
            </w:r>
          </w:p>
        </w:tc>
        <w:tc>
          <w:tcPr>
            <w:tcW w:w="830" w:type="pct"/>
            <w:vAlign w:val="center"/>
          </w:tcPr>
          <w:p w14:paraId="748EF2F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471" w:type="pct"/>
            <w:vMerge/>
            <w:vAlign w:val="center"/>
          </w:tcPr>
          <w:p w14:paraId="2B0C8BBC" w14:textId="77777777" w:rsidR="002132EB" w:rsidRPr="002132EB" w:rsidRDefault="002132EB" w:rsidP="002132EB">
            <w:pPr>
              <w:rPr>
                <w:rFonts w:eastAsia="Calibri"/>
                <w:sz w:val="22"/>
                <w:szCs w:val="22"/>
                <w:lang w:eastAsia="en-US"/>
              </w:rPr>
            </w:pPr>
          </w:p>
        </w:tc>
        <w:tc>
          <w:tcPr>
            <w:tcW w:w="470" w:type="pct"/>
            <w:vMerge/>
            <w:vAlign w:val="center"/>
          </w:tcPr>
          <w:p w14:paraId="1B598224" w14:textId="77777777" w:rsidR="002132EB" w:rsidRPr="002132EB" w:rsidRDefault="002132EB" w:rsidP="002132EB">
            <w:pPr>
              <w:rPr>
                <w:rFonts w:eastAsia="Calibri"/>
                <w:sz w:val="22"/>
                <w:szCs w:val="22"/>
                <w:lang w:eastAsia="en-US"/>
              </w:rPr>
            </w:pPr>
          </w:p>
        </w:tc>
      </w:tr>
      <w:tr w:rsidR="002132EB" w:rsidRPr="002132EB" w14:paraId="5A8ABECD" w14:textId="77777777" w:rsidTr="00370613">
        <w:trPr>
          <w:trHeight w:val="20"/>
        </w:trPr>
        <w:tc>
          <w:tcPr>
            <w:tcW w:w="617" w:type="pct"/>
            <w:vMerge w:val="restart"/>
            <w:vAlign w:val="center"/>
          </w:tcPr>
          <w:p w14:paraId="2F8560BB"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19</w:t>
            </w:r>
          </w:p>
        </w:tc>
        <w:tc>
          <w:tcPr>
            <w:tcW w:w="792" w:type="pct"/>
            <w:vAlign w:val="center"/>
          </w:tcPr>
          <w:p w14:paraId="2ADCA52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6DB96E8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DD1762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7AE72A2"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2A70A12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5</w:t>
            </w:r>
          </w:p>
        </w:tc>
        <w:tc>
          <w:tcPr>
            <w:tcW w:w="364" w:type="pct"/>
            <w:vAlign w:val="center"/>
          </w:tcPr>
          <w:p w14:paraId="3DE3D32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7</w:t>
            </w:r>
          </w:p>
        </w:tc>
        <w:tc>
          <w:tcPr>
            <w:tcW w:w="830" w:type="pct"/>
            <w:vAlign w:val="center"/>
          </w:tcPr>
          <w:p w14:paraId="6829360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13</w:t>
            </w:r>
          </w:p>
        </w:tc>
        <w:tc>
          <w:tcPr>
            <w:tcW w:w="471" w:type="pct"/>
            <w:vMerge w:val="restart"/>
            <w:vAlign w:val="center"/>
          </w:tcPr>
          <w:p w14:paraId="100B35E4" w14:textId="77777777" w:rsidR="002132EB" w:rsidRPr="002132EB" w:rsidRDefault="002132EB" w:rsidP="002132EB">
            <w:pPr>
              <w:rPr>
                <w:rFonts w:eastAsia="Calibri"/>
                <w:sz w:val="22"/>
                <w:szCs w:val="22"/>
                <w:lang w:eastAsia="en-US"/>
              </w:rPr>
            </w:pPr>
            <w:r w:rsidRPr="002132EB">
              <w:rPr>
                <w:rFonts w:eastAsia="Calibri"/>
                <w:sz w:val="22"/>
                <w:szCs w:val="22"/>
                <w:lang w:eastAsia="en-US"/>
              </w:rPr>
              <w:t>0,133</w:t>
            </w:r>
          </w:p>
        </w:tc>
        <w:tc>
          <w:tcPr>
            <w:tcW w:w="470" w:type="pct"/>
            <w:vMerge w:val="restart"/>
            <w:vAlign w:val="center"/>
          </w:tcPr>
          <w:p w14:paraId="191F22E7" w14:textId="77777777" w:rsidR="002132EB" w:rsidRPr="002132EB" w:rsidRDefault="002132EB" w:rsidP="002132EB">
            <w:pPr>
              <w:rPr>
                <w:rFonts w:eastAsia="Calibri"/>
                <w:sz w:val="22"/>
                <w:szCs w:val="22"/>
                <w:lang w:eastAsia="en-US"/>
              </w:rPr>
            </w:pPr>
            <w:r w:rsidRPr="002132EB">
              <w:rPr>
                <w:rFonts w:eastAsia="Calibri"/>
                <w:sz w:val="22"/>
                <w:szCs w:val="22"/>
                <w:lang w:eastAsia="en-US"/>
              </w:rPr>
              <w:t>0,166</w:t>
            </w:r>
          </w:p>
        </w:tc>
      </w:tr>
      <w:tr w:rsidR="002132EB" w:rsidRPr="002132EB" w14:paraId="13EBCD20" w14:textId="77777777" w:rsidTr="00370613">
        <w:trPr>
          <w:trHeight w:val="20"/>
        </w:trPr>
        <w:tc>
          <w:tcPr>
            <w:tcW w:w="617" w:type="pct"/>
            <w:vMerge/>
            <w:vAlign w:val="center"/>
          </w:tcPr>
          <w:p w14:paraId="17C691DF" w14:textId="77777777" w:rsidR="002132EB" w:rsidRPr="002132EB" w:rsidRDefault="002132EB" w:rsidP="002132EB">
            <w:pPr>
              <w:jc w:val="center"/>
              <w:rPr>
                <w:rFonts w:eastAsia="Calibri"/>
                <w:b/>
                <w:sz w:val="22"/>
                <w:szCs w:val="22"/>
                <w:lang w:eastAsia="en-US"/>
              </w:rPr>
            </w:pPr>
          </w:p>
        </w:tc>
        <w:tc>
          <w:tcPr>
            <w:tcW w:w="792" w:type="pct"/>
            <w:vAlign w:val="center"/>
          </w:tcPr>
          <w:p w14:paraId="37D6D1DB"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473DA117"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2259C3B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68B67E4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3C173D1D"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2905AC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13</w:t>
            </w:r>
          </w:p>
        </w:tc>
        <w:tc>
          <w:tcPr>
            <w:tcW w:w="830" w:type="pct"/>
            <w:vAlign w:val="center"/>
          </w:tcPr>
          <w:p w14:paraId="56F74495"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3</w:t>
            </w:r>
          </w:p>
        </w:tc>
        <w:tc>
          <w:tcPr>
            <w:tcW w:w="471" w:type="pct"/>
            <w:vMerge/>
            <w:vAlign w:val="center"/>
          </w:tcPr>
          <w:p w14:paraId="670EDC1F" w14:textId="77777777" w:rsidR="002132EB" w:rsidRPr="002132EB" w:rsidRDefault="002132EB" w:rsidP="002132EB">
            <w:pPr>
              <w:rPr>
                <w:rFonts w:eastAsia="Calibri"/>
                <w:sz w:val="22"/>
                <w:szCs w:val="22"/>
                <w:lang w:eastAsia="en-US"/>
              </w:rPr>
            </w:pPr>
          </w:p>
        </w:tc>
        <w:tc>
          <w:tcPr>
            <w:tcW w:w="470" w:type="pct"/>
            <w:vMerge/>
            <w:vAlign w:val="center"/>
          </w:tcPr>
          <w:p w14:paraId="401F82DA" w14:textId="77777777" w:rsidR="002132EB" w:rsidRPr="002132EB" w:rsidRDefault="002132EB" w:rsidP="002132EB">
            <w:pPr>
              <w:rPr>
                <w:rFonts w:eastAsia="Calibri"/>
                <w:sz w:val="22"/>
                <w:szCs w:val="22"/>
                <w:lang w:eastAsia="en-US"/>
              </w:rPr>
            </w:pPr>
          </w:p>
        </w:tc>
      </w:tr>
      <w:tr w:rsidR="002132EB" w:rsidRPr="002132EB" w14:paraId="40C3424C" w14:textId="77777777" w:rsidTr="00370613">
        <w:trPr>
          <w:trHeight w:val="20"/>
        </w:trPr>
        <w:tc>
          <w:tcPr>
            <w:tcW w:w="617" w:type="pct"/>
            <w:vMerge w:val="restart"/>
            <w:vAlign w:val="center"/>
          </w:tcPr>
          <w:p w14:paraId="5828F5A1" w14:textId="77777777" w:rsidR="002132EB" w:rsidRPr="002132EB" w:rsidRDefault="002132EB" w:rsidP="002132EB">
            <w:pPr>
              <w:jc w:val="center"/>
              <w:rPr>
                <w:rFonts w:eastAsia="Calibri"/>
                <w:b/>
                <w:sz w:val="22"/>
                <w:szCs w:val="22"/>
                <w:lang w:eastAsia="en-US"/>
              </w:rPr>
            </w:pPr>
            <w:r w:rsidRPr="002132EB">
              <w:rPr>
                <w:rFonts w:eastAsia="Calibri"/>
                <w:b/>
                <w:sz w:val="22"/>
                <w:szCs w:val="22"/>
                <w:lang w:eastAsia="en-US"/>
              </w:rPr>
              <w:t>20</w:t>
            </w:r>
          </w:p>
        </w:tc>
        <w:tc>
          <w:tcPr>
            <w:tcW w:w="792" w:type="pct"/>
            <w:vAlign w:val="center"/>
          </w:tcPr>
          <w:p w14:paraId="3663F363"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Üst Grup</w:t>
            </w:r>
          </w:p>
        </w:tc>
        <w:tc>
          <w:tcPr>
            <w:tcW w:w="364" w:type="pct"/>
            <w:vAlign w:val="center"/>
          </w:tcPr>
          <w:p w14:paraId="337CE4E6"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9</w:t>
            </w:r>
          </w:p>
        </w:tc>
        <w:tc>
          <w:tcPr>
            <w:tcW w:w="364" w:type="pct"/>
            <w:vAlign w:val="center"/>
          </w:tcPr>
          <w:p w14:paraId="59660D6A"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3B1D8EC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7FA1D29"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513D9DB0"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830" w:type="pct"/>
            <w:vAlign w:val="center"/>
          </w:tcPr>
          <w:p w14:paraId="43D7431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45</w:t>
            </w:r>
          </w:p>
        </w:tc>
        <w:tc>
          <w:tcPr>
            <w:tcW w:w="471" w:type="pct"/>
            <w:vMerge w:val="restart"/>
            <w:vAlign w:val="center"/>
          </w:tcPr>
          <w:p w14:paraId="34351D73" w14:textId="77777777" w:rsidR="002132EB" w:rsidRPr="002132EB" w:rsidRDefault="002132EB" w:rsidP="002132EB">
            <w:pPr>
              <w:rPr>
                <w:rFonts w:eastAsia="Calibri"/>
                <w:sz w:val="22"/>
                <w:szCs w:val="22"/>
                <w:lang w:eastAsia="en-US"/>
              </w:rPr>
            </w:pPr>
            <w:r w:rsidRPr="002132EB">
              <w:rPr>
                <w:rFonts w:eastAsia="Calibri"/>
                <w:sz w:val="22"/>
                <w:szCs w:val="22"/>
                <w:lang w:eastAsia="en-US"/>
              </w:rPr>
              <w:t>0,433</w:t>
            </w:r>
          </w:p>
        </w:tc>
        <w:tc>
          <w:tcPr>
            <w:tcW w:w="470" w:type="pct"/>
            <w:vMerge w:val="restart"/>
            <w:vAlign w:val="center"/>
          </w:tcPr>
          <w:p w14:paraId="74B78DAE" w14:textId="77777777" w:rsidR="002132EB" w:rsidRPr="002132EB" w:rsidRDefault="002132EB" w:rsidP="002132EB">
            <w:pPr>
              <w:rPr>
                <w:rFonts w:eastAsia="Calibri"/>
                <w:sz w:val="22"/>
                <w:szCs w:val="22"/>
                <w:lang w:eastAsia="en-US"/>
              </w:rPr>
            </w:pPr>
            <w:r w:rsidRPr="002132EB">
              <w:rPr>
                <w:rFonts w:eastAsia="Calibri"/>
                <w:sz w:val="22"/>
                <w:szCs w:val="22"/>
                <w:lang w:eastAsia="en-US"/>
              </w:rPr>
              <w:t>0,633</w:t>
            </w:r>
          </w:p>
        </w:tc>
      </w:tr>
      <w:tr w:rsidR="002132EB" w:rsidRPr="002132EB" w14:paraId="0DC2CB0C" w14:textId="77777777" w:rsidTr="00370613">
        <w:trPr>
          <w:trHeight w:val="20"/>
        </w:trPr>
        <w:tc>
          <w:tcPr>
            <w:tcW w:w="617" w:type="pct"/>
            <w:vMerge/>
            <w:vAlign w:val="center"/>
          </w:tcPr>
          <w:p w14:paraId="1DD341A4" w14:textId="77777777" w:rsidR="002132EB" w:rsidRPr="002132EB" w:rsidRDefault="002132EB" w:rsidP="002132EB">
            <w:pPr>
              <w:jc w:val="center"/>
              <w:rPr>
                <w:rFonts w:eastAsia="Calibri"/>
                <w:sz w:val="22"/>
                <w:szCs w:val="22"/>
                <w:lang w:eastAsia="en-US"/>
              </w:rPr>
            </w:pPr>
          </w:p>
        </w:tc>
        <w:tc>
          <w:tcPr>
            <w:tcW w:w="792" w:type="pct"/>
            <w:vAlign w:val="center"/>
          </w:tcPr>
          <w:p w14:paraId="4C89F6D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Alt Grup</w:t>
            </w:r>
          </w:p>
        </w:tc>
        <w:tc>
          <w:tcPr>
            <w:tcW w:w="364" w:type="pct"/>
            <w:vAlign w:val="center"/>
          </w:tcPr>
          <w:p w14:paraId="63D03E4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0</w:t>
            </w:r>
          </w:p>
        </w:tc>
        <w:tc>
          <w:tcPr>
            <w:tcW w:w="364" w:type="pct"/>
            <w:vAlign w:val="center"/>
          </w:tcPr>
          <w:p w14:paraId="46F2C46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6A6642C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w:t>
            </w:r>
          </w:p>
        </w:tc>
        <w:tc>
          <w:tcPr>
            <w:tcW w:w="364" w:type="pct"/>
            <w:vAlign w:val="center"/>
          </w:tcPr>
          <w:p w14:paraId="701C49BE"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2</w:t>
            </w:r>
          </w:p>
        </w:tc>
        <w:tc>
          <w:tcPr>
            <w:tcW w:w="364" w:type="pct"/>
            <w:vAlign w:val="center"/>
          </w:tcPr>
          <w:p w14:paraId="0845F77C"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11</w:t>
            </w:r>
          </w:p>
        </w:tc>
        <w:tc>
          <w:tcPr>
            <w:tcW w:w="830" w:type="pct"/>
            <w:vAlign w:val="center"/>
          </w:tcPr>
          <w:p w14:paraId="7F341474" w14:textId="77777777" w:rsidR="002132EB" w:rsidRPr="002132EB" w:rsidRDefault="002132EB" w:rsidP="002132EB">
            <w:pPr>
              <w:jc w:val="center"/>
              <w:rPr>
                <w:rFonts w:eastAsia="Calibri"/>
                <w:sz w:val="22"/>
                <w:szCs w:val="22"/>
                <w:lang w:eastAsia="en-US"/>
              </w:rPr>
            </w:pPr>
            <w:r w:rsidRPr="002132EB">
              <w:rPr>
                <w:rFonts w:eastAsia="Calibri"/>
                <w:sz w:val="22"/>
                <w:szCs w:val="22"/>
                <w:lang w:eastAsia="en-US"/>
              </w:rPr>
              <w:t>7</w:t>
            </w:r>
          </w:p>
        </w:tc>
        <w:tc>
          <w:tcPr>
            <w:tcW w:w="471" w:type="pct"/>
            <w:vMerge/>
            <w:vAlign w:val="center"/>
          </w:tcPr>
          <w:p w14:paraId="0C01A021" w14:textId="77777777" w:rsidR="002132EB" w:rsidRPr="002132EB" w:rsidRDefault="002132EB" w:rsidP="002132EB">
            <w:pPr>
              <w:rPr>
                <w:rFonts w:eastAsia="Calibri"/>
                <w:sz w:val="22"/>
                <w:szCs w:val="22"/>
                <w:lang w:eastAsia="en-US"/>
              </w:rPr>
            </w:pPr>
          </w:p>
        </w:tc>
        <w:tc>
          <w:tcPr>
            <w:tcW w:w="470" w:type="pct"/>
            <w:vMerge/>
            <w:vAlign w:val="center"/>
          </w:tcPr>
          <w:p w14:paraId="3568BA60" w14:textId="77777777" w:rsidR="002132EB" w:rsidRPr="002132EB" w:rsidRDefault="002132EB" w:rsidP="002132EB">
            <w:pPr>
              <w:rPr>
                <w:rFonts w:eastAsia="Calibri"/>
                <w:sz w:val="22"/>
                <w:szCs w:val="22"/>
                <w:lang w:eastAsia="en-US"/>
              </w:rPr>
            </w:pPr>
          </w:p>
        </w:tc>
      </w:tr>
    </w:tbl>
    <w:p w14:paraId="36C9975E" w14:textId="77777777" w:rsidR="002132EB" w:rsidRPr="002D53F8" w:rsidRDefault="002132EB" w:rsidP="002D53F8">
      <w:pPr>
        <w:spacing w:after="0" w:line="360" w:lineRule="auto"/>
        <w:ind w:firstLine="567"/>
        <w:jc w:val="both"/>
        <w:rPr>
          <w:rFonts w:ascii="Times New Roman" w:hAnsi="Times New Roman" w:cs="Times New Roman"/>
          <w:sz w:val="24"/>
          <w:szCs w:val="24"/>
        </w:rPr>
      </w:pPr>
    </w:p>
    <w:p w14:paraId="40D593B6" w14:textId="4DDA5569" w:rsidR="002D53F8" w:rsidRDefault="002D53F8" w:rsidP="00AB5A29">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 xml:space="preserve">Madde analizi yapıldıktan sonra bazı soruların ( 2,6,13,15,19) çıkarılmasıyla 15 açık uçlu soru içerecek şekilde fonksiyon başarı testinin son hali oluşturulmuştur. Pilot uygulamadan elde edilen veriler için güvenirlik analizi yapılmış ve cronbach alfa değeri .709 olarak bulunmuştur. Pilot çalışması sonucunda testin bir saatlik süre içinde uygulanmasına karar verilmiştir. </w:t>
      </w:r>
    </w:p>
    <w:p w14:paraId="4C0B6A52" w14:textId="55EE7F6C" w:rsidR="00F82333" w:rsidRDefault="00F82333" w:rsidP="00AB5A29">
      <w:pPr>
        <w:spacing w:after="0" w:line="360" w:lineRule="auto"/>
        <w:ind w:firstLine="567"/>
        <w:jc w:val="both"/>
        <w:rPr>
          <w:rFonts w:ascii="Times New Roman" w:hAnsi="Times New Roman"/>
          <w:sz w:val="24"/>
          <w:szCs w:val="24"/>
        </w:rPr>
      </w:pPr>
      <w:r w:rsidRPr="00C73427">
        <w:rPr>
          <w:rFonts w:ascii="Times New Roman" w:hAnsi="Times New Roman"/>
          <w:sz w:val="24"/>
          <w:szCs w:val="24"/>
        </w:rPr>
        <w:t xml:space="preserve">15 açık uçlu sorudan oluşan Fonksiyon Başarı Testi uzman görüşleri alınarak 4 kategoriye ayrılmıştır. Kategoriler 15 açık uçlu soru için A kategorisinde 4, B kategorisinde 3, C kategorisinde 4 ve D kategorisinde 4 soru şeklinde oluşturulmuştur. A kategorisi; daha çok basit düzeyde işlemsel soruları içeren kategoridir. B kategorisi; temel bilgilerin kavranmasıyla ilgili A kategorisindeki sorulara göre biraz daha zor sorular içermektedir. C kategorisi; grafik sorularını içeren kategoridir ve D kategorisi ise daha çok muhakeme tipi soruları içeren kategoridir. </w:t>
      </w:r>
    </w:p>
    <w:p w14:paraId="399B2688" w14:textId="30A2434C" w:rsidR="006F4D3E" w:rsidRDefault="006F4D3E" w:rsidP="00AB5A29">
      <w:pPr>
        <w:spacing w:after="0" w:line="360" w:lineRule="auto"/>
        <w:ind w:firstLine="567"/>
        <w:jc w:val="both"/>
        <w:rPr>
          <w:rFonts w:ascii="Times New Roman" w:hAnsi="Times New Roman"/>
          <w:b/>
          <w:sz w:val="24"/>
          <w:szCs w:val="24"/>
        </w:rPr>
      </w:pPr>
      <w:r w:rsidRPr="006F4D3E">
        <w:rPr>
          <w:rFonts w:ascii="Times New Roman" w:hAnsi="Times New Roman"/>
          <w:b/>
          <w:sz w:val="24"/>
          <w:szCs w:val="24"/>
        </w:rPr>
        <w:lastRenderedPageBreak/>
        <w:t>Matematik Muhakeme Yaklaşımı Öğrenci Şablonu</w:t>
      </w:r>
      <w:r>
        <w:rPr>
          <w:rFonts w:ascii="Times New Roman" w:hAnsi="Times New Roman"/>
          <w:b/>
          <w:sz w:val="24"/>
          <w:szCs w:val="24"/>
        </w:rPr>
        <w:t>:</w:t>
      </w:r>
    </w:p>
    <w:p w14:paraId="07D20FD7" w14:textId="77777777" w:rsidR="006F4D3E" w:rsidRPr="006F4D3E" w:rsidRDefault="006F4D3E" w:rsidP="006F4D3E">
      <w:pPr>
        <w:autoSpaceDE w:val="0"/>
        <w:autoSpaceDN w:val="0"/>
        <w:adjustRightInd w:val="0"/>
        <w:spacing w:before="120" w:line="360" w:lineRule="auto"/>
        <w:ind w:firstLine="709"/>
        <w:jc w:val="both"/>
        <w:rPr>
          <w:rFonts w:ascii="Times New Roman" w:eastAsiaTheme="minorHAnsi" w:hAnsi="Times New Roman" w:cs="Times New Roman"/>
          <w:sz w:val="24"/>
          <w:szCs w:val="24"/>
          <w:lang w:eastAsia="en-US"/>
        </w:rPr>
      </w:pPr>
      <w:r w:rsidRPr="006F4D3E">
        <w:rPr>
          <w:rFonts w:ascii="Times New Roman" w:eastAsiaTheme="minorHAnsi" w:hAnsi="Times New Roman" w:cs="Times New Roman"/>
          <w:sz w:val="24"/>
          <w:szCs w:val="24"/>
          <w:lang w:eastAsia="en-US"/>
        </w:rPr>
        <w:t xml:space="preserve">Akkuş (2007) ve Akkuş ve Hand (2011) tarafından geliştirilen Matematik Muhakeme Yaklaşımı (MMY) </w:t>
      </w:r>
      <w:r w:rsidRPr="006F4D3E">
        <w:rPr>
          <w:rFonts w:ascii="Times New Roman" w:eastAsia="Calibri" w:hAnsi="Times New Roman" w:cs="Times New Roman"/>
          <w:sz w:val="24"/>
          <w:szCs w:val="24"/>
          <w:lang w:eastAsia="en-US"/>
        </w:rPr>
        <w:t xml:space="preserve">öğrenci şablonu problem çözme, yazma ve argümantasyon üzerine kurulu bir şablondur. </w:t>
      </w:r>
      <w:r w:rsidRPr="006F4D3E">
        <w:rPr>
          <w:rFonts w:ascii="Times New Roman" w:eastAsiaTheme="minorHAnsi" w:hAnsi="Times New Roman" w:cs="Times New Roman"/>
          <w:sz w:val="24"/>
          <w:szCs w:val="24"/>
          <w:lang w:eastAsia="en-US"/>
        </w:rPr>
        <w:t xml:space="preserve">Matematik eğitimcileri matematik sınıflarında argümantasyon ve muhakemeyi yazma aktiviteleriyle birleştiren uygulamaları desteklemeye çalışmaktadır (Cross, 2009; NCTM, 2000; Ernest, 1998). Araştırma grubundaki öğrenciler fonksiyonlar konusu için MMY öğrenci şablonunu tartışma sürecinde ve sonunda içeriğinde var olan bölümlere uygun olarak doldurmuşlardır. Bu şablonda problemi anlama (problemde verilenler ve veriler arasındaki ilişki, matematiksel ifade yazabilme, probleme uygun şekil veya tablo çizebilme), probleme çözüm önerisi sunma, problemi çözme aşaması (problemi çözme aşamasında yapılanlar, zorlanılan noktalar), sebepler (kullanılan işlemlerin nedeni, çözüm mantıklı ve tutarlımı, başka çözüm yolu var mı ), başkaları ne diyor? (grup içi ve dışıyla karşılaştırma sonu benzerlikler ve farklılıklar) ve değerlendirme (fikirler nasıl değişti?) bölümleri bulunmaktadır. </w:t>
      </w:r>
    </w:p>
    <w:p w14:paraId="5BFC8443" w14:textId="77777777" w:rsidR="006F4D3E" w:rsidRPr="006F4D3E" w:rsidRDefault="006F4D3E" w:rsidP="00AB5A29">
      <w:pPr>
        <w:spacing w:after="0" w:line="360" w:lineRule="auto"/>
        <w:ind w:firstLine="567"/>
        <w:jc w:val="both"/>
        <w:rPr>
          <w:rFonts w:ascii="Times New Roman" w:hAnsi="Times New Roman"/>
          <w:b/>
          <w:sz w:val="24"/>
          <w:szCs w:val="24"/>
        </w:rPr>
      </w:pPr>
    </w:p>
    <w:p w14:paraId="49DD4C91" w14:textId="77777777" w:rsidR="00F82333" w:rsidRDefault="00F82333" w:rsidP="00AB5A29">
      <w:pPr>
        <w:spacing w:after="0" w:line="360" w:lineRule="auto"/>
        <w:ind w:firstLine="567"/>
        <w:jc w:val="both"/>
        <w:rPr>
          <w:rFonts w:ascii="Times New Roman" w:hAnsi="Times New Roman" w:cs="Times New Roman"/>
          <w:sz w:val="24"/>
          <w:szCs w:val="24"/>
        </w:rPr>
      </w:pPr>
    </w:p>
    <w:p w14:paraId="607D7C1B" w14:textId="5C907D10" w:rsidR="00250FF0" w:rsidRPr="00BD56B3" w:rsidRDefault="00B16431"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Verilerin Analizi</w:t>
      </w:r>
    </w:p>
    <w:p w14:paraId="464C4CBE" w14:textId="20ACB1D9" w:rsidR="00AB5A29" w:rsidRDefault="002D53F8" w:rsidP="00C04421">
      <w:pPr>
        <w:spacing w:after="0" w:line="360" w:lineRule="auto"/>
        <w:ind w:firstLine="567"/>
        <w:jc w:val="both"/>
        <w:rPr>
          <w:rFonts w:ascii="Times New Roman" w:hAnsi="Times New Roman" w:cs="Times New Roman"/>
          <w:sz w:val="24"/>
          <w:szCs w:val="24"/>
        </w:rPr>
      </w:pPr>
      <w:r w:rsidRPr="002D53F8">
        <w:rPr>
          <w:rFonts w:ascii="Times New Roman" w:hAnsi="Times New Roman" w:cs="Times New Roman"/>
          <w:sz w:val="24"/>
          <w:szCs w:val="24"/>
        </w:rPr>
        <w:t>Fonksiyon Başarı Testi için cevap anahtarı oluşturulduktan sonra her bir sorunun doğru cevabına 4, yanlış cevabına 0 değeri verilmiştir.</w:t>
      </w:r>
      <w:r w:rsidR="00660D0E">
        <w:rPr>
          <w:rFonts w:ascii="Times New Roman" w:hAnsi="Times New Roman" w:cs="Times New Roman"/>
          <w:sz w:val="24"/>
          <w:szCs w:val="24"/>
        </w:rPr>
        <w:t xml:space="preserve"> O halde tüm sorulara doğru cevap veren kaç puan alır. Değerlendirme hangi puan aralığındadır. Lütfen bunlara vurgu yapınız.</w:t>
      </w:r>
      <w:r w:rsidRPr="002D53F8">
        <w:rPr>
          <w:rFonts w:ascii="Times New Roman" w:hAnsi="Times New Roman" w:cs="Times New Roman"/>
          <w:sz w:val="24"/>
          <w:szCs w:val="24"/>
        </w:rPr>
        <w:t xml:space="preserve"> Açık uçlu soruların değerlendirilmesinde Milli Eğitim Bakanlığı tarafından hazırlanan matematik öğretim programında verilen problem çözme için bütüncül değerlendirme anahtarı kullanılmıştır. Fonksiyon Başarı Testi için ön test-son testten elde edilen verilerin çözümlenmesinde SPSS 18.0 paket programı kullanılmıştır. Parametriğin şartları olan normallik şartı için çarpıklık (skewness) ve basıklık (kurtosis) değerlerine bakılmıştır ve bu değerler -1 ve +1 arasında olup </w:t>
      </w:r>
      <w:r w:rsidR="00660D0E">
        <w:rPr>
          <w:rFonts w:ascii="Times New Roman" w:hAnsi="Times New Roman" w:cs="Times New Roman"/>
          <w:sz w:val="24"/>
          <w:szCs w:val="24"/>
        </w:rPr>
        <w:t xml:space="preserve">peki kaç? </w:t>
      </w:r>
      <w:r w:rsidRPr="002D53F8">
        <w:rPr>
          <w:rFonts w:ascii="Times New Roman" w:hAnsi="Times New Roman" w:cs="Times New Roman"/>
          <w:sz w:val="24"/>
          <w:szCs w:val="24"/>
        </w:rPr>
        <w:t>Eşleştirilmiş örneklem t-testi yapılmıştır. Kategorilere ayrıştırılan Fonksiyon Başarı Testi’nin çarpıklık (skewness) ve basıklık (kurtosis) değerleri -1 ve +1 arasında olup</w:t>
      </w:r>
      <w:r w:rsidR="00660D0E">
        <w:rPr>
          <w:rFonts w:ascii="Times New Roman" w:hAnsi="Times New Roman" w:cs="Times New Roman"/>
          <w:sz w:val="24"/>
          <w:szCs w:val="24"/>
        </w:rPr>
        <w:t xml:space="preserve"> </w:t>
      </w:r>
      <w:r w:rsidRPr="002D53F8">
        <w:rPr>
          <w:rFonts w:ascii="Times New Roman" w:hAnsi="Times New Roman" w:cs="Times New Roman"/>
          <w:sz w:val="24"/>
          <w:szCs w:val="24"/>
        </w:rPr>
        <w:t>Eşleştirilmiş örneklem t-testi kullanılmıştır.</w:t>
      </w:r>
    </w:p>
    <w:p w14:paraId="1C2F9545" w14:textId="4E16A59D" w:rsidR="00D00E0F" w:rsidRDefault="00D00E0F" w:rsidP="00C04421">
      <w:pPr>
        <w:spacing w:after="0" w:line="360" w:lineRule="auto"/>
        <w:ind w:firstLine="567"/>
        <w:jc w:val="both"/>
        <w:rPr>
          <w:rFonts w:ascii="Times New Roman" w:hAnsi="Times New Roman" w:cs="Times New Roman"/>
          <w:sz w:val="24"/>
          <w:szCs w:val="24"/>
        </w:rPr>
      </w:pPr>
      <w:r>
        <w:rPr>
          <w:rFonts w:ascii="Times New Roman" w:hAnsi="Times New Roman"/>
          <w:sz w:val="24"/>
          <w:szCs w:val="24"/>
        </w:rPr>
        <w:t>Kategorilere ayrılan FBT için a</w:t>
      </w:r>
      <w:r w:rsidRPr="00C73427">
        <w:rPr>
          <w:rFonts w:ascii="Times New Roman" w:hAnsi="Times New Roman"/>
          <w:sz w:val="24"/>
          <w:szCs w:val="24"/>
        </w:rPr>
        <w:t xml:space="preserve">naliz öncesi gerekli varsayımların sağlanıp sağlanmadığının ve öncelikle verilerin normal dağılıp dağılmadığının belirlenmesi için basıklık ve çarpıklık değerleri hesaplanmış ve boxplots grafikleri çizilmiştir. Çizilen boxplot grafiklerinin D kategorisinde bir aşırı değer tespit edilmiştir ve normalliği etkilediği için bu değer en düşük bir alt değerle değiştirilmiştir. Yeniden hesaplanan basıklık ve çarpıklık </w:t>
      </w:r>
      <w:r w:rsidRPr="00C73427">
        <w:rPr>
          <w:rFonts w:ascii="Times New Roman" w:hAnsi="Times New Roman"/>
          <w:sz w:val="24"/>
          <w:szCs w:val="24"/>
        </w:rPr>
        <w:lastRenderedPageBreak/>
        <w:t xml:space="preserve">değerleri verilerin her bir kategori için normal dağıldığına işaret etmektedir.  Ayrıca varyansların homojenliği için yapılan levene testi de bu varsayımın .05 düzeyinde karşılandığını göstermektedir (F(3,84)=2,198; p=0,094). Her bir kategoriye öğrencilerin ortalamaları arasında anlamlı bir farklılık olup olmadığını tespit etmek için eşleştirilmiş örneklem t testi </w:t>
      </w:r>
      <w:r>
        <w:rPr>
          <w:rFonts w:ascii="Times New Roman" w:hAnsi="Times New Roman"/>
          <w:sz w:val="24"/>
          <w:szCs w:val="24"/>
        </w:rPr>
        <w:t>yapılmıştır.</w:t>
      </w:r>
    </w:p>
    <w:p w14:paraId="10EC9992" w14:textId="43080E37" w:rsidR="006F4D3E" w:rsidRPr="00D00E0F" w:rsidRDefault="006F4D3E" w:rsidP="00D00E0F">
      <w:pPr>
        <w:spacing w:before="120" w:line="360" w:lineRule="auto"/>
        <w:ind w:firstLine="709"/>
        <w:jc w:val="both"/>
        <w:rPr>
          <w:rFonts w:ascii="Times New Roman" w:eastAsiaTheme="minorHAnsi" w:hAnsi="Times New Roman" w:cs="Times New Roman"/>
          <w:sz w:val="24"/>
          <w:szCs w:val="24"/>
          <w:lang w:eastAsia="en-US"/>
        </w:rPr>
      </w:pPr>
      <w:r w:rsidRPr="006F4D3E">
        <w:rPr>
          <w:rFonts w:ascii="Times New Roman" w:eastAsia="Calibri" w:hAnsi="Times New Roman" w:cs="Times New Roman"/>
          <w:sz w:val="24"/>
          <w:szCs w:val="24"/>
          <w:lang w:eastAsia="en-US"/>
        </w:rPr>
        <w:t xml:space="preserve">Öğrencilerin öğrenme amaçlı yazma aktivitesi olarak tamamladıkları MMY raporlarını değerlendirmek için Choi (2008; s.128-139) tarafından geliştirilen ATBÖ rapor değerlendirme şablonundan esinlenilmiştir. Bu çalışmada kullanılan MMY raporlarını değerlendirme puanlama anahtarı 5 araştırmacı (3 araştırma görevlisi, 2 yardımcı doçent) tarafından oluşturulmuştur. Puanlama anahtarının güvenilirliği için bir öğrencinin raporu, puanlama anahtarını geliştiren 4 araştırmacı tarafından ayrı ayrı değerlendirilmiş ve değerlendirmelerde tutarlılık sağlanmaya çalışılmıştır. Bu değerlendirme işlemine tutarlılık sağlanıncaya kadar devam edilmiş ve sonra araştırmacı tarafından bütün MMY raporları </w:t>
      </w:r>
      <w:r w:rsidRPr="006F4D3E">
        <w:rPr>
          <w:rFonts w:ascii="Times New Roman" w:eastAsiaTheme="minorHAnsi" w:hAnsi="Times New Roman" w:cs="Times New Roman"/>
          <w:sz w:val="24"/>
          <w:szCs w:val="24"/>
          <w:lang w:eastAsia="en-US"/>
        </w:rPr>
        <w:t>MMY puanlama anahtarına</w:t>
      </w:r>
      <w:r w:rsidR="00D64F33">
        <w:rPr>
          <w:rFonts w:ascii="Times New Roman" w:eastAsiaTheme="minorHAnsi" w:hAnsi="Times New Roman" w:cs="Times New Roman"/>
          <w:sz w:val="24"/>
          <w:szCs w:val="24"/>
          <w:lang w:eastAsia="en-US"/>
        </w:rPr>
        <w:t xml:space="preserve"> </w:t>
      </w:r>
      <w:r w:rsidRPr="006F4D3E">
        <w:rPr>
          <w:rFonts w:ascii="Times New Roman" w:eastAsiaTheme="minorHAnsi" w:hAnsi="Times New Roman" w:cs="Times New Roman"/>
          <w:sz w:val="24"/>
          <w:szCs w:val="24"/>
          <w:lang w:eastAsia="en-US"/>
        </w:rPr>
        <w:t xml:space="preserve">göre puanlanmıştır. </w:t>
      </w:r>
    </w:p>
    <w:p w14:paraId="0F9A7F34" w14:textId="77777777" w:rsidR="002D53F8" w:rsidRDefault="002D53F8" w:rsidP="00C04421">
      <w:pPr>
        <w:spacing w:after="0" w:line="360" w:lineRule="auto"/>
        <w:ind w:firstLine="567"/>
        <w:jc w:val="both"/>
        <w:rPr>
          <w:rFonts w:ascii="Times New Roman" w:hAnsi="Times New Roman" w:cs="Times New Roman"/>
          <w:sz w:val="24"/>
          <w:szCs w:val="24"/>
        </w:rPr>
      </w:pPr>
    </w:p>
    <w:p w14:paraId="620C7C33" w14:textId="77777777" w:rsidR="001531DE" w:rsidRDefault="001531DE"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Bulgular</w:t>
      </w:r>
    </w:p>
    <w:p w14:paraId="03D19F50" w14:textId="5E93B7C3" w:rsidR="00660D0E" w:rsidRDefault="00660D0E" w:rsidP="00F82333">
      <w:pPr>
        <w:spacing w:after="0" w:line="360" w:lineRule="auto"/>
        <w:jc w:val="both"/>
        <w:rPr>
          <w:rFonts w:ascii="Times New Roman" w:hAnsi="Times New Roman" w:cs="Times New Roman"/>
          <w:sz w:val="24"/>
          <w:szCs w:val="24"/>
        </w:rPr>
      </w:pPr>
      <w:r w:rsidRPr="00E920F8">
        <w:rPr>
          <w:rFonts w:ascii="Times New Roman" w:hAnsi="Times New Roman" w:cs="Times New Roman"/>
          <w:sz w:val="24"/>
          <w:szCs w:val="24"/>
        </w:rPr>
        <w:t>Bu</w:t>
      </w:r>
      <w:r w:rsidR="00F82333">
        <w:rPr>
          <w:rFonts w:ascii="Times New Roman" w:hAnsi="Times New Roman" w:cs="Times New Roman"/>
          <w:sz w:val="24"/>
          <w:szCs w:val="24"/>
        </w:rPr>
        <w:t xml:space="preserve"> bölümde çalışma sonucunda elde edilen bulgulara yer verilmiştir.</w:t>
      </w:r>
    </w:p>
    <w:p w14:paraId="63FD99F7" w14:textId="0BB48EE4" w:rsidR="009A2776" w:rsidRPr="009A2776" w:rsidRDefault="009A2776" w:rsidP="00F82333">
      <w:pPr>
        <w:spacing w:after="0" w:line="360" w:lineRule="auto"/>
        <w:jc w:val="both"/>
        <w:rPr>
          <w:rFonts w:ascii="Times New Roman" w:hAnsi="Times New Roman" w:cs="Times New Roman"/>
          <w:b/>
          <w:sz w:val="24"/>
          <w:szCs w:val="24"/>
        </w:rPr>
      </w:pPr>
      <w:r w:rsidRPr="009A2776">
        <w:rPr>
          <w:rFonts w:ascii="Times New Roman" w:hAnsi="Times New Roman" w:cs="Times New Roman"/>
          <w:b/>
          <w:sz w:val="24"/>
          <w:szCs w:val="24"/>
        </w:rPr>
        <w:t>Fon</w:t>
      </w:r>
      <w:r w:rsidR="007A0BCB">
        <w:rPr>
          <w:rFonts w:ascii="Times New Roman" w:hAnsi="Times New Roman" w:cs="Times New Roman"/>
          <w:b/>
          <w:sz w:val="24"/>
          <w:szCs w:val="24"/>
        </w:rPr>
        <w:t>k</w:t>
      </w:r>
      <w:r w:rsidRPr="009A2776">
        <w:rPr>
          <w:rFonts w:ascii="Times New Roman" w:hAnsi="Times New Roman" w:cs="Times New Roman"/>
          <w:b/>
          <w:sz w:val="24"/>
          <w:szCs w:val="24"/>
        </w:rPr>
        <w:t>siyon Başarı Testinden Elde Edilen Bulgular:</w:t>
      </w:r>
    </w:p>
    <w:p w14:paraId="77FC678D" w14:textId="63AC9D76" w:rsidR="00B84CC7" w:rsidRDefault="009A2776" w:rsidP="00B359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Tablo 2</w:t>
      </w:r>
      <w:r w:rsidR="00B84CC7" w:rsidRPr="00B84CC7">
        <w:rPr>
          <w:rFonts w:ascii="Times New Roman" w:hAnsi="Times New Roman" w:cs="Times New Roman"/>
          <w:sz w:val="24"/>
          <w:szCs w:val="24"/>
        </w:rPr>
        <w:t>’de ATBÖ yaklaşımının kullanıldığı çalışma grubuna uygulanan Fonksiyon Başarı Testi’nden, elde edilen verilere dayalı bulgular ve yorumlanması yer almaktadır.</w:t>
      </w:r>
      <w:r w:rsidR="00B84CC7">
        <w:rPr>
          <w:rFonts w:ascii="Times New Roman" w:hAnsi="Times New Roman" w:cs="Times New Roman"/>
          <w:sz w:val="24"/>
          <w:szCs w:val="24"/>
        </w:rPr>
        <w:t xml:space="preserve"> </w:t>
      </w:r>
    </w:p>
    <w:p w14:paraId="70557570" w14:textId="77777777" w:rsidR="00C04421" w:rsidRDefault="00C04421" w:rsidP="00B84CC7">
      <w:pPr>
        <w:keepNext/>
        <w:keepLines/>
        <w:spacing w:after="0" w:line="360" w:lineRule="auto"/>
        <w:jc w:val="both"/>
        <w:outlineLvl w:val="1"/>
        <w:rPr>
          <w:rFonts w:ascii="Times New Roman" w:eastAsia="Times New Roman" w:hAnsi="Times New Roman"/>
          <w:b/>
          <w:bCs/>
          <w:iCs/>
          <w:sz w:val="24"/>
          <w:szCs w:val="26"/>
        </w:rPr>
      </w:pPr>
      <w:bookmarkStart w:id="5" w:name="_Toc384194006"/>
      <w:bookmarkStart w:id="6" w:name="_Toc400882122"/>
    </w:p>
    <w:p w14:paraId="63AFE4EE" w14:textId="63451E37" w:rsidR="00B84CC7" w:rsidRPr="006E0B7C" w:rsidRDefault="00B84CC7" w:rsidP="00B84CC7">
      <w:pPr>
        <w:keepNext/>
        <w:keepLines/>
        <w:spacing w:after="0" w:line="360" w:lineRule="auto"/>
        <w:jc w:val="both"/>
        <w:outlineLvl w:val="1"/>
        <w:rPr>
          <w:rFonts w:ascii="Times New Roman" w:eastAsia="Times New Roman" w:hAnsi="Times New Roman"/>
          <w:bCs/>
          <w:iCs/>
          <w:sz w:val="24"/>
          <w:szCs w:val="26"/>
        </w:rPr>
      </w:pPr>
      <w:r w:rsidRPr="006E0B7C">
        <w:rPr>
          <w:rFonts w:ascii="Times New Roman" w:eastAsia="Times New Roman" w:hAnsi="Times New Roman"/>
          <w:b/>
          <w:bCs/>
          <w:iCs/>
          <w:sz w:val="24"/>
          <w:szCs w:val="26"/>
        </w:rPr>
        <w:t xml:space="preserve">Tablo </w:t>
      </w:r>
      <w:bookmarkEnd w:id="5"/>
      <w:r w:rsidR="009A2776">
        <w:rPr>
          <w:rFonts w:ascii="Times New Roman" w:eastAsia="Times New Roman" w:hAnsi="Times New Roman"/>
          <w:b/>
          <w:bCs/>
          <w:iCs/>
          <w:sz w:val="24"/>
          <w:szCs w:val="26"/>
        </w:rPr>
        <w:t>2</w:t>
      </w:r>
      <w:r w:rsidRPr="006E0B7C">
        <w:rPr>
          <w:rFonts w:ascii="Times New Roman" w:eastAsia="Times New Roman" w:hAnsi="Times New Roman"/>
          <w:b/>
          <w:bCs/>
          <w:iCs/>
          <w:sz w:val="24"/>
          <w:szCs w:val="26"/>
        </w:rPr>
        <w:t>.</w:t>
      </w:r>
      <w:bookmarkEnd w:id="6"/>
      <w:r w:rsidRPr="00C73427">
        <w:rPr>
          <w:rFonts w:ascii="Times New Roman" w:eastAsia="Times New Roman" w:hAnsi="Times New Roman"/>
          <w:bCs/>
          <w:iCs/>
          <w:sz w:val="24"/>
          <w:szCs w:val="26"/>
        </w:rPr>
        <w:t xml:space="preserve"> </w:t>
      </w:r>
      <w:bookmarkStart w:id="7" w:name="_Toc400882123"/>
      <w:r w:rsidRPr="006E0B7C">
        <w:rPr>
          <w:rFonts w:ascii="Times New Roman" w:eastAsia="Times New Roman" w:hAnsi="Times New Roman"/>
          <w:bCs/>
          <w:sz w:val="24"/>
          <w:szCs w:val="26"/>
        </w:rPr>
        <w:t>Fonksiyon Başarı Testi Öntest-Sontest Puanlarına Ait Eşleştirilmiş Örneklem t testi Sonuçları</w:t>
      </w:r>
      <w:bookmarkEnd w:id="7"/>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268"/>
        <w:gridCol w:w="1108"/>
        <w:gridCol w:w="1253"/>
        <w:gridCol w:w="1242"/>
        <w:gridCol w:w="1226"/>
        <w:gridCol w:w="1207"/>
        <w:gridCol w:w="1242"/>
      </w:tblGrid>
      <w:tr w:rsidR="00B84CC7" w:rsidRPr="00C73427" w14:paraId="65CCB86E" w14:textId="77777777" w:rsidTr="00370613">
        <w:trPr>
          <w:trHeight w:val="343"/>
          <w:jc w:val="center"/>
        </w:trPr>
        <w:tc>
          <w:tcPr>
            <w:tcW w:w="1268" w:type="dxa"/>
            <w:tcBorders>
              <w:top w:val="single" w:sz="4" w:space="0" w:color="auto"/>
              <w:left w:val="nil"/>
              <w:bottom w:val="single" w:sz="4" w:space="0" w:color="auto"/>
              <w:right w:val="nil"/>
            </w:tcBorders>
            <w:vAlign w:val="center"/>
            <w:hideMark/>
          </w:tcPr>
          <w:p w14:paraId="6DEE731F" w14:textId="77777777" w:rsidR="00B84CC7" w:rsidRPr="00C73427" w:rsidRDefault="00B84CC7" w:rsidP="00370613">
            <w:pPr>
              <w:spacing w:after="60"/>
              <w:rPr>
                <w:rFonts w:ascii="Times New Roman" w:hAnsi="Times New Roman"/>
                <w:b/>
              </w:rPr>
            </w:pPr>
            <w:r w:rsidRPr="00C73427">
              <w:rPr>
                <w:rFonts w:ascii="Times New Roman" w:hAnsi="Times New Roman"/>
                <w:b/>
              </w:rPr>
              <w:t>Ölçüm</w:t>
            </w:r>
          </w:p>
        </w:tc>
        <w:tc>
          <w:tcPr>
            <w:tcW w:w="1108" w:type="dxa"/>
            <w:tcBorders>
              <w:top w:val="single" w:sz="4" w:space="0" w:color="auto"/>
              <w:left w:val="nil"/>
              <w:bottom w:val="single" w:sz="4" w:space="0" w:color="auto"/>
              <w:right w:val="nil"/>
            </w:tcBorders>
            <w:vAlign w:val="center"/>
            <w:hideMark/>
          </w:tcPr>
          <w:p w14:paraId="6FC36558" w14:textId="77777777" w:rsidR="00B84CC7" w:rsidRPr="00C73427" w:rsidRDefault="00B84CC7" w:rsidP="00370613">
            <w:pPr>
              <w:spacing w:after="60"/>
              <w:jc w:val="center"/>
              <w:rPr>
                <w:rFonts w:ascii="Times New Roman" w:hAnsi="Times New Roman"/>
                <w:b/>
              </w:rPr>
            </w:pPr>
            <w:r w:rsidRPr="00C73427">
              <w:rPr>
                <w:rFonts w:ascii="Times New Roman" w:hAnsi="Times New Roman"/>
                <w:b/>
              </w:rPr>
              <w:t>N</w:t>
            </w:r>
          </w:p>
        </w:tc>
        <w:tc>
          <w:tcPr>
            <w:tcW w:w="1253" w:type="dxa"/>
            <w:tcBorders>
              <w:top w:val="single" w:sz="4" w:space="0" w:color="auto"/>
              <w:left w:val="nil"/>
              <w:bottom w:val="single" w:sz="4" w:space="0" w:color="auto"/>
              <w:right w:val="nil"/>
            </w:tcBorders>
            <w:vAlign w:val="center"/>
            <w:hideMark/>
          </w:tcPr>
          <w:p w14:paraId="3613CF30" w14:textId="77777777" w:rsidR="00B84CC7" w:rsidRPr="00C73427" w:rsidRDefault="00B85378" w:rsidP="00370613">
            <w:pPr>
              <w:spacing w:after="60"/>
              <w:jc w:val="center"/>
              <w:rPr>
                <w:rFonts w:ascii="Times New Roman" w:hAnsi="Times New Roman"/>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242" w:type="dxa"/>
            <w:tcBorders>
              <w:top w:val="single" w:sz="4" w:space="0" w:color="auto"/>
              <w:left w:val="nil"/>
              <w:bottom w:val="single" w:sz="4" w:space="0" w:color="auto"/>
              <w:right w:val="nil"/>
            </w:tcBorders>
            <w:vAlign w:val="center"/>
            <w:hideMark/>
          </w:tcPr>
          <w:p w14:paraId="310045C5" w14:textId="77777777" w:rsidR="00B84CC7" w:rsidRPr="00C73427" w:rsidRDefault="00B84CC7" w:rsidP="00370613">
            <w:pPr>
              <w:spacing w:after="60"/>
              <w:jc w:val="center"/>
              <w:rPr>
                <w:rFonts w:ascii="Times New Roman" w:hAnsi="Times New Roman"/>
                <w:b/>
              </w:rPr>
            </w:pPr>
            <w:r w:rsidRPr="00C73427">
              <w:rPr>
                <w:rFonts w:ascii="Times New Roman" w:hAnsi="Times New Roman"/>
                <w:b/>
              </w:rPr>
              <w:t>SS</w:t>
            </w:r>
          </w:p>
        </w:tc>
        <w:tc>
          <w:tcPr>
            <w:tcW w:w="1226" w:type="dxa"/>
            <w:tcBorders>
              <w:top w:val="single" w:sz="4" w:space="0" w:color="auto"/>
              <w:left w:val="nil"/>
              <w:bottom w:val="single" w:sz="4" w:space="0" w:color="auto"/>
              <w:right w:val="nil"/>
            </w:tcBorders>
            <w:vAlign w:val="center"/>
            <w:hideMark/>
          </w:tcPr>
          <w:p w14:paraId="72816E88" w14:textId="77777777" w:rsidR="00B84CC7" w:rsidRPr="00C73427" w:rsidRDefault="00B84CC7" w:rsidP="00370613">
            <w:pPr>
              <w:spacing w:after="60"/>
              <w:jc w:val="center"/>
              <w:rPr>
                <w:rFonts w:ascii="Times New Roman" w:hAnsi="Times New Roman"/>
                <w:b/>
              </w:rPr>
            </w:pPr>
            <w:r w:rsidRPr="00C73427">
              <w:rPr>
                <w:rFonts w:ascii="Times New Roman" w:hAnsi="Times New Roman"/>
                <w:b/>
              </w:rPr>
              <w:t>Sd</w:t>
            </w:r>
          </w:p>
        </w:tc>
        <w:tc>
          <w:tcPr>
            <w:tcW w:w="1207" w:type="dxa"/>
            <w:tcBorders>
              <w:top w:val="single" w:sz="4" w:space="0" w:color="auto"/>
              <w:left w:val="nil"/>
              <w:bottom w:val="single" w:sz="4" w:space="0" w:color="auto"/>
              <w:right w:val="nil"/>
            </w:tcBorders>
            <w:vAlign w:val="center"/>
            <w:hideMark/>
          </w:tcPr>
          <w:p w14:paraId="6A7A3AAF" w14:textId="77777777" w:rsidR="00B84CC7" w:rsidRPr="00C73427" w:rsidRDefault="00B84CC7" w:rsidP="00370613">
            <w:pPr>
              <w:spacing w:after="60"/>
              <w:jc w:val="center"/>
              <w:rPr>
                <w:rFonts w:ascii="Times New Roman" w:hAnsi="Times New Roman"/>
                <w:b/>
              </w:rPr>
            </w:pPr>
            <w:r w:rsidRPr="00C73427">
              <w:rPr>
                <w:rFonts w:ascii="Times New Roman" w:hAnsi="Times New Roman"/>
                <w:b/>
              </w:rPr>
              <w:t>T</w:t>
            </w:r>
          </w:p>
        </w:tc>
        <w:tc>
          <w:tcPr>
            <w:tcW w:w="1242" w:type="dxa"/>
            <w:tcBorders>
              <w:top w:val="single" w:sz="4" w:space="0" w:color="auto"/>
              <w:left w:val="nil"/>
              <w:bottom w:val="single" w:sz="4" w:space="0" w:color="auto"/>
              <w:right w:val="nil"/>
            </w:tcBorders>
            <w:vAlign w:val="center"/>
            <w:hideMark/>
          </w:tcPr>
          <w:p w14:paraId="6E2A3F56" w14:textId="77777777" w:rsidR="00B84CC7" w:rsidRPr="00C73427" w:rsidRDefault="00B84CC7" w:rsidP="00370613">
            <w:pPr>
              <w:spacing w:after="60"/>
              <w:jc w:val="center"/>
              <w:rPr>
                <w:rFonts w:ascii="Times New Roman" w:hAnsi="Times New Roman"/>
                <w:b/>
              </w:rPr>
            </w:pPr>
            <w:r w:rsidRPr="00C73427">
              <w:rPr>
                <w:rFonts w:ascii="Times New Roman" w:hAnsi="Times New Roman"/>
                <w:b/>
              </w:rPr>
              <w:t>p</w:t>
            </w:r>
          </w:p>
        </w:tc>
      </w:tr>
      <w:tr w:rsidR="00B84CC7" w:rsidRPr="00C73427" w14:paraId="4DFE52E8" w14:textId="77777777" w:rsidTr="00370613">
        <w:trPr>
          <w:trHeight w:val="340"/>
          <w:jc w:val="center"/>
        </w:trPr>
        <w:tc>
          <w:tcPr>
            <w:tcW w:w="1268" w:type="dxa"/>
            <w:tcBorders>
              <w:top w:val="single" w:sz="4" w:space="0" w:color="auto"/>
              <w:left w:val="nil"/>
              <w:bottom w:val="nil"/>
              <w:right w:val="nil"/>
            </w:tcBorders>
            <w:vAlign w:val="center"/>
            <w:hideMark/>
          </w:tcPr>
          <w:p w14:paraId="79CC4D44" w14:textId="77777777" w:rsidR="00B84CC7" w:rsidRPr="00C73427" w:rsidRDefault="00B84CC7" w:rsidP="00370613">
            <w:pPr>
              <w:spacing w:after="60"/>
              <w:rPr>
                <w:rFonts w:ascii="Times New Roman" w:hAnsi="Times New Roman"/>
                <w:b/>
              </w:rPr>
            </w:pPr>
            <w:r w:rsidRPr="00C73427">
              <w:rPr>
                <w:rFonts w:ascii="Times New Roman" w:hAnsi="Times New Roman"/>
                <w:b/>
              </w:rPr>
              <w:t>Öntest</w:t>
            </w:r>
          </w:p>
        </w:tc>
        <w:tc>
          <w:tcPr>
            <w:tcW w:w="1108" w:type="dxa"/>
            <w:tcBorders>
              <w:top w:val="single" w:sz="4" w:space="0" w:color="auto"/>
              <w:left w:val="nil"/>
              <w:bottom w:val="nil"/>
              <w:right w:val="nil"/>
            </w:tcBorders>
            <w:vAlign w:val="center"/>
            <w:hideMark/>
          </w:tcPr>
          <w:p w14:paraId="2DBD2CD4" w14:textId="77777777" w:rsidR="00B84CC7" w:rsidRPr="00C73427" w:rsidRDefault="00B84CC7" w:rsidP="00370613">
            <w:pPr>
              <w:spacing w:after="60"/>
              <w:jc w:val="center"/>
              <w:rPr>
                <w:rFonts w:ascii="Times New Roman" w:hAnsi="Times New Roman"/>
              </w:rPr>
            </w:pPr>
            <w:r w:rsidRPr="00C73427">
              <w:rPr>
                <w:rFonts w:ascii="Times New Roman" w:hAnsi="Times New Roman"/>
              </w:rPr>
              <w:t>22</w:t>
            </w:r>
          </w:p>
        </w:tc>
        <w:tc>
          <w:tcPr>
            <w:tcW w:w="1253" w:type="dxa"/>
            <w:tcBorders>
              <w:top w:val="single" w:sz="4" w:space="0" w:color="auto"/>
              <w:left w:val="nil"/>
              <w:bottom w:val="nil"/>
              <w:right w:val="nil"/>
            </w:tcBorders>
            <w:vAlign w:val="center"/>
            <w:hideMark/>
          </w:tcPr>
          <w:p w14:paraId="4D6D960F" w14:textId="77777777" w:rsidR="00B84CC7" w:rsidRPr="00C73427" w:rsidRDefault="00B84CC7" w:rsidP="00370613">
            <w:pPr>
              <w:spacing w:after="60"/>
              <w:jc w:val="center"/>
              <w:rPr>
                <w:rFonts w:ascii="Times New Roman" w:hAnsi="Times New Roman"/>
              </w:rPr>
            </w:pPr>
            <w:r w:rsidRPr="00C73427">
              <w:rPr>
                <w:rFonts w:ascii="Times New Roman" w:hAnsi="Times New Roman"/>
              </w:rPr>
              <w:t>7.23</w:t>
            </w:r>
          </w:p>
        </w:tc>
        <w:tc>
          <w:tcPr>
            <w:tcW w:w="1242" w:type="dxa"/>
            <w:tcBorders>
              <w:top w:val="single" w:sz="4" w:space="0" w:color="auto"/>
              <w:left w:val="nil"/>
              <w:bottom w:val="nil"/>
              <w:right w:val="nil"/>
            </w:tcBorders>
            <w:vAlign w:val="center"/>
            <w:hideMark/>
          </w:tcPr>
          <w:p w14:paraId="00229D83" w14:textId="77777777" w:rsidR="00B84CC7" w:rsidRPr="00C73427" w:rsidRDefault="00B84CC7" w:rsidP="00370613">
            <w:pPr>
              <w:spacing w:after="60"/>
              <w:jc w:val="center"/>
              <w:rPr>
                <w:rFonts w:ascii="Times New Roman" w:hAnsi="Times New Roman"/>
              </w:rPr>
            </w:pPr>
            <w:r w:rsidRPr="00C73427">
              <w:rPr>
                <w:rFonts w:ascii="Times New Roman" w:hAnsi="Times New Roman"/>
              </w:rPr>
              <w:t>5.94</w:t>
            </w:r>
          </w:p>
        </w:tc>
        <w:tc>
          <w:tcPr>
            <w:tcW w:w="1226" w:type="dxa"/>
            <w:vMerge w:val="restart"/>
            <w:tcBorders>
              <w:top w:val="single" w:sz="4" w:space="0" w:color="auto"/>
              <w:left w:val="nil"/>
              <w:bottom w:val="single" w:sz="4" w:space="0" w:color="auto"/>
              <w:right w:val="nil"/>
            </w:tcBorders>
            <w:vAlign w:val="center"/>
            <w:hideMark/>
          </w:tcPr>
          <w:p w14:paraId="4B0158D2" w14:textId="77777777" w:rsidR="00B84CC7" w:rsidRPr="00C73427" w:rsidRDefault="00B84CC7" w:rsidP="00370613">
            <w:pPr>
              <w:spacing w:after="60"/>
              <w:jc w:val="center"/>
              <w:rPr>
                <w:rFonts w:ascii="Times New Roman" w:hAnsi="Times New Roman"/>
              </w:rPr>
            </w:pPr>
            <w:r w:rsidRPr="00C73427">
              <w:rPr>
                <w:rFonts w:ascii="Times New Roman" w:hAnsi="Times New Roman"/>
              </w:rPr>
              <w:t>21</w:t>
            </w:r>
          </w:p>
        </w:tc>
        <w:tc>
          <w:tcPr>
            <w:tcW w:w="1207" w:type="dxa"/>
            <w:vMerge w:val="restart"/>
            <w:tcBorders>
              <w:top w:val="single" w:sz="4" w:space="0" w:color="auto"/>
              <w:left w:val="nil"/>
              <w:bottom w:val="single" w:sz="4" w:space="0" w:color="auto"/>
              <w:right w:val="nil"/>
            </w:tcBorders>
            <w:vAlign w:val="center"/>
            <w:hideMark/>
          </w:tcPr>
          <w:p w14:paraId="0DB94CE8" w14:textId="77777777" w:rsidR="00B84CC7" w:rsidRPr="00C73427" w:rsidRDefault="00B84CC7" w:rsidP="00370613">
            <w:pPr>
              <w:spacing w:after="60"/>
              <w:jc w:val="center"/>
              <w:rPr>
                <w:rFonts w:ascii="Times New Roman" w:hAnsi="Times New Roman"/>
              </w:rPr>
            </w:pPr>
            <w:r w:rsidRPr="00C73427">
              <w:rPr>
                <w:rFonts w:ascii="Times New Roman" w:hAnsi="Times New Roman"/>
              </w:rPr>
              <w:t>-19.152</w:t>
            </w:r>
          </w:p>
        </w:tc>
        <w:tc>
          <w:tcPr>
            <w:tcW w:w="1242" w:type="dxa"/>
            <w:vMerge w:val="restart"/>
            <w:tcBorders>
              <w:top w:val="single" w:sz="4" w:space="0" w:color="auto"/>
              <w:left w:val="nil"/>
              <w:bottom w:val="single" w:sz="4" w:space="0" w:color="auto"/>
              <w:right w:val="nil"/>
            </w:tcBorders>
            <w:vAlign w:val="center"/>
            <w:hideMark/>
          </w:tcPr>
          <w:p w14:paraId="18C80F44" w14:textId="77777777" w:rsidR="00B84CC7" w:rsidRPr="00C73427" w:rsidRDefault="00B84CC7" w:rsidP="00370613">
            <w:pPr>
              <w:spacing w:after="60"/>
              <w:jc w:val="center"/>
              <w:rPr>
                <w:rFonts w:ascii="Times New Roman" w:hAnsi="Times New Roman"/>
                <w:vertAlign w:val="superscript"/>
              </w:rPr>
            </w:pPr>
            <w:r w:rsidRPr="00C73427">
              <w:rPr>
                <w:rFonts w:ascii="Times New Roman" w:hAnsi="Times New Roman"/>
              </w:rPr>
              <w:t>.000</w:t>
            </w:r>
            <w:r w:rsidRPr="00C73427">
              <w:rPr>
                <w:rFonts w:ascii="Times New Roman" w:hAnsi="Times New Roman"/>
                <w:vertAlign w:val="superscript"/>
              </w:rPr>
              <w:t>*</w:t>
            </w:r>
          </w:p>
        </w:tc>
      </w:tr>
      <w:tr w:rsidR="00B84CC7" w:rsidRPr="00C73427" w14:paraId="7723A7C4" w14:textId="77777777" w:rsidTr="00370613">
        <w:trPr>
          <w:trHeight w:val="350"/>
          <w:jc w:val="center"/>
        </w:trPr>
        <w:tc>
          <w:tcPr>
            <w:tcW w:w="1268" w:type="dxa"/>
            <w:tcBorders>
              <w:top w:val="nil"/>
              <w:left w:val="nil"/>
              <w:bottom w:val="single" w:sz="4" w:space="0" w:color="auto"/>
              <w:right w:val="nil"/>
            </w:tcBorders>
            <w:vAlign w:val="center"/>
            <w:hideMark/>
          </w:tcPr>
          <w:p w14:paraId="30BF78C1" w14:textId="77777777" w:rsidR="00B84CC7" w:rsidRPr="00C73427" w:rsidRDefault="00B84CC7" w:rsidP="00370613">
            <w:pPr>
              <w:spacing w:after="60"/>
              <w:rPr>
                <w:rFonts w:ascii="Times New Roman" w:hAnsi="Times New Roman"/>
                <w:b/>
              </w:rPr>
            </w:pPr>
            <w:r w:rsidRPr="00C73427">
              <w:rPr>
                <w:rFonts w:ascii="Times New Roman" w:hAnsi="Times New Roman"/>
                <w:b/>
              </w:rPr>
              <w:t>Sontest</w:t>
            </w:r>
          </w:p>
        </w:tc>
        <w:tc>
          <w:tcPr>
            <w:tcW w:w="1108" w:type="dxa"/>
            <w:tcBorders>
              <w:top w:val="nil"/>
              <w:left w:val="nil"/>
              <w:bottom w:val="single" w:sz="4" w:space="0" w:color="auto"/>
              <w:right w:val="nil"/>
            </w:tcBorders>
            <w:vAlign w:val="center"/>
            <w:hideMark/>
          </w:tcPr>
          <w:p w14:paraId="3C886239" w14:textId="77777777" w:rsidR="00B84CC7" w:rsidRPr="00C73427" w:rsidRDefault="00B84CC7" w:rsidP="00370613">
            <w:pPr>
              <w:spacing w:after="60"/>
              <w:jc w:val="center"/>
              <w:rPr>
                <w:rFonts w:ascii="Times New Roman" w:hAnsi="Times New Roman"/>
              </w:rPr>
            </w:pPr>
            <w:r w:rsidRPr="00C73427">
              <w:rPr>
                <w:rFonts w:ascii="Times New Roman" w:hAnsi="Times New Roman"/>
              </w:rPr>
              <w:t>22</w:t>
            </w:r>
          </w:p>
        </w:tc>
        <w:tc>
          <w:tcPr>
            <w:tcW w:w="1253" w:type="dxa"/>
            <w:tcBorders>
              <w:top w:val="nil"/>
              <w:left w:val="nil"/>
              <w:bottom w:val="single" w:sz="4" w:space="0" w:color="auto"/>
              <w:right w:val="nil"/>
            </w:tcBorders>
            <w:vAlign w:val="center"/>
            <w:hideMark/>
          </w:tcPr>
          <w:p w14:paraId="572D03F1" w14:textId="77777777" w:rsidR="00B84CC7" w:rsidRPr="00C73427" w:rsidRDefault="00B84CC7" w:rsidP="00370613">
            <w:pPr>
              <w:spacing w:after="60"/>
              <w:jc w:val="center"/>
              <w:rPr>
                <w:rFonts w:ascii="Times New Roman" w:hAnsi="Times New Roman"/>
              </w:rPr>
            </w:pPr>
            <w:r w:rsidRPr="00C73427">
              <w:rPr>
                <w:rFonts w:ascii="Times New Roman" w:hAnsi="Times New Roman"/>
              </w:rPr>
              <w:t>42.77</w:t>
            </w:r>
          </w:p>
        </w:tc>
        <w:tc>
          <w:tcPr>
            <w:tcW w:w="1242" w:type="dxa"/>
            <w:tcBorders>
              <w:top w:val="nil"/>
              <w:left w:val="nil"/>
              <w:bottom w:val="single" w:sz="4" w:space="0" w:color="auto"/>
              <w:right w:val="nil"/>
            </w:tcBorders>
            <w:vAlign w:val="center"/>
            <w:hideMark/>
          </w:tcPr>
          <w:p w14:paraId="74FD0938" w14:textId="77777777" w:rsidR="00B84CC7" w:rsidRPr="00C73427" w:rsidRDefault="00B84CC7" w:rsidP="00370613">
            <w:pPr>
              <w:spacing w:after="60"/>
              <w:jc w:val="center"/>
              <w:rPr>
                <w:rFonts w:ascii="Times New Roman" w:hAnsi="Times New Roman"/>
              </w:rPr>
            </w:pPr>
            <w:r w:rsidRPr="00C73427">
              <w:rPr>
                <w:rFonts w:ascii="Times New Roman" w:hAnsi="Times New Roman"/>
              </w:rPr>
              <w:t>8.60</w:t>
            </w:r>
          </w:p>
        </w:tc>
        <w:tc>
          <w:tcPr>
            <w:tcW w:w="0" w:type="auto"/>
            <w:vMerge/>
            <w:tcBorders>
              <w:top w:val="single" w:sz="4" w:space="0" w:color="auto"/>
              <w:left w:val="nil"/>
              <w:bottom w:val="single" w:sz="4" w:space="0" w:color="auto"/>
              <w:right w:val="nil"/>
            </w:tcBorders>
            <w:vAlign w:val="center"/>
            <w:hideMark/>
          </w:tcPr>
          <w:p w14:paraId="2A578CED" w14:textId="77777777" w:rsidR="00B84CC7" w:rsidRPr="00C73427" w:rsidRDefault="00B84CC7" w:rsidP="00370613">
            <w:pPr>
              <w:rPr>
                <w:rFonts w:ascii="Times New Roman" w:hAnsi="Times New Roman"/>
                <w:sz w:val="24"/>
                <w:szCs w:val="24"/>
              </w:rPr>
            </w:pPr>
          </w:p>
        </w:tc>
        <w:tc>
          <w:tcPr>
            <w:tcW w:w="1207" w:type="dxa"/>
            <w:vMerge/>
            <w:tcBorders>
              <w:top w:val="single" w:sz="4" w:space="0" w:color="auto"/>
              <w:left w:val="nil"/>
              <w:bottom w:val="single" w:sz="4" w:space="0" w:color="auto"/>
              <w:right w:val="nil"/>
            </w:tcBorders>
            <w:vAlign w:val="center"/>
            <w:hideMark/>
          </w:tcPr>
          <w:p w14:paraId="7BC62301" w14:textId="77777777" w:rsidR="00B84CC7" w:rsidRPr="00C73427" w:rsidRDefault="00B84CC7" w:rsidP="00370613">
            <w:pPr>
              <w:rPr>
                <w:rFonts w:ascii="Times New Roman" w:hAnsi="Times New Roman"/>
                <w:sz w:val="24"/>
                <w:szCs w:val="24"/>
              </w:rPr>
            </w:pPr>
          </w:p>
        </w:tc>
        <w:tc>
          <w:tcPr>
            <w:tcW w:w="0" w:type="auto"/>
            <w:vMerge/>
            <w:tcBorders>
              <w:top w:val="single" w:sz="4" w:space="0" w:color="auto"/>
              <w:left w:val="nil"/>
              <w:bottom w:val="single" w:sz="4" w:space="0" w:color="auto"/>
              <w:right w:val="nil"/>
            </w:tcBorders>
            <w:vAlign w:val="center"/>
            <w:hideMark/>
          </w:tcPr>
          <w:p w14:paraId="7B39E56E" w14:textId="77777777" w:rsidR="00B84CC7" w:rsidRPr="00C73427" w:rsidRDefault="00B84CC7" w:rsidP="00370613">
            <w:pPr>
              <w:rPr>
                <w:rFonts w:ascii="Times New Roman" w:hAnsi="Times New Roman"/>
                <w:sz w:val="24"/>
                <w:szCs w:val="24"/>
              </w:rPr>
            </w:pPr>
          </w:p>
        </w:tc>
      </w:tr>
    </w:tbl>
    <w:p w14:paraId="2DE7FF51" w14:textId="77777777" w:rsidR="00B84CC7" w:rsidRPr="00C73427" w:rsidRDefault="00B84CC7" w:rsidP="00B84CC7">
      <w:pPr>
        <w:spacing w:line="360" w:lineRule="auto"/>
        <w:rPr>
          <w:rFonts w:ascii="Times New Roman" w:hAnsi="Times New Roman"/>
          <w:sz w:val="24"/>
          <w:szCs w:val="24"/>
        </w:rPr>
      </w:pPr>
      <w:r w:rsidRPr="00C73427">
        <w:rPr>
          <w:rFonts w:ascii="Times New Roman" w:hAnsi="Times New Roman"/>
          <w:sz w:val="20"/>
          <w:szCs w:val="20"/>
          <w:vertAlign w:val="superscript"/>
        </w:rPr>
        <w:t>*</w:t>
      </w:r>
      <w:r w:rsidRPr="00C73427">
        <w:rPr>
          <w:rFonts w:ascii="Times New Roman" w:hAnsi="Times New Roman"/>
          <w:sz w:val="20"/>
          <w:szCs w:val="20"/>
        </w:rPr>
        <w:t>p&lt;.05</w:t>
      </w:r>
    </w:p>
    <w:p w14:paraId="383A9CAB"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 xml:space="preserve">Uygulama grubunda başarı testinin ön test ve son test olarak uygulanmasından elde elden veriler ön test ve son test arasındaki olası farkları ortaya çıkarmak amacıyla istatistiksel analize tabi tutulmuştur. Yapılan istatistiksel analiz sonuçları, öğrencilerin ATBÖ yaklaşımı uygulanmadan önce başarı testinden aldıkları puanların ortalaması 7.23 iken uygulamadan sonra aynı testten aldıkları puanların ortalaması 42.77 ye yükseldiğini ortaya çıkarmıştır. Başarı </w:t>
      </w:r>
      <w:r w:rsidRPr="00C73427">
        <w:rPr>
          <w:rFonts w:ascii="Times New Roman" w:hAnsi="Times New Roman"/>
          <w:sz w:val="24"/>
          <w:szCs w:val="24"/>
        </w:rPr>
        <w:lastRenderedPageBreak/>
        <w:t xml:space="preserve">ön testi ve son testi arasında istatistiksel olarak anlamlı bir farklılığın olup olmadığını tespit etmek için kullanılmasına karar verilen eşleştirilmiş örneklem t testi yapılmadan önce gerekli varsayımların sağlanıp sağlamadığını belirlemek için hesaplanan çarpıklık ve basıklık değerleri -1 ve +1 arasında olup verilerin normal dağıldığına işaret etmektedir. Gerekli varsayımların sağlandığı belirlendikten sonra yapılan analizin sonuçları, başarı ön testi ve son testi arasında .05 anlamlılık düzeyinde istatistiksel olarak anlamlı bir fark olduğunu ortaya koymuştur (p=.00&lt;.05). Başka bir ifadeyle, matematik öğretiminde kullanılan ATBÖ yaklaşımının öğrencilerin fonksiyonlar konusundaki başarılarını arttırmada başarılı bir yöntem olduğu söylenebilir. </w:t>
      </w:r>
    </w:p>
    <w:p w14:paraId="3B992895" w14:textId="68B1C131" w:rsidR="00B84CC7" w:rsidRPr="00C73427" w:rsidRDefault="00B84CC7" w:rsidP="00B84CC7">
      <w:pPr>
        <w:spacing w:before="120" w:line="360" w:lineRule="auto"/>
        <w:ind w:firstLine="709"/>
        <w:jc w:val="both"/>
        <w:rPr>
          <w:rFonts w:ascii="Times New Roman" w:hAnsi="Times New Roman"/>
          <w:sz w:val="24"/>
          <w:szCs w:val="24"/>
        </w:rPr>
      </w:pPr>
      <w:r>
        <w:rPr>
          <w:rFonts w:ascii="Times New Roman" w:hAnsi="Times New Roman"/>
          <w:sz w:val="24"/>
          <w:szCs w:val="24"/>
        </w:rPr>
        <w:t xml:space="preserve">Tablo </w:t>
      </w:r>
      <w:r w:rsidR="009A2776">
        <w:rPr>
          <w:rFonts w:ascii="Times New Roman" w:hAnsi="Times New Roman"/>
          <w:sz w:val="24"/>
          <w:szCs w:val="24"/>
        </w:rPr>
        <w:t>3 ‘t</w:t>
      </w:r>
      <w:r w:rsidRPr="00C73427">
        <w:rPr>
          <w:rFonts w:ascii="Times New Roman" w:hAnsi="Times New Roman"/>
          <w:sz w:val="24"/>
          <w:szCs w:val="24"/>
        </w:rPr>
        <w:t xml:space="preserve">e </w:t>
      </w:r>
      <w:r w:rsidR="007A0BCB">
        <w:rPr>
          <w:rFonts w:ascii="Times New Roman" w:hAnsi="Times New Roman"/>
          <w:sz w:val="24"/>
          <w:szCs w:val="24"/>
        </w:rPr>
        <w:t>kategorilere ayrılan Fonksiyon Başarı testine ilişkin ön test-son tesr puan ortalamalarına ait eşleştirilmiş örneklem t testi sonuçları verilmiştir.</w:t>
      </w:r>
      <w:r w:rsidRPr="00C73427">
        <w:rPr>
          <w:rFonts w:ascii="Times New Roman" w:hAnsi="Times New Roman"/>
          <w:sz w:val="24"/>
          <w:szCs w:val="24"/>
        </w:rPr>
        <w:t xml:space="preserve"> </w:t>
      </w:r>
    </w:p>
    <w:p w14:paraId="7DB6BB82" w14:textId="407DE1E5" w:rsidR="00B84CC7" w:rsidRPr="006E0B7C" w:rsidRDefault="00B84CC7" w:rsidP="00B84CC7">
      <w:pPr>
        <w:keepNext/>
        <w:keepLines/>
        <w:spacing w:before="240" w:after="0" w:line="360" w:lineRule="auto"/>
        <w:jc w:val="both"/>
        <w:outlineLvl w:val="1"/>
        <w:rPr>
          <w:rFonts w:ascii="Times New Roman" w:eastAsia="Times New Roman" w:hAnsi="Times New Roman"/>
          <w:bCs/>
          <w:iCs/>
          <w:sz w:val="24"/>
          <w:szCs w:val="26"/>
        </w:rPr>
      </w:pPr>
      <w:bookmarkStart w:id="8" w:name="_Toc384194008"/>
      <w:bookmarkStart w:id="9" w:name="_Toc400882124"/>
      <w:r w:rsidRPr="006E0B7C">
        <w:rPr>
          <w:rFonts w:ascii="Times New Roman" w:eastAsia="Times New Roman" w:hAnsi="Times New Roman"/>
          <w:b/>
          <w:bCs/>
          <w:iCs/>
          <w:sz w:val="24"/>
          <w:szCs w:val="26"/>
        </w:rPr>
        <w:t xml:space="preserve">Tablo </w:t>
      </w:r>
      <w:bookmarkEnd w:id="8"/>
      <w:r w:rsidR="009A2776">
        <w:rPr>
          <w:rFonts w:ascii="Times New Roman" w:eastAsia="Times New Roman" w:hAnsi="Times New Roman"/>
          <w:b/>
          <w:bCs/>
          <w:iCs/>
          <w:sz w:val="24"/>
          <w:szCs w:val="26"/>
        </w:rPr>
        <w:t>3</w:t>
      </w:r>
      <w:r w:rsidRPr="00C73427">
        <w:rPr>
          <w:rFonts w:ascii="Times New Roman" w:eastAsia="Times New Roman" w:hAnsi="Times New Roman"/>
          <w:bCs/>
          <w:iCs/>
          <w:sz w:val="24"/>
          <w:szCs w:val="26"/>
        </w:rPr>
        <w:t>.</w:t>
      </w:r>
      <w:bookmarkStart w:id="10" w:name="_Toc400882125"/>
      <w:bookmarkEnd w:id="9"/>
      <w:r>
        <w:rPr>
          <w:rFonts w:ascii="Times New Roman" w:eastAsia="Times New Roman" w:hAnsi="Times New Roman"/>
          <w:bCs/>
          <w:iCs/>
          <w:sz w:val="24"/>
          <w:szCs w:val="26"/>
        </w:rPr>
        <w:t xml:space="preserve"> </w:t>
      </w:r>
      <w:r w:rsidRPr="006E0B7C">
        <w:rPr>
          <w:rFonts w:ascii="Times New Roman" w:eastAsia="Times New Roman" w:hAnsi="Times New Roman"/>
          <w:bCs/>
          <w:sz w:val="24"/>
          <w:szCs w:val="26"/>
        </w:rPr>
        <w:t>Kategorilere Ayrılan Fonksiyon Başarı Testi Öntest-Sontest Puan Ortalamalarına Ait Eşleştirilmiş Örneklem t testi Sonuçları</w:t>
      </w:r>
      <w:bookmarkEnd w:id="10"/>
    </w:p>
    <w:tbl>
      <w:tblPr>
        <w:tblW w:w="7388" w:type="dxa"/>
        <w:jc w:val="center"/>
        <w:tblLayout w:type="fixed"/>
        <w:tblCellMar>
          <w:left w:w="0" w:type="dxa"/>
          <w:right w:w="0" w:type="dxa"/>
        </w:tblCellMar>
        <w:tblLook w:val="0000" w:firstRow="0" w:lastRow="0" w:firstColumn="0" w:lastColumn="0" w:noHBand="0" w:noVBand="0"/>
      </w:tblPr>
      <w:tblGrid>
        <w:gridCol w:w="1009"/>
        <w:gridCol w:w="1009"/>
        <w:gridCol w:w="1009"/>
        <w:gridCol w:w="1423"/>
        <w:gridCol w:w="1469"/>
        <w:gridCol w:w="1469"/>
      </w:tblGrid>
      <w:tr w:rsidR="00B84CC7" w:rsidRPr="00C73427" w14:paraId="79353F76" w14:textId="77777777" w:rsidTr="00370613">
        <w:trPr>
          <w:cantSplit/>
          <w:jc w:val="center"/>
        </w:trPr>
        <w:tc>
          <w:tcPr>
            <w:tcW w:w="1009" w:type="dxa"/>
            <w:tcBorders>
              <w:top w:val="single" w:sz="4" w:space="0" w:color="auto"/>
              <w:bottom w:val="single" w:sz="4" w:space="0" w:color="auto"/>
            </w:tcBorders>
            <w:shd w:val="clear" w:color="auto" w:fill="FFFFFF"/>
          </w:tcPr>
          <w:p w14:paraId="66447332"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Ölçüm</w:t>
            </w:r>
          </w:p>
        </w:tc>
        <w:tc>
          <w:tcPr>
            <w:tcW w:w="1009" w:type="dxa"/>
            <w:tcBorders>
              <w:top w:val="single" w:sz="4" w:space="0" w:color="auto"/>
              <w:bottom w:val="single" w:sz="4" w:space="0" w:color="auto"/>
            </w:tcBorders>
            <w:shd w:val="clear" w:color="auto" w:fill="FFFFFF"/>
          </w:tcPr>
          <w:p w14:paraId="6B042080"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N</w:t>
            </w:r>
          </w:p>
        </w:tc>
        <w:tc>
          <w:tcPr>
            <w:tcW w:w="1009" w:type="dxa"/>
            <w:tcBorders>
              <w:top w:val="single" w:sz="4" w:space="0" w:color="auto"/>
              <w:bottom w:val="single" w:sz="4" w:space="0" w:color="auto"/>
            </w:tcBorders>
            <w:shd w:val="clear" w:color="auto" w:fill="FFFFFF"/>
          </w:tcPr>
          <w:p w14:paraId="185FB874" w14:textId="77777777" w:rsidR="00B84CC7" w:rsidRPr="00C73427" w:rsidRDefault="00B85378" w:rsidP="00370613">
            <w:pPr>
              <w:autoSpaceDE w:val="0"/>
              <w:autoSpaceDN w:val="0"/>
              <w:adjustRightInd w:val="0"/>
              <w:spacing w:after="0" w:line="320" w:lineRule="atLeast"/>
              <w:ind w:left="60" w:right="60"/>
              <w:jc w:val="center"/>
              <w:rPr>
                <w:rFonts w:ascii="Times New Roman" w:hAnsi="Times New Roman"/>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1423" w:type="dxa"/>
            <w:tcBorders>
              <w:top w:val="single" w:sz="4" w:space="0" w:color="auto"/>
              <w:bottom w:val="single" w:sz="4" w:space="0" w:color="auto"/>
            </w:tcBorders>
            <w:shd w:val="clear" w:color="auto" w:fill="FFFFFF"/>
          </w:tcPr>
          <w:p w14:paraId="2B33E7A0"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SS</w:t>
            </w:r>
          </w:p>
        </w:tc>
        <w:tc>
          <w:tcPr>
            <w:tcW w:w="1469" w:type="dxa"/>
            <w:tcBorders>
              <w:top w:val="single" w:sz="4" w:space="0" w:color="auto"/>
              <w:bottom w:val="single" w:sz="4" w:space="0" w:color="auto"/>
            </w:tcBorders>
            <w:shd w:val="clear" w:color="auto" w:fill="FFFFFF"/>
          </w:tcPr>
          <w:p w14:paraId="0149A26C"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T</w:t>
            </w:r>
          </w:p>
        </w:tc>
        <w:tc>
          <w:tcPr>
            <w:tcW w:w="1469" w:type="dxa"/>
            <w:tcBorders>
              <w:top w:val="single" w:sz="4" w:space="0" w:color="auto"/>
              <w:bottom w:val="single" w:sz="4" w:space="0" w:color="auto"/>
            </w:tcBorders>
            <w:shd w:val="clear" w:color="auto" w:fill="FFFFFF"/>
          </w:tcPr>
          <w:p w14:paraId="00E8ACAE" w14:textId="0EE668D7" w:rsidR="00B84CC7" w:rsidRPr="00C73427" w:rsidRDefault="008A4AB3" w:rsidP="00370613">
            <w:pPr>
              <w:autoSpaceDE w:val="0"/>
              <w:autoSpaceDN w:val="0"/>
              <w:adjustRightInd w:val="0"/>
              <w:spacing w:after="0" w:line="320" w:lineRule="atLeast"/>
              <w:ind w:left="60" w:right="60"/>
              <w:jc w:val="center"/>
              <w:rPr>
                <w:rFonts w:ascii="Times New Roman" w:hAnsi="Times New Roman"/>
                <w:b/>
                <w:color w:val="000000"/>
              </w:rPr>
            </w:pPr>
            <w:r w:rsidRPr="00C73427">
              <w:rPr>
                <w:rFonts w:ascii="Times New Roman" w:hAnsi="Times New Roman"/>
                <w:b/>
                <w:color w:val="000000"/>
              </w:rPr>
              <w:t>P</w:t>
            </w:r>
          </w:p>
        </w:tc>
      </w:tr>
      <w:tr w:rsidR="00B84CC7" w:rsidRPr="00C73427" w14:paraId="476331A4" w14:textId="77777777" w:rsidTr="00370613">
        <w:trPr>
          <w:cantSplit/>
          <w:jc w:val="center"/>
        </w:trPr>
        <w:tc>
          <w:tcPr>
            <w:tcW w:w="1009" w:type="dxa"/>
            <w:tcBorders>
              <w:top w:val="single" w:sz="4" w:space="0" w:color="auto"/>
            </w:tcBorders>
            <w:shd w:val="clear" w:color="auto" w:fill="FFFFFF"/>
            <w:vAlign w:val="center"/>
          </w:tcPr>
          <w:p w14:paraId="0AD09CAC"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Aö</w:t>
            </w:r>
          </w:p>
        </w:tc>
        <w:tc>
          <w:tcPr>
            <w:tcW w:w="1009" w:type="dxa"/>
            <w:tcBorders>
              <w:top w:val="single" w:sz="4" w:space="0" w:color="auto"/>
            </w:tcBorders>
            <w:shd w:val="clear" w:color="auto" w:fill="FFFFFF"/>
          </w:tcPr>
          <w:p w14:paraId="001734F3"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1557062D"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4.00</w:t>
            </w:r>
          </w:p>
        </w:tc>
        <w:tc>
          <w:tcPr>
            <w:tcW w:w="1423" w:type="dxa"/>
            <w:tcBorders>
              <w:top w:val="single" w:sz="4" w:space="0" w:color="auto"/>
            </w:tcBorders>
            <w:shd w:val="clear" w:color="auto" w:fill="FFFFFF"/>
          </w:tcPr>
          <w:p w14:paraId="4694B328"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3.48</w:t>
            </w:r>
          </w:p>
        </w:tc>
        <w:tc>
          <w:tcPr>
            <w:tcW w:w="1469" w:type="dxa"/>
            <w:vMerge w:val="restart"/>
            <w:tcBorders>
              <w:top w:val="single" w:sz="4" w:space="0" w:color="auto"/>
            </w:tcBorders>
            <w:shd w:val="clear" w:color="auto" w:fill="FFFFFF"/>
            <w:vAlign w:val="center"/>
          </w:tcPr>
          <w:p w14:paraId="51A9DF9D"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-10.34</w:t>
            </w:r>
          </w:p>
        </w:tc>
        <w:tc>
          <w:tcPr>
            <w:tcW w:w="1469" w:type="dxa"/>
            <w:vMerge w:val="restart"/>
            <w:tcBorders>
              <w:top w:val="single" w:sz="4" w:space="0" w:color="auto"/>
            </w:tcBorders>
            <w:shd w:val="clear" w:color="auto" w:fill="FFFFFF"/>
            <w:vAlign w:val="center"/>
          </w:tcPr>
          <w:p w14:paraId="7CF468BE"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3D46E976" w14:textId="77777777" w:rsidTr="00370613">
        <w:trPr>
          <w:cantSplit/>
          <w:jc w:val="center"/>
        </w:trPr>
        <w:tc>
          <w:tcPr>
            <w:tcW w:w="1009" w:type="dxa"/>
            <w:tcBorders>
              <w:bottom w:val="single" w:sz="4" w:space="0" w:color="auto"/>
            </w:tcBorders>
            <w:shd w:val="clear" w:color="auto" w:fill="FFFFFF"/>
            <w:vAlign w:val="center"/>
          </w:tcPr>
          <w:p w14:paraId="43743AB8"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As</w:t>
            </w:r>
          </w:p>
        </w:tc>
        <w:tc>
          <w:tcPr>
            <w:tcW w:w="1009" w:type="dxa"/>
            <w:tcBorders>
              <w:bottom w:val="single" w:sz="4" w:space="0" w:color="auto"/>
            </w:tcBorders>
            <w:shd w:val="clear" w:color="auto" w:fill="FFFFFF"/>
          </w:tcPr>
          <w:p w14:paraId="5CFD6C06"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01261174"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13.55</w:t>
            </w:r>
          </w:p>
        </w:tc>
        <w:tc>
          <w:tcPr>
            <w:tcW w:w="1423" w:type="dxa"/>
            <w:tcBorders>
              <w:bottom w:val="single" w:sz="4" w:space="0" w:color="auto"/>
            </w:tcBorders>
            <w:shd w:val="clear" w:color="auto" w:fill="FFFFFF"/>
          </w:tcPr>
          <w:p w14:paraId="2C78388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3.38</w:t>
            </w:r>
          </w:p>
        </w:tc>
        <w:tc>
          <w:tcPr>
            <w:tcW w:w="1469" w:type="dxa"/>
            <w:vMerge/>
            <w:tcBorders>
              <w:bottom w:val="single" w:sz="4" w:space="0" w:color="auto"/>
            </w:tcBorders>
            <w:shd w:val="clear" w:color="auto" w:fill="FFFFFF"/>
            <w:vAlign w:val="center"/>
          </w:tcPr>
          <w:p w14:paraId="1B1C6A88"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2C2FB53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0C6F5054" w14:textId="77777777" w:rsidTr="00370613">
        <w:trPr>
          <w:cantSplit/>
          <w:jc w:val="center"/>
        </w:trPr>
        <w:tc>
          <w:tcPr>
            <w:tcW w:w="1009" w:type="dxa"/>
            <w:tcBorders>
              <w:top w:val="single" w:sz="4" w:space="0" w:color="auto"/>
            </w:tcBorders>
            <w:shd w:val="clear" w:color="auto" w:fill="FFFFFF"/>
            <w:vAlign w:val="center"/>
          </w:tcPr>
          <w:p w14:paraId="64772F17"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Bö</w:t>
            </w:r>
          </w:p>
        </w:tc>
        <w:tc>
          <w:tcPr>
            <w:tcW w:w="1009" w:type="dxa"/>
            <w:tcBorders>
              <w:top w:val="single" w:sz="4" w:space="0" w:color="auto"/>
            </w:tcBorders>
            <w:shd w:val="clear" w:color="auto" w:fill="FFFFFF"/>
          </w:tcPr>
          <w:p w14:paraId="4B5677FF" w14:textId="77777777" w:rsidR="00B84CC7" w:rsidRPr="00C73427" w:rsidRDefault="00B84CC7" w:rsidP="00370613">
            <w:pPr>
              <w:tabs>
                <w:tab w:val="left" w:pos="323"/>
                <w:tab w:val="center" w:pos="504"/>
              </w:tabs>
              <w:autoSpaceDE w:val="0"/>
              <w:autoSpaceDN w:val="0"/>
              <w:adjustRightInd w:val="0"/>
              <w:spacing w:after="0" w:line="320" w:lineRule="atLeast"/>
              <w:ind w:left="60" w:right="60"/>
              <w:rPr>
                <w:rFonts w:ascii="Times New Roman" w:hAnsi="Times New Roman"/>
                <w:color w:val="000000"/>
              </w:rPr>
            </w:pPr>
            <w:r w:rsidRPr="00C73427">
              <w:rPr>
                <w:rFonts w:ascii="Times New Roman" w:hAnsi="Times New Roman"/>
                <w:color w:val="000000"/>
              </w:rPr>
              <w:tab/>
            </w:r>
            <w:r w:rsidRPr="00C73427">
              <w:rPr>
                <w:rFonts w:ascii="Times New Roman" w:hAnsi="Times New Roman"/>
                <w:color w:val="000000"/>
              </w:rPr>
              <w:tab/>
              <w:t>22</w:t>
            </w:r>
          </w:p>
        </w:tc>
        <w:tc>
          <w:tcPr>
            <w:tcW w:w="1009" w:type="dxa"/>
            <w:tcBorders>
              <w:top w:val="single" w:sz="4" w:space="0" w:color="auto"/>
            </w:tcBorders>
            <w:shd w:val="clear" w:color="auto" w:fill="FFFFFF"/>
          </w:tcPr>
          <w:p w14:paraId="4F464807"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.91</w:t>
            </w:r>
          </w:p>
        </w:tc>
        <w:tc>
          <w:tcPr>
            <w:tcW w:w="1423" w:type="dxa"/>
            <w:tcBorders>
              <w:top w:val="single" w:sz="4" w:space="0" w:color="auto"/>
            </w:tcBorders>
            <w:shd w:val="clear" w:color="auto" w:fill="FFFFFF"/>
          </w:tcPr>
          <w:p w14:paraId="56461EF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1.51</w:t>
            </w:r>
          </w:p>
        </w:tc>
        <w:tc>
          <w:tcPr>
            <w:tcW w:w="1469" w:type="dxa"/>
            <w:vMerge w:val="restart"/>
            <w:tcBorders>
              <w:top w:val="single" w:sz="4" w:space="0" w:color="auto"/>
            </w:tcBorders>
            <w:shd w:val="clear" w:color="auto" w:fill="FFFFFF"/>
            <w:vAlign w:val="center"/>
          </w:tcPr>
          <w:p w14:paraId="5B1DDAB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-10.15</w:t>
            </w:r>
          </w:p>
        </w:tc>
        <w:tc>
          <w:tcPr>
            <w:tcW w:w="1469" w:type="dxa"/>
            <w:vMerge w:val="restart"/>
            <w:tcBorders>
              <w:top w:val="single" w:sz="4" w:space="0" w:color="auto"/>
            </w:tcBorders>
            <w:shd w:val="clear" w:color="auto" w:fill="FFFFFF"/>
            <w:vAlign w:val="center"/>
          </w:tcPr>
          <w:p w14:paraId="235B9BA8"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E8A0D64" w14:textId="77777777" w:rsidTr="00370613">
        <w:trPr>
          <w:cantSplit/>
          <w:jc w:val="center"/>
        </w:trPr>
        <w:tc>
          <w:tcPr>
            <w:tcW w:w="1009" w:type="dxa"/>
            <w:tcBorders>
              <w:bottom w:val="single" w:sz="4" w:space="0" w:color="auto"/>
            </w:tcBorders>
            <w:shd w:val="clear" w:color="auto" w:fill="FFFFFF"/>
            <w:vAlign w:val="center"/>
          </w:tcPr>
          <w:p w14:paraId="25696741"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Bs</w:t>
            </w:r>
          </w:p>
        </w:tc>
        <w:tc>
          <w:tcPr>
            <w:tcW w:w="1009" w:type="dxa"/>
            <w:tcBorders>
              <w:bottom w:val="single" w:sz="4" w:space="0" w:color="auto"/>
            </w:tcBorders>
            <w:shd w:val="clear" w:color="auto" w:fill="FFFFFF"/>
          </w:tcPr>
          <w:p w14:paraId="57AB000E"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62DF1F3"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8.09</w:t>
            </w:r>
          </w:p>
        </w:tc>
        <w:tc>
          <w:tcPr>
            <w:tcW w:w="1423" w:type="dxa"/>
            <w:tcBorders>
              <w:bottom w:val="single" w:sz="4" w:space="0" w:color="auto"/>
            </w:tcBorders>
            <w:shd w:val="clear" w:color="auto" w:fill="FFFFFF"/>
          </w:tcPr>
          <w:p w14:paraId="3BA7E174"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3.25</w:t>
            </w:r>
          </w:p>
        </w:tc>
        <w:tc>
          <w:tcPr>
            <w:tcW w:w="1469" w:type="dxa"/>
            <w:vMerge/>
            <w:tcBorders>
              <w:bottom w:val="single" w:sz="4" w:space="0" w:color="auto"/>
            </w:tcBorders>
            <w:shd w:val="clear" w:color="auto" w:fill="FFFFFF"/>
            <w:vAlign w:val="center"/>
          </w:tcPr>
          <w:p w14:paraId="3280E16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15530F99"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161D4482" w14:textId="77777777" w:rsidTr="00370613">
        <w:trPr>
          <w:cantSplit/>
          <w:jc w:val="center"/>
        </w:trPr>
        <w:tc>
          <w:tcPr>
            <w:tcW w:w="1009" w:type="dxa"/>
            <w:tcBorders>
              <w:top w:val="single" w:sz="4" w:space="0" w:color="auto"/>
            </w:tcBorders>
            <w:shd w:val="clear" w:color="auto" w:fill="FFFFFF"/>
            <w:vAlign w:val="center"/>
          </w:tcPr>
          <w:p w14:paraId="013080A3"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Cö</w:t>
            </w:r>
          </w:p>
        </w:tc>
        <w:tc>
          <w:tcPr>
            <w:tcW w:w="1009" w:type="dxa"/>
            <w:tcBorders>
              <w:top w:val="single" w:sz="4" w:space="0" w:color="auto"/>
            </w:tcBorders>
            <w:shd w:val="clear" w:color="auto" w:fill="FFFFFF"/>
          </w:tcPr>
          <w:p w14:paraId="3CC38F62"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356075D9"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.72</w:t>
            </w:r>
          </w:p>
        </w:tc>
        <w:tc>
          <w:tcPr>
            <w:tcW w:w="1423" w:type="dxa"/>
            <w:tcBorders>
              <w:top w:val="single" w:sz="4" w:space="0" w:color="auto"/>
            </w:tcBorders>
            <w:shd w:val="clear" w:color="auto" w:fill="FFFFFF"/>
          </w:tcPr>
          <w:p w14:paraId="5095E391"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1.16</w:t>
            </w:r>
          </w:p>
        </w:tc>
        <w:tc>
          <w:tcPr>
            <w:tcW w:w="1469" w:type="dxa"/>
            <w:vMerge w:val="restart"/>
            <w:tcBorders>
              <w:top w:val="single" w:sz="4" w:space="0" w:color="auto"/>
            </w:tcBorders>
            <w:shd w:val="clear" w:color="auto" w:fill="FFFFFF"/>
            <w:vAlign w:val="center"/>
          </w:tcPr>
          <w:p w14:paraId="2148146F"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-12.32</w:t>
            </w:r>
          </w:p>
        </w:tc>
        <w:tc>
          <w:tcPr>
            <w:tcW w:w="1469" w:type="dxa"/>
            <w:vMerge w:val="restart"/>
            <w:tcBorders>
              <w:top w:val="single" w:sz="4" w:space="0" w:color="auto"/>
            </w:tcBorders>
            <w:shd w:val="clear" w:color="auto" w:fill="FFFFFF"/>
            <w:vAlign w:val="center"/>
          </w:tcPr>
          <w:p w14:paraId="6544A93C"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76885FB7" w14:textId="77777777" w:rsidTr="00370613">
        <w:trPr>
          <w:cantSplit/>
          <w:jc w:val="center"/>
        </w:trPr>
        <w:tc>
          <w:tcPr>
            <w:tcW w:w="1009" w:type="dxa"/>
            <w:tcBorders>
              <w:bottom w:val="single" w:sz="4" w:space="0" w:color="auto"/>
            </w:tcBorders>
            <w:shd w:val="clear" w:color="auto" w:fill="FFFFFF"/>
            <w:vAlign w:val="center"/>
          </w:tcPr>
          <w:p w14:paraId="7BD9DD4E"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Cs</w:t>
            </w:r>
          </w:p>
        </w:tc>
        <w:tc>
          <w:tcPr>
            <w:tcW w:w="1009" w:type="dxa"/>
            <w:tcBorders>
              <w:bottom w:val="single" w:sz="4" w:space="0" w:color="auto"/>
            </w:tcBorders>
            <w:shd w:val="clear" w:color="auto" w:fill="FFFFFF"/>
          </w:tcPr>
          <w:p w14:paraId="700BEE5F"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14C4A83A"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10.81</w:t>
            </w:r>
          </w:p>
        </w:tc>
        <w:tc>
          <w:tcPr>
            <w:tcW w:w="1423" w:type="dxa"/>
            <w:tcBorders>
              <w:bottom w:val="single" w:sz="4" w:space="0" w:color="auto"/>
            </w:tcBorders>
            <w:shd w:val="clear" w:color="auto" w:fill="FFFFFF"/>
          </w:tcPr>
          <w:p w14:paraId="57767A55"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4.05</w:t>
            </w:r>
          </w:p>
        </w:tc>
        <w:tc>
          <w:tcPr>
            <w:tcW w:w="1469" w:type="dxa"/>
            <w:vMerge/>
            <w:tcBorders>
              <w:bottom w:val="single" w:sz="4" w:space="0" w:color="auto"/>
            </w:tcBorders>
            <w:shd w:val="clear" w:color="auto" w:fill="FFFFFF"/>
            <w:vAlign w:val="center"/>
          </w:tcPr>
          <w:p w14:paraId="773FF0BB"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c>
          <w:tcPr>
            <w:tcW w:w="1469" w:type="dxa"/>
            <w:vMerge/>
            <w:tcBorders>
              <w:bottom w:val="single" w:sz="4" w:space="0" w:color="auto"/>
            </w:tcBorders>
            <w:shd w:val="clear" w:color="auto" w:fill="FFFFFF"/>
            <w:vAlign w:val="center"/>
          </w:tcPr>
          <w:p w14:paraId="6B033EAD"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p>
        </w:tc>
      </w:tr>
      <w:tr w:rsidR="00B84CC7" w:rsidRPr="00C73427" w14:paraId="67D15D5F" w14:textId="77777777" w:rsidTr="00370613">
        <w:trPr>
          <w:cantSplit/>
          <w:jc w:val="center"/>
        </w:trPr>
        <w:tc>
          <w:tcPr>
            <w:tcW w:w="1009" w:type="dxa"/>
            <w:tcBorders>
              <w:top w:val="single" w:sz="4" w:space="0" w:color="auto"/>
            </w:tcBorders>
            <w:shd w:val="clear" w:color="auto" w:fill="FFFFFF"/>
            <w:vAlign w:val="center"/>
          </w:tcPr>
          <w:p w14:paraId="68CCECD5"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Dö</w:t>
            </w:r>
          </w:p>
        </w:tc>
        <w:tc>
          <w:tcPr>
            <w:tcW w:w="1009" w:type="dxa"/>
            <w:tcBorders>
              <w:top w:val="single" w:sz="4" w:space="0" w:color="auto"/>
            </w:tcBorders>
            <w:shd w:val="clear" w:color="auto" w:fill="FFFFFF"/>
          </w:tcPr>
          <w:p w14:paraId="18A6A33D"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top w:val="single" w:sz="4" w:space="0" w:color="auto"/>
            </w:tcBorders>
            <w:shd w:val="clear" w:color="auto" w:fill="FFFFFF"/>
          </w:tcPr>
          <w:p w14:paraId="4BD1184D"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.18</w:t>
            </w:r>
          </w:p>
        </w:tc>
        <w:tc>
          <w:tcPr>
            <w:tcW w:w="1423" w:type="dxa"/>
            <w:tcBorders>
              <w:top w:val="single" w:sz="4" w:space="0" w:color="auto"/>
            </w:tcBorders>
            <w:shd w:val="clear" w:color="auto" w:fill="FFFFFF"/>
          </w:tcPr>
          <w:p w14:paraId="2F9E2434"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.85</w:t>
            </w:r>
          </w:p>
        </w:tc>
        <w:tc>
          <w:tcPr>
            <w:tcW w:w="1469" w:type="dxa"/>
            <w:vMerge w:val="restart"/>
            <w:tcBorders>
              <w:top w:val="single" w:sz="4" w:space="0" w:color="auto"/>
            </w:tcBorders>
            <w:shd w:val="clear" w:color="auto" w:fill="FFFFFF"/>
            <w:vAlign w:val="center"/>
          </w:tcPr>
          <w:p w14:paraId="60DFBDC0"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-14.60</w:t>
            </w:r>
          </w:p>
        </w:tc>
        <w:tc>
          <w:tcPr>
            <w:tcW w:w="1469" w:type="dxa"/>
            <w:vMerge w:val="restart"/>
            <w:tcBorders>
              <w:top w:val="single" w:sz="4" w:space="0" w:color="auto"/>
            </w:tcBorders>
            <w:shd w:val="clear" w:color="auto" w:fill="FFFFFF"/>
            <w:vAlign w:val="center"/>
          </w:tcPr>
          <w:p w14:paraId="027F46F2"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.000</w:t>
            </w:r>
          </w:p>
        </w:tc>
      </w:tr>
      <w:tr w:rsidR="00B84CC7" w:rsidRPr="00C73427" w14:paraId="257C501E" w14:textId="77777777" w:rsidTr="00370613">
        <w:trPr>
          <w:cantSplit/>
          <w:jc w:val="center"/>
        </w:trPr>
        <w:tc>
          <w:tcPr>
            <w:tcW w:w="1009" w:type="dxa"/>
            <w:tcBorders>
              <w:bottom w:val="single" w:sz="4" w:space="0" w:color="auto"/>
            </w:tcBorders>
            <w:shd w:val="clear" w:color="auto" w:fill="FFFFFF"/>
            <w:vAlign w:val="center"/>
          </w:tcPr>
          <w:p w14:paraId="65F7ECD7" w14:textId="77777777" w:rsidR="00B84CC7" w:rsidRPr="00C73427" w:rsidRDefault="00B84CC7" w:rsidP="00370613">
            <w:pPr>
              <w:autoSpaceDE w:val="0"/>
              <w:autoSpaceDN w:val="0"/>
              <w:adjustRightInd w:val="0"/>
              <w:spacing w:after="0" w:line="320" w:lineRule="atLeast"/>
              <w:ind w:left="60" w:right="60"/>
              <w:rPr>
                <w:rFonts w:ascii="Times New Roman" w:hAnsi="Times New Roman"/>
                <w:b/>
                <w:color w:val="000000"/>
              </w:rPr>
            </w:pPr>
            <w:r w:rsidRPr="00C73427">
              <w:rPr>
                <w:rFonts w:ascii="Times New Roman" w:hAnsi="Times New Roman"/>
                <w:b/>
                <w:color w:val="000000"/>
              </w:rPr>
              <w:t>Ds</w:t>
            </w:r>
          </w:p>
        </w:tc>
        <w:tc>
          <w:tcPr>
            <w:tcW w:w="1009" w:type="dxa"/>
            <w:tcBorders>
              <w:bottom w:val="single" w:sz="4" w:space="0" w:color="auto"/>
            </w:tcBorders>
            <w:shd w:val="clear" w:color="auto" w:fill="FFFFFF"/>
          </w:tcPr>
          <w:p w14:paraId="7345D117"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22</w:t>
            </w:r>
          </w:p>
        </w:tc>
        <w:tc>
          <w:tcPr>
            <w:tcW w:w="1009" w:type="dxa"/>
            <w:tcBorders>
              <w:bottom w:val="single" w:sz="4" w:space="0" w:color="auto"/>
            </w:tcBorders>
            <w:shd w:val="clear" w:color="auto" w:fill="FFFFFF"/>
          </w:tcPr>
          <w:p w14:paraId="58734927"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11.77</w:t>
            </w:r>
          </w:p>
        </w:tc>
        <w:tc>
          <w:tcPr>
            <w:tcW w:w="1423" w:type="dxa"/>
            <w:tcBorders>
              <w:bottom w:val="single" w:sz="4" w:space="0" w:color="auto"/>
            </w:tcBorders>
            <w:shd w:val="clear" w:color="auto" w:fill="FFFFFF"/>
          </w:tcPr>
          <w:p w14:paraId="59CA494A" w14:textId="77777777" w:rsidR="00B84CC7" w:rsidRPr="00C73427" w:rsidRDefault="00B84CC7" w:rsidP="00370613">
            <w:pPr>
              <w:autoSpaceDE w:val="0"/>
              <w:autoSpaceDN w:val="0"/>
              <w:adjustRightInd w:val="0"/>
              <w:spacing w:after="0" w:line="320" w:lineRule="atLeast"/>
              <w:ind w:left="60" w:right="60"/>
              <w:jc w:val="center"/>
              <w:rPr>
                <w:rFonts w:ascii="Times New Roman" w:hAnsi="Times New Roman"/>
                <w:color w:val="000000"/>
              </w:rPr>
            </w:pPr>
            <w:r w:rsidRPr="00C73427">
              <w:rPr>
                <w:rFonts w:ascii="Times New Roman" w:hAnsi="Times New Roman"/>
                <w:color w:val="000000"/>
              </w:rPr>
              <w:t>3.61</w:t>
            </w:r>
          </w:p>
        </w:tc>
        <w:tc>
          <w:tcPr>
            <w:tcW w:w="1469" w:type="dxa"/>
            <w:vMerge/>
            <w:tcBorders>
              <w:bottom w:val="single" w:sz="4" w:space="0" w:color="auto"/>
            </w:tcBorders>
            <w:shd w:val="clear" w:color="auto" w:fill="FFFFFF"/>
          </w:tcPr>
          <w:p w14:paraId="406A79D8" w14:textId="77777777" w:rsidR="00B84CC7" w:rsidRPr="00C73427" w:rsidRDefault="00B84CC7" w:rsidP="00370613">
            <w:pPr>
              <w:autoSpaceDE w:val="0"/>
              <w:autoSpaceDN w:val="0"/>
              <w:adjustRightInd w:val="0"/>
              <w:spacing w:after="0" w:line="320" w:lineRule="atLeast"/>
              <w:ind w:left="60" w:right="60"/>
              <w:jc w:val="right"/>
              <w:rPr>
                <w:rFonts w:ascii="Times New Roman" w:hAnsi="Times New Roman"/>
                <w:color w:val="000000"/>
              </w:rPr>
            </w:pPr>
          </w:p>
        </w:tc>
        <w:tc>
          <w:tcPr>
            <w:tcW w:w="1469" w:type="dxa"/>
            <w:vMerge/>
            <w:tcBorders>
              <w:bottom w:val="single" w:sz="4" w:space="0" w:color="auto"/>
            </w:tcBorders>
            <w:shd w:val="clear" w:color="auto" w:fill="FFFFFF"/>
          </w:tcPr>
          <w:p w14:paraId="4FD124C4" w14:textId="77777777" w:rsidR="00B84CC7" w:rsidRPr="00C73427" w:rsidRDefault="00B84CC7" w:rsidP="00370613">
            <w:pPr>
              <w:autoSpaceDE w:val="0"/>
              <w:autoSpaceDN w:val="0"/>
              <w:adjustRightInd w:val="0"/>
              <w:spacing w:after="0" w:line="320" w:lineRule="atLeast"/>
              <w:ind w:left="60" w:right="60"/>
              <w:jc w:val="right"/>
              <w:rPr>
                <w:rFonts w:ascii="Times New Roman" w:hAnsi="Times New Roman"/>
                <w:color w:val="000000"/>
              </w:rPr>
            </w:pPr>
          </w:p>
        </w:tc>
      </w:tr>
    </w:tbl>
    <w:p w14:paraId="2D1A4B5E" w14:textId="77777777" w:rsidR="00B84CC7" w:rsidRPr="00C73427" w:rsidRDefault="00B84CC7" w:rsidP="00B84CC7">
      <w:pPr>
        <w:spacing w:after="0" w:line="240" w:lineRule="auto"/>
        <w:ind w:left="284"/>
        <w:jc w:val="both"/>
        <w:rPr>
          <w:rFonts w:ascii="Times New Roman" w:hAnsi="Times New Roman"/>
          <w:bCs/>
          <w:sz w:val="20"/>
          <w:szCs w:val="20"/>
        </w:rPr>
      </w:pPr>
      <w:r w:rsidRPr="00C73427">
        <w:rPr>
          <w:rFonts w:ascii="Times New Roman" w:hAnsi="Times New Roman"/>
          <w:b/>
          <w:sz w:val="20"/>
          <w:szCs w:val="20"/>
        </w:rPr>
        <w:t xml:space="preserve">Aö: </w:t>
      </w:r>
      <w:r w:rsidRPr="00C73427">
        <w:rPr>
          <w:rFonts w:ascii="Times New Roman" w:hAnsi="Times New Roman"/>
          <w:bCs/>
          <w:sz w:val="20"/>
          <w:szCs w:val="20"/>
        </w:rPr>
        <w:t>A kategorisi ön test,</w:t>
      </w:r>
      <w:r w:rsidRPr="00C73427">
        <w:rPr>
          <w:rFonts w:ascii="Times New Roman" w:hAnsi="Times New Roman"/>
          <w:b/>
          <w:sz w:val="20"/>
          <w:szCs w:val="20"/>
        </w:rPr>
        <w:t xml:space="preserve"> As: </w:t>
      </w:r>
      <w:r w:rsidRPr="00C73427">
        <w:rPr>
          <w:rFonts w:ascii="Times New Roman" w:hAnsi="Times New Roman"/>
          <w:bCs/>
          <w:sz w:val="20"/>
          <w:szCs w:val="20"/>
        </w:rPr>
        <w:t>A kategorisi son test,</w:t>
      </w:r>
      <w:r w:rsidRPr="00C73427">
        <w:rPr>
          <w:rFonts w:ascii="Times New Roman" w:hAnsi="Times New Roman"/>
          <w:b/>
          <w:sz w:val="20"/>
          <w:szCs w:val="20"/>
        </w:rPr>
        <w:t xml:space="preserve"> Bö: </w:t>
      </w:r>
      <w:r w:rsidRPr="00C73427">
        <w:rPr>
          <w:rFonts w:ascii="Times New Roman" w:hAnsi="Times New Roman"/>
          <w:bCs/>
          <w:sz w:val="20"/>
          <w:szCs w:val="20"/>
        </w:rPr>
        <w:t>B kategorisi ön test,</w:t>
      </w:r>
      <w:r w:rsidRPr="00C73427">
        <w:rPr>
          <w:rFonts w:ascii="Times New Roman" w:hAnsi="Times New Roman"/>
          <w:b/>
          <w:sz w:val="20"/>
          <w:szCs w:val="20"/>
        </w:rPr>
        <w:t xml:space="preserve"> Bs: </w:t>
      </w:r>
      <w:r w:rsidRPr="00C73427">
        <w:rPr>
          <w:rFonts w:ascii="Times New Roman" w:hAnsi="Times New Roman"/>
          <w:bCs/>
          <w:sz w:val="20"/>
          <w:szCs w:val="20"/>
        </w:rPr>
        <w:t>B kategorisi son test,</w:t>
      </w:r>
    </w:p>
    <w:p w14:paraId="64CA1F07" w14:textId="77777777" w:rsidR="00B84CC7" w:rsidRPr="00C73427" w:rsidRDefault="00B84CC7" w:rsidP="00B84CC7">
      <w:pPr>
        <w:spacing w:after="0" w:line="240" w:lineRule="auto"/>
        <w:ind w:left="284"/>
        <w:jc w:val="both"/>
        <w:rPr>
          <w:rFonts w:ascii="Times New Roman" w:hAnsi="Times New Roman"/>
          <w:b/>
          <w:sz w:val="20"/>
          <w:szCs w:val="20"/>
        </w:rPr>
      </w:pPr>
      <w:r w:rsidRPr="00C73427">
        <w:rPr>
          <w:rFonts w:ascii="Times New Roman" w:hAnsi="Times New Roman"/>
          <w:b/>
          <w:sz w:val="20"/>
          <w:szCs w:val="20"/>
        </w:rPr>
        <w:t xml:space="preserve">Cö: </w:t>
      </w:r>
      <w:r w:rsidRPr="00C73427">
        <w:rPr>
          <w:rFonts w:ascii="Times New Roman" w:hAnsi="Times New Roman"/>
          <w:bCs/>
          <w:sz w:val="20"/>
          <w:szCs w:val="20"/>
        </w:rPr>
        <w:t>C kategorisi ön test,</w:t>
      </w:r>
      <w:r w:rsidRPr="00C73427">
        <w:rPr>
          <w:rFonts w:ascii="Times New Roman" w:hAnsi="Times New Roman"/>
          <w:b/>
          <w:sz w:val="20"/>
          <w:szCs w:val="20"/>
        </w:rPr>
        <w:t xml:space="preserve"> Cs: </w:t>
      </w:r>
      <w:r w:rsidRPr="00C73427">
        <w:rPr>
          <w:rFonts w:ascii="Times New Roman" w:hAnsi="Times New Roman"/>
          <w:bCs/>
          <w:sz w:val="20"/>
          <w:szCs w:val="20"/>
        </w:rPr>
        <w:t>C kategorisi son test,</w:t>
      </w:r>
      <w:r w:rsidRPr="00C73427">
        <w:rPr>
          <w:rFonts w:ascii="Times New Roman" w:hAnsi="Times New Roman"/>
          <w:b/>
          <w:sz w:val="20"/>
          <w:szCs w:val="20"/>
        </w:rPr>
        <w:t xml:space="preserve"> Dö: </w:t>
      </w:r>
      <w:r w:rsidRPr="00C73427">
        <w:rPr>
          <w:rFonts w:ascii="Times New Roman" w:hAnsi="Times New Roman"/>
          <w:bCs/>
          <w:sz w:val="20"/>
          <w:szCs w:val="20"/>
        </w:rPr>
        <w:t>D kategorisi ön test,</w:t>
      </w:r>
      <w:r w:rsidRPr="00C73427">
        <w:rPr>
          <w:rFonts w:ascii="Times New Roman" w:hAnsi="Times New Roman"/>
          <w:b/>
          <w:sz w:val="20"/>
          <w:szCs w:val="20"/>
        </w:rPr>
        <w:t xml:space="preserve"> Ds: </w:t>
      </w:r>
      <w:r w:rsidRPr="00C73427">
        <w:rPr>
          <w:rFonts w:ascii="Times New Roman" w:hAnsi="Times New Roman"/>
          <w:bCs/>
          <w:sz w:val="20"/>
          <w:szCs w:val="20"/>
        </w:rPr>
        <w:t>D kategorisi son test</w:t>
      </w:r>
    </w:p>
    <w:p w14:paraId="39152D21" w14:textId="0BA83B48"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Dört kategoriden oluşan Fonksiyon Başarı Testinde öğrencilerin her bir kategoriden aldıkları puanların ortalamaları hesaplanmıştır ve her bir kategorinin ön testi ile son testinden öğrencilerin aldıkları puanlar arasında anlamlı bir farklılığın olup olmadığını belirlemek için eşleştirilmiş örnekl</w:t>
      </w:r>
      <w:r>
        <w:rPr>
          <w:rFonts w:ascii="Times New Roman" w:hAnsi="Times New Roman"/>
          <w:sz w:val="24"/>
          <w:szCs w:val="24"/>
        </w:rPr>
        <w:t xml:space="preserve">em t testi yapılmıştır. Tablo </w:t>
      </w:r>
      <w:r w:rsidR="009A2776">
        <w:rPr>
          <w:rFonts w:ascii="Times New Roman" w:hAnsi="Times New Roman"/>
          <w:sz w:val="24"/>
          <w:szCs w:val="24"/>
        </w:rPr>
        <w:t>3’</w:t>
      </w:r>
      <w:r w:rsidRPr="00C73427">
        <w:rPr>
          <w:rFonts w:ascii="Times New Roman" w:hAnsi="Times New Roman"/>
          <w:sz w:val="24"/>
          <w:szCs w:val="24"/>
        </w:rPr>
        <w:t xml:space="preserve">e bakıldığında, araştırmaya katılan öğrencilerin A alt boyutunun ön testinden aldıkları puanların ortalamalarının 4.00 olduğu son test puan ortalamaları 13.55 olduğu görülmektedir. Bu kategoride öğrencilerin ortalamaları arasında anlamlı bir farklılık olup olmadığını tespit etmek için yapılan eşleştirilmiş örneklem t testi sonuçlarına göre son test lehine istatistiksel olarak anlamlı bir farklılık olduğu tespit edilmiştir (p=.00&lt;.05). B alt boyutunun sonuçlarına bakıldığında ise, öğrencilerin ön test puan ortalamasının 0.91 iken son test puan ortalamasının 8.09’a yükseldiği görülmektedir. Aradaki </w:t>
      </w:r>
      <w:r w:rsidRPr="00C73427">
        <w:rPr>
          <w:rFonts w:ascii="Times New Roman" w:hAnsi="Times New Roman"/>
          <w:sz w:val="24"/>
          <w:szCs w:val="24"/>
        </w:rPr>
        <w:lastRenderedPageBreak/>
        <w:t xml:space="preserve">istatistiksel farkı belirlemek için yapılan analiz sonucunda, tespit edilen anlamlı farklılığın son test lehine olduğu ortaya çıkmıştır (p=.00&lt;.05). Bir diğer alt boyut olan C boyutunda ise, öğrencilerin ön test puan ortalamaları 0.72 olarak belirlenirken son test puan ortalamaları 10.81 olarak hesaplanmıştır. Yine aynı şekilde, gelişimin istatistiksel açıdan önemli olup olmadığını belirlemek için yapılan istatistiksel analiz sonuçları, son test sonuçlarının son test lehine olduğunu göstermektedir (p=.00&lt;.05). Son olarak, D alt boyutu için yapılan analizlere bakıldığında, bu alt boyutun ön testinden öğrencilerin aldığı puan ortalamasının 0.18 olduğu görülürken son testinden aldıkları puan ortalamasının 11.77 olduğu görülmüştür. Yapılan eşleştirilmiş örneklem t testi sonuçları da, ön test ile son test arasında son test lehine istatistiksel olarak anlamlı bir fark olduğunu ortaya koymuştur (p=.00&lt;.05). </w:t>
      </w:r>
    </w:p>
    <w:p w14:paraId="7C711FCE" w14:textId="77777777" w:rsidR="00B84CC7" w:rsidRPr="00C7342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Kategoriler arasında ön test- son test puanlarına bakıldığında, son test ortalama puanı en yüksek olan A kategorisi olmakla birlikte; bu kategorinin basit düzeyde işlemsel sorular içerdiği için yüksek olduğu söylenebilir. İkinci olarak son test ortalama puanı yüksek olan kategori ise D kategorisidir. Bu kategori muhakeme tipi soruları içermektedir.</w:t>
      </w:r>
    </w:p>
    <w:p w14:paraId="1ADE135B" w14:textId="5B951892" w:rsidR="00B84CC7" w:rsidRPr="00C73427" w:rsidRDefault="00B84CC7" w:rsidP="00B84CC7">
      <w:pPr>
        <w:spacing w:before="120" w:line="360" w:lineRule="auto"/>
        <w:ind w:firstLine="709"/>
        <w:jc w:val="both"/>
        <w:rPr>
          <w:rFonts w:ascii="Times New Roman" w:hAnsi="Times New Roman"/>
          <w:color w:val="FF0000"/>
          <w:sz w:val="24"/>
          <w:szCs w:val="24"/>
        </w:rPr>
      </w:pPr>
      <w:r>
        <w:rPr>
          <w:rFonts w:ascii="Times New Roman" w:hAnsi="Times New Roman"/>
          <w:sz w:val="24"/>
          <w:szCs w:val="24"/>
        </w:rPr>
        <w:t xml:space="preserve">Tablo </w:t>
      </w:r>
      <w:r w:rsidR="009A2776">
        <w:rPr>
          <w:rFonts w:ascii="Times New Roman" w:hAnsi="Times New Roman"/>
          <w:sz w:val="24"/>
          <w:szCs w:val="24"/>
        </w:rPr>
        <w:t>4</w:t>
      </w:r>
      <w:r w:rsidRPr="00C73427">
        <w:rPr>
          <w:rFonts w:ascii="Times New Roman" w:hAnsi="Times New Roman"/>
          <w:sz w:val="24"/>
          <w:szCs w:val="24"/>
        </w:rPr>
        <w:t>’te kategorilere ayrılan FBT’nin son test puan ortalamaları ve standart sapma değerleri verilmiştir.</w:t>
      </w:r>
    </w:p>
    <w:p w14:paraId="50D6770E" w14:textId="46A677FC" w:rsidR="00B84CC7" w:rsidRPr="006E0B7C" w:rsidRDefault="009A2776" w:rsidP="00B84CC7">
      <w:pPr>
        <w:keepNext/>
        <w:keepLines/>
        <w:spacing w:after="0" w:line="360" w:lineRule="auto"/>
        <w:jc w:val="both"/>
        <w:outlineLvl w:val="1"/>
        <w:rPr>
          <w:rFonts w:ascii="Times New Roman" w:eastAsia="Times New Roman" w:hAnsi="Times New Roman"/>
          <w:bCs/>
          <w:sz w:val="24"/>
          <w:szCs w:val="26"/>
        </w:rPr>
      </w:pPr>
      <w:r>
        <w:rPr>
          <w:rFonts w:ascii="Times New Roman" w:eastAsia="Times New Roman" w:hAnsi="Times New Roman"/>
          <w:b/>
          <w:bCs/>
          <w:sz w:val="24"/>
          <w:szCs w:val="26"/>
        </w:rPr>
        <w:t>Tablo 4</w:t>
      </w:r>
      <w:r w:rsidR="00B84CC7" w:rsidRPr="006E0B7C">
        <w:rPr>
          <w:rFonts w:ascii="Times New Roman" w:eastAsia="Times New Roman" w:hAnsi="Times New Roman"/>
          <w:b/>
          <w:bCs/>
          <w:sz w:val="24"/>
          <w:szCs w:val="26"/>
        </w:rPr>
        <w:t>.</w:t>
      </w:r>
      <w:r w:rsidR="00B84CC7">
        <w:rPr>
          <w:rFonts w:ascii="Times New Roman" w:eastAsia="Times New Roman" w:hAnsi="Times New Roman"/>
          <w:bCs/>
          <w:sz w:val="24"/>
          <w:szCs w:val="26"/>
        </w:rPr>
        <w:t xml:space="preserve"> </w:t>
      </w:r>
      <w:r w:rsidR="00B84CC7" w:rsidRPr="006E0B7C">
        <w:rPr>
          <w:rFonts w:ascii="Times New Roman" w:eastAsia="Times New Roman" w:hAnsi="Times New Roman"/>
          <w:bCs/>
          <w:sz w:val="24"/>
          <w:szCs w:val="26"/>
        </w:rPr>
        <w:t>Kategorilere Ayrılan FBT Sontest Puan Ortalamaları ve Standart Sapma Değerleri</w:t>
      </w:r>
    </w:p>
    <w:tbl>
      <w:tblPr>
        <w:tblStyle w:val="TabloKlavuzu1"/>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087"/>
        <w:gridCol w:w="2105"/>
        <w:gridCol w:w="2105"/>
      </w:tblGrid>
      <w:tr w:rsidR="00B84CC7" w:rsidRPr="00C73427" w14:paraId="0FD6481A" w14:textId="77777777" w:rsidTr="00B84CC7">
        <w:tc>
          <w:tcPr>
            <w:tcW w:w="1418" w:type="dxa"/>
            <w:tcBorders>
              <w:top w:val="single" w:sz="4" w:space="0" w:color="auto"/>
              <w:bottom w:val="single" w:sz="4" w:space="0" w:color="auto"/>
            </w:tcBorders>
            <w:vAlign w:val="center"/>
          </w:tcPr>
          <w:p w14:paraId="4EA22289" w14:textId="77777777" w:rsidR="00B84CC7" w:rsidRPr="00C73427" w:rsidRDefault="00B84CC7" w:rsidP="00370613">
            <w:pPr>
              <w:spacing w:after="120"/>
              <w:rPr>
                <w:b/>
                <w:color w:val="000000"/>
              </w:rPr>
            </w:pPr>
            <w:r w:rsidRPr="00C73427">
              <w:rPr>
                <w:b/>
                <w:color w:val="000000"/>
              </w:rPr>
              <w:t>Alt Kategoriler</w:t>
            </w:r>
          </w:p>
        </w:tc>
        <w:tc>
          <w:tcPr>
            <w:tcW w:w="2087" w:type="dxa"/>
            <w:tcBorders>
              <w:top w:val="single" w:sz="4" w:space="0" w:color="auto"/>
              <w:bottom w:val="single" w:sz="4" w:space="0" w:color="auto"/>
            </w:tcBorders>
            <w:vAlign w:val="center"/>
          </w:tcPr>
          <w:p w14:paraId="3D13C26D" w14:textId="77777777" w:rsidR="00B84CC7" w:rsidRPr="00C73427" w:rsidRDefault="00B84CC7" w:rsidP="00370613">
            <w:pPr>
              <w:spacing w:after="120"/>
              <w:jc w:val="center"/>
              <w:rPr>
                <w:b/>
                <w:color w:val="000000"/>
              </w:rPr>
            </w:pPr>
            <w:r w:rsidRPr="00C73427">
              <w:rPr>
                <w:b/>
                <w:color w:val="000000"/>
              </w:rPr>
              <w:t>N</w:t>
            </w:r>
          </w:p>
        </w:tc>
        <w:tc>
          <w:tcPr>
            <w:tcW w:w="2105" w:type="dxa"/>
            <w:tcBorders>
              <w:top w:val="single" w:sz="4" w:space="0" w:color="auto"/>
              <w:bottom w:val="single" w:sz="4" w:space="0" w:color="auto"/>
            </w:tcBorders>
            <w:vAlign w:val="center"/>
          </w:tcPr>
          <w:p w14:paraId="3A16B593" w14:textId="77777777" w:rsidR="00B84CC7" w:rsidRPr="00C73427" w:rsidRDefault="00B85378" w:rsidP="00370613">
            <w:pPr>
              <w:spacing w:after="120"/>
              <w:jc w:val="center"/>
              <w:rPr>
                <w:b/>
                <w:color w:val="000000"/>
              </w:rPr>
            </w:pPr>
            <m:oMathPara>
              <m:oMath>
                <m:acc>
                  <m:accPr>
                    <m:chr m:val="̅"/>
                    <m:ctrlPr>
                      <w:rPr>
                        <w:rFonts w:ascii="Cambria Math" w:hAnsi="Cambria Math"/>
                        <w:b/>
                        <w:i/>
                        <w:color w:val="000000"/>
                      </w:rPr>
                    </m:ctrlPr>
                  </m:accPr>
                  <m:e>
                    <m:r>
                      <m:rPr>
                        <m:sty m:val="bi"/>
                      </m:rPr>
                      <w:rPr>
                        <w:rFonts w:ascii="Cambria Math" w:hAnsi="Cambria Math"/>
                        <w:color w:val="000000"/>
                      </w:rPr>
                      <m:t>X</m:t>
                    </m:r>
                  </m:e>
                </m:acc>
              </m:oMath>
            </m:oMathPara>
          </w:p>
        </w:tc>
        <w:tc>
          <w:tcPr>
            <w:tcW w:w="2105" w:type="dxa"/>
            <w:tcBorders>
              <w:top w:val="single" w:sz="4" w:space="0" w:color="auto"/>
              <w:bottom w:val="single" w:sz="4" w:space="0" w:color="auto"/>
            </w:tcBorders>
            <w:vAlign w:val="center"/>
          </w:tcPr>
          <w:p w14:paraId="1440AA69" w14:textId="09C9FB08" w:rsidR="00B84CC7" w:rsidRPr="00C73427" w:rsidRDefault="008A4AB3" w:rsidP="00370613">
            <w:pPr>
              <w:spacing w:after="120"/>
              <w:jc w:val="center"/>
              <w:rPr>
                <w:b/>
                <w:color w:val="000000"/>
              </w:rPr>
            </w:pPr>
            <w:r w:rsidRPr="00C73427">
              <w:rPr>
                <w:b/>
                <w:color w:val="000000"/>
              </w:rPr>
              <w:t>S</w:t>
            </w:r>
            <w:r w:rsidR="00B84CC7" w:rsidRPr="00C73427">
              <w:rPr>
                <w:b/>
                <w:color w:val="000000"/>
              </w:rPr>
              <w:t>s</w:t>
            </w:r>
          </w:p>
        </w:tc>
      </w:tr>
      <w:tr w:rsidR="00B84CC7" w:rsidRPr="00C73427" w14:paraId="44011123" w14:textId="77777777" w:rsidTr="00B84CC7">
        <w:tc>
          <w:tcPr>
            <w:tcW w:w="1418" w:type="dxa"/>
            <w:tcBorders>
              <w:top w:val="single" w:sz="4" w:space="0" w:color="auto"/>
              <w:bottom w:val="single" w:sz="4" w:space="0" w:color="auto"/>
            </w:tcBorders>
            <w:vAlign w:val="center"/>
          </w:tcPr>
          <w:p w14:paraId="2A98CBA3" w14:textId="77777777" w:rsidR="00B84CC7" w:rsidRPr="00C73427" w:rsidRDefault="00B84CC7" w:rsidP="00370613">
            <w:pPr>
              <w:spacing w:after="120"/>
              <w:rPr>
                <w:b/>
                <w:color w:val="000000"/>
              </w:rPr>
            </w:pPr>
            <w:r w:rsidRPr="00C73427">
              <w:rPr>
                <w:b/>
                <w:color w:val="000000"/>
              </w:rPr>
              <w:t>Akategorisi</w:t>
            </w:r>
          </w:p>
        </w:tc>
        <w:tc>
          <w:tcPr>
            <w:tcW w:w="2087" w:type="dxa"/>
            <w:tcBorders>
              <w:top w:val="single" w:sz="4" w:space="0" w:color="auto"/>
              <w:bottom w:val="single" w:sz="4" w:space="0" w:color="auto"/>
            </w:tcBorders>
            <w:vAlign w:val="center"/>
          </w:tcPr>
          <w:p w14:paraId="42C8FCEA" w14:textId="77777777" w:rsidR="00B84CC7" w:rsidRPr="00C73427" w:rsidRDefault="00B84CC7" w:rsidP="00370613">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39B6889" w14:textId="77777777" w:rsidR="00B84CC7" w:rsidRPr="00C73427" w:rsidRDefault="00B84CC7" w:rsidP="00370613">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C062D34" w14:textId="77777777" w:rsidR="00B84CC7" w:rsidRPr="00C73427" w:rsidRDefault="00B84CC7" w:rsidP="00370613">
            <w:pPr>
              <w:spacing w:after="120"/>
              <w:jc w:val="center"/>
              <w:rPr>
                <w:color w:val="000000"/>
              </w:rPr>
            </w:pPr>
            <w:r w:rsidRPr="00C73427">
              <w:rPr>
                <w:color w:val="000000"/>
              </w:rPr>
              <w:t>1.08</w:t>
            </w:r>
          </w:p>
        </w:tc>
      </w:tr>
      <w:tr w:rsidR="00B84CC7" w:rsidRPr="00C73427" w14:paraId="25FD4249" w14:textId="77777777" w:rsidTr="00B84CC7">
        <w:tc>
          <w:tcPr>
            <w:tcW w:w="1418" w:type="dxa"/>
            <w:tcBorders>
              <w:top w:val="single" w:sz="4" w:space="0" w:color="auto"/>
              <w:bottom w:val="single" w:sz="4" w:space="0" w:color="auto"/>
            </w:tcBorders>
            <w:vAlign w:val="center"/>
          </w:tcPr>
          <w:p w14:paraId="77FB3F42" w14:textId="77777777" w:rsidR="00B84CC7" w:rsidRPr="00C73427" w:rsidRDefault="00B84CC7" w:rsidP="00370613">
            <w:pPr>
              <w:spacing w:after="120"/>
              <w:rPr>
                <w:b/>
                <w:color w:val="000000"/>
              </w:rPr>
            </w:pPr>
            <w:r w:rsidRPr="00C73427">
              <w:rPr>
                <w:b/>
                <w:color w:val="000000"/>
              </w:rPr>
              <w:t>B kategorisi</w:t>
            </w:r>
          </w:p>
        </w:tc>
        <w:tc>
          <w:tcPr>
            <w:tcW w:w="2087" w:type="dxa"/>
            <w:tcBorders>
              <w:top w:val="single" w:sz="4" w:space="0" w:color="auto"/>
              <w:bottom w:val="single" w:sz="4" w:space="0" w:color="auto"/>
            </w:tcBorders>
            <w:vAlign w:val="center"/>
          </w:tcPr>
          <w:p w14:paraId="7CB6B51E" w14:textId="77777777" w:rsidR="00B84CC7" w:rsidRPr="00C73427" w:rsidRDefault="00B84CC7" w:rsidP="00370613">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84F40B4" w14:textId="77777777" w:rsidR="00B84CC7" w:rsidRPr="00C73427" w:rsidRDefault="00B84CC7" w:rsidP="00370613">
            <w:pPr>
              <w:spacing w:after="120"/>
              <w:jc w:val="center"/>
              <w:rPr>
                <w:color w:val="000000"/>
              </w:rPr>
            </w:pPr>
            <w:r w:rsidRPr="00C73427">
              <w:rPr>
                <w:color w:val="000000"/>
              </w:rPr>
              <w:t>2.70</w:t>
            </w:r>
          </w:p>
        </w:tc>
        <w:tc>
          <w:tcPr>
            <w:tcW w:w="2105" w:type="dxa"/>
            <w:tcBorders>
              <w:top w:val="single" w:sz="4" w:space="0" w:color="auto"/>
              <w:bottom w:val="single" w:sz="4" w:space="0" w:color="auto"/>
            </w:tcBorders>
            <w:vAlign w:val="center"/>
          </w:tcPr>
          <w:p w14:paraId="6371F628" w14:textId="77777777" w:rsidR="00B84CC7" w:rsidRPr="00C73427" w:rsidRDefault="00B84CC7" w:rsidP="00370613">
            <w:pPr>
              <w:spacing w:after="120"/>
              <w:jc w:val="center"/>
              <w:rPr>
                <w:color w:val="000000"/>
              </w:rPr>
            </w:pPr>
            <w:r w:rsidRPr="00C73427">
              <w:rPr>
                <w:color w:val="000000"/>
              </w:rPr>
              <w:t>1.08</w:t>
            </w:r>
          </w:p>
        </w:tc>
      </w:tr>
      <w:tr w:rsidR="00B84CC7" w:rsidRPr="00C73427" w14:paraId="07CA9D15" w14:textId="77777777" w:rsidTr="00B84CC7">
        <w:tc>
          <w:tcPr>
            <w:tcW w:w="1418" w:type="dxa"/>
            <w:tcBorders>
              <w:top w:val="single" w:sz="4" w:space="0" w:color="auto"/>
              <w:bottom w:val="single" w:sz="4" w:space="0" w:color="auto"/>
            </w:tcBorders>
            <w:vAlign w:val="center"/>
          </w:tcPr>
          <w:p w14:paraId="7FE4B79E" w14:textId="77777777" w:rsidR="00B84CC7" w:rsidRPr="00C73427" w:rsidRDefault="00B84CC7" w:rsidP="00370613">
            <w:pPr>
              <w:spacing w:after="120"/>
              <w:rPr>
                <w:b/>
                <w:color w:val="000000"/>
              </w:rPr>
            </w:pPr>
            <w:r w:rsidRPr="00C73427">
              <w:rPr>
                <w:b/>
                <w:color w:val="000000"/>
              </w:rPr>
              <w:t>C kategorisi</w:t>
            </w:r>
          </w:p>
        </w:tc>
        <w:tc>
          <w:tcPr>
            <w:tcW w:w="2087" w:type="dxa"/>
            <w:tcBorders>
              <w:top w:val="single" w:sz="4" w:space="0" w:color="auto"/>
              <w:bottom w:val="single" w:sz="4" w:space="0" w:color="auto"/>
            </w:tcBorders>
            <w:vAlign w:val="center"/>
          </w:tcPr>
          <w:p w14:paraId="04652515" w14:textId="77777777" w:rsidR="00B84CC7" w:rsidRPr="00C73427" w:rsidRDefault="00B84CC7" w:rsidP="00370613">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374C53B2" w14:textId="77777777" w:rsidR="00B84CC7" w:rsidRPr="00C73427" w:rsidRDefault="00B84CC7" w:rsidP="00370613">
            <w:pPr>
              <w:spacing w:after="120"/>
              <w:jc w:val="center"/>
              <w:rPr>
                <w:color w:val="000000"/>
              </w:rPr>
            </w:pPr>
            <w:r w:rsidRPr="00C73427">
              <w:rPr>
                <w:color w:val="000000"/>
              </w:rPr>
              <w:t>2.71</w:t>
            </w:r>
          </w:p>
        </w:tc>
        <w:tc>
          <w:tcPr>
            <w:tcW w:w="2105" w:type="dxa"/>
            <w:tcBorders>
              <w:top w:val="single" w:sz="4" w:space="0" w:color="auto"/>
              <w:bottom w:val="single" w:sz="4" w:space="0" w:color="auto"/>
            </w:tcBorders>
            <w:vAlign w:val="center"/>
          </w:tcPr>
          <w:p w14:paraId="0633AEEE" w14:textId="77777777" w:rsidR="00B84CC7" w:rsidRPr="00C73427" w:rsidRDefault="00B84CC7" w:rsidP="00370613">
            <w:pPr>
              <w:spacing w:after="120"/>
              <w:jc w:val="center"/>
              <w:rPr>
                <w:color w:val="000000"/>
              </w:rPr>
            </w:pPr>
            <w:r w:rsidRPr="00C73427">
              <w:rPr>
                <w:color w:val="000000"/>
              </w:rPr>
              <w:t>1.01</w:t>
            </w:r>
          </w:p>
        </w:tc>
      </w:tr>
      <w:tr w:rsidR="00B84CC7" w:rsidRPr="00C73427" w14:paraId="59D98513" w14:textId="77777777" w:rsidTr="00B84CC7">
        <w:tc>
          <w:tcPr>
            <w:tcW w:w="1418" w:type="dxa"/>
            <w:tcBorders>
              <w:top w:val="single" w:sz="4" w:space="0" w:color="auto"/>
              <w:bottom w:val="single" w:sz="4" w:space="0" w:color="auto"/>
            </w:tcBorders>
            <w:vAlign w:val="center"/>
          </w:tcPr>
          <w:p w14:paraId="02F8E016" w14:textId="77777777" w:rsidR="00B84CC7" w:rsidRPr="00C73427" w:rsidRDefault="00B84CC7" w:rsidP="00370613">
            <w:pPr>
              <w:spacing w:after="120"/>
              <w:rPr>
                <w:b/>
                <w:color w:val="000000"/>
              </w:rPr>
            </w:pPr>
            <w:r w:rsidRPr="00C73427">
              <w:rPr>
                <w:b/>
                <w:color w:val="000000"/>
              </w:rPr>
              <w:t>D kategorisi</w:t>
            </w:r>
          </w:p>
        </w:tc>
        <w:tc>
          <w:tcPr>
            <w:tcW w:w="2087" w:type="dxa"/>
            <w:tcBorders>
              <w:top w:val="single" w:sz="4" w:space="0" w:color="auto"/>
              <w:bottom w:val="single" w:sz="4" w:space="0" w:color="auto"/>
            </w:tcBorders>
            <w:vAlign w:val="center"/>
          </w:tcPr>
          <w:p w14:paraId="20B95AF9" w14:textId="77777777" w:rsidR="00B84CC7" w:rsidRPr="00C73427" w:rsidRDefault="00B84CC7" w:rsidP="00370613">
            <w:pPr>
              <w:spacing w:after="120"/>
              <w:jc w:val="center"/>
              <w:rPr>
                <w:color w:val="000000"/>
              </w:rPr>
            </w:pPr>
            <w:r w:rsidRPr="00C73427">
              <w:rPr>
                <w:color w:val="000000"/>
              </w:rPr>
              <w:t>22</w:t>
            </w:r>
          </w:p>
        </w:tc>
        <w:tc>
          <w:tcPr>
            <w:tcW w:w="2105" w:type="dxa"/>
            <w:tcBorders>
              <w:top w:val="single" w:sz="4" w:space="0" w:color="auto"/>
              <w:bottom w:val="single" w:sz="4" w:space="0" w:color="auto"/>
            </w:tcBorders>
            <w:vAlign w:val="center"/>
          </w:tcPr>
          <w:p w14:paraId="01E3D808" w14:textId="77777777" w:rsidR="00B84CC7" w:rsidRPr="00C73427" w:rsidRDefault="00B84CC7" w:rsidP="00370613">
            <w:pPr>
              <w:spacing w:after="120"/>
              <w:jc w:val="center"/>
              <w:rPr>
                <w:color w:val="000000"/>
              </w:rPr>
            </w:pPr>
            <w:r w:rsidRPr="00C73427">
              <w:rPr>
                <w:color w:val="000000"/>
              </w:rPr>
              <w:t>3.02</w:t>
            </w:r>
          </w:p>
        </w:tc>
        <w:tc>
          <w:tcPr>
            <w:tcW w:w="2105" w:type="dxa"/>
            <w:tcBorders>
              <w:top w:val="single" w:sz="4" w:space="0" w:color="auto"/>
              <w:bottom w:val="single" w:sz="4" w:space="0" w:color="auto"/>
            </w:tcBorders>
            <w:vAlign w:val="center"/>
          </w:tcPr>
          <w:p w14:paraId="1CE35FA9" w14:textId="77777777" w:rsidR="00B84CC7" w:rsidRPr="00C73427" w:rsidRDefault="00B84CC7" w:rsidP="00370613">
            <w:pPr>
              <w:spacing w:after="120"/>
              <w:jc w:val="center"/>
              <w:rPr>
                <w:color w:val="000000"/>
              </w:rPr>
            </w:pPr>
            <w:r w:rsidRPr="00C73427">
              <w:rPr>
                <w:color w:val="000000"/>
              </w:rPr>
              <w:t>0.68</w:t>
            </w:r>
          </w:p>
        </w:tc>
      </w:tr>
      <w:tr w:rsidR="00B84CC7" w:rsidRPr="00C73427" w14:paraId="7AE3E8B8" w14:textId="77777777" w:rsidTr="00B84CC7">
        <w:tc>
          <w:tcPr>
            <w:tcW w:w="1418" w:type="dxa"/>
            <w:tcBorders>
              <w:top w:val="single" w:sz="4" w:space="0" w:color="auto"/>
              <w:bottom w:val="single" w:sz="4" w:space="0" w:color="auto"/>
            </w:tcBorders>
            <w:vAlign w:val="center"/>
          </w:tcPr>
          <w:p w14:paraId="08D320F8" w14:textId="77777777" w:rsidR="00B84CC7" w:rsidRPr="00C73427" w:rsidRDefault="00B84CC7" w:rsidP="00370613">
            <w:pPr>
              <w:spacing w:after="120"/>
              <w:rPr>
                <w:b/>
                <w:color w:val="000000"/>
              </w:rPr>
            </w:pPr>
            <w:r w:rsidRPr="00C73427">
              <w:rPr>
                <w:b/>
                <w:color w:val="000000"/>
              </w:rPr>
              <w:t>Toplam</w:t>
            </w:r>
          </w:p>
        </w:tc>
        <w:tc>
          <w:tcPr>
            <w:tcW w:w="2087" w:type="dxa"/>
            <w:tcBorders>
              <w:top w:val="single" w:sz="4" w:space="0" w:color="auto"/>
              <w:bottom w:val="single" w:sz="4" w:space="0" w:color="auto"/>
            </w:tcBorders>
            <w:vAlign w:val="center"/>
          </w:tcPr>
          <w:p w14:paraId="26A46F43" w14:textId="77777777" w:rsidR="00B84CC7" w:rsidRPr="00C73427" w:rsidRDefault="00B84CC7" w:rsidP="00370613">
            <w:pPr>
              <w:spacing w:after="120"/>
              <w:jc w:val="center"/>
              <w:rPr>
                <w:color w:val="000000"/>
              </w:rPr>
            </w:pPr>
            <w:r w:rsidRPr="00C73427">
              <w:rPr>
                <w:color w:val="000000"/>
              </w:rPr>
              <w:t>88</w:t>
            </w:r>
          </w:p>
        </w:tc>
        <w:tc>
          <w:tcPr>
            <w:tcW w:w="2105" w:type="dxa"/>
            <w:tcBorders>
              <w:top w:val="single" w:sz="4" w:space="0" w:color="auto"/>
              <w:bottom w:val="single" w:sz="4" w:space="0" w:color="auto"/>
            </w:tcBorders>
            <w:vAlign w:val="center"/>
          </w:tcPr>
          <w:p w14:paraId="0D4D146A" w14:textId="77777777" w:rsidR="00B84CC7" w:rsidRPr="00C73427" w:rsidRDefault="00B84CC7" w:rsidP="00370613">
            <w:pPr>
              <w:spacing w:after="120"/>
              <w:jc w:val="center"/>
              <w:rPr>
                <w:color w:val="000000"/>
              </w:rPr>
            </w:pPr>
            <w:r w:rsidRPr="00C73427">
              <w:rPr>
                <w:color w:val="000000"/>
              </w:rPr>
              <w:t>2.76</w:t>
            </w:r>
          </w:p>
        </w:tc>
        <w:tc>
          <w:tcPr>
            <w:tcW w:w="2105" w:type="dxa"/>
            <w:tcBorders>
              <w:top w:val="single" w:sz="4" w:space="0" w:color="auto"/>
              <w:bottom w:val="single" w:sz="4" w:space="0" w:color="auto"/>
            </w:tcBorders>
            <w:vAlign w:val="center"/>
          </w:tcPr>
          <w:p w14:paraId="6114ED63" w14:textId="77777777" w:rsidR="00B84CC7" w:rsidRPr="00C73427" w:rsidRDefault="00B84CC7" w:rsidP="00370613">
            <w:pPr>
              <w:spacing w:after="120"/>
              <w:jc w:val="center"/>
              <w:rPr>
                <w:color w:val="000000"/>
              </w:rPr>
            </w:pPr>
            <w:r w:rsidRPr="00C73427">
              <w:rPr>
                <w:color w:val="000000"/>
              </w:rPr>
              <w:t>1.01</w:t>
            </w:r>
          </w:p>
        </w:tc>
      </w:tr>
    </w:tbl>
    <w:p w14:paraId="1463E16B" w14:textId="77777777" w:rsidR="00B84CC7" w:rsidRPr="00C73427" w:rsidRDefault="00B84CC7" w:rsidP="00B84CC7">
      <w:pPr>
        <w:ind w:firstLine="709"/>
        <w:rPr>
          <w:rFonts w:ascii="Times New Roman" w:hAnsi="Times New Roman"/>
        </w:rPr>
      </w:pPr>
      <w:r w:rsidRPr="00C73427">
        <w:rPr>
          <w:rFonts w:ascii="Times New Roman" w:hAnsi="Times New Roman"/>
        </w:rPr>
        <w:t xml:space="preserve">N= öğrenci sayısı; </w:t>
      </w:r>
      <m:oMath>
        <m:acc>
          <m:accPr>
            <m:chr m:val="̅"/>
            <m:ctrlPr>
              <w:rPr>
                <w:rFonts w:ascii="Cambria Math" w:hAnsi="Cambria Math"/>
                <w:i/>
              </w:rPr>
            </m:ctrlPr>
          </m:accPr>
          <m:e>
            <m:r>
              <w:rPr>
                <w:rFonts w:ascii="Cambria Math" w:hAnsi="Cambria Math"/>
              </w:rPr>
              <m:t>X</m:t>
            </m:r>
          </m:e>
        </m:acc>
      </m:oMath>
      <w:r w:rsidRPr="00C73427">
        <w:rPr>
          <w:rFonts w:ascii="Times New Roman" w:hAnsi="Times New Roman"/>
        </w:rPr>
        <w:t>= Ortalama; ss= Standart Sapma</w:t>
      </w:r>
    </w:p>
    <w:p w14:paraId="56CB820A" w14:textId="6BD65831" w:rsidR="00B84CC7" w:rsidRPr="00C73427" w:rsidRDefault="00B84CC7" w:rsidP="00B84CC7">
      <w:pPr>
        <w:spacing w:before="360" w:line="360" w:lineRule="auto"/>
        <w:ind w:firstLine="709"/>
        <w:jc w:val="both"/>
        <w:rPr>
          <w:rFonts w:ascii="Times New Roman" w:hAnsi="Times New Roman"/>
          <w:sz w:val="24"/>
          <w:szCs w:val="24"/>
        </w:rPr>
      </w:pPr>
      <w:r w:rsidRPr="00C73427">
        <w:rPr>
          <w:rFonts w:ascii="Times New Roman" w:hAnsi="Times New Roman"/>
          <w:sz w:val="24"/>
          <w:szCs w:val="24"/>
        </w:rPr>
        <w:t xml:space="preserve">Başarı testinde yer alan her bir alt kategori için hesaplanan ortalama ve standart sapma değerleri tablo </w:t>
      </w:r>
      <w:r>
        <w:rPr>
          <w:rFonts w:ascii="Times New Roman" w:hAnsi="Times New Roman"/>
          <w:sz w:val="24"/>
          <w:szCs w:val="24"/>
        </w:rPr>
        <w:t xml:space="preserve">4.3’ te yer almaktadır. Tablo </w:t>
      </w:r>
      <w:r w:rsidR="009A2776">
        <w:rPr>
          <w:rFonts w:ascii="Times New Roman" w:hAnsi="Times New Roman"/>
          <w:sz w:val="24"/>
          <w:szCs w:val="24"/>
        </w:rPr>
        <w:t>4</w:t>
      </w:r>
      <w:r w:rsidRPr="00C73427">
        <w:rPr>
          <w:rFonts w:ascii="Times New Roman" w:hAnsi="Times New Roman"/>
          <w:sz w:val="24"/>
          <w:szCs w:val="24"/>
        </w:rPr>
        <w:t>’e bakıldığında öğrencilerin başarı son testinin A</w:t>
      </w:r>
      <w:r w:rsidR="008A4AB3">
        <w:rPr>
          <w:rFonts w:ascii="Times New Roman" w:hAnsi="Times New Roman"/>
          <w:sz w:val="24"/>
          <w:szCs w:val="24"/>
        </w:rPr>
        <w:t>(basit düzeyde işlemsel sorular içeren)</w:t>
      </w:r>
      <w:r w:rsidRPr="00C73427">
        <w:rPr>
          <w:rFonts w:ascii="Times New Roman" w:hAnsi="Times New Roman"/>
          <w:sz w:val="24"/>
          <w:szCs w:val="24"/>
        </w:rPr>
        <w:t xml:space="preserve"> kategorisinden ve B kategorisinden</w:t>
      </w:r>
      <w:r w:rsidR="008A4AB3">
        <w:rPr>
          <w:rFonts w:ascii="Times New Roman" w:hAnsi="Times New Roman"/>
          <w:sz w:val="24"/>
          <w:szCs w:val="24"/>
        </w:rPr>
        <w:t>(temel bilgilerin kavranması)</w:t>
      </w:r>
      <w:r w:rsidRPr="00C73427">
        <w:rPr>
          <w:rFonts w:ascii="Times New Roman" w:hAnsi="Times New Roman"/>
          <w:sz w:val="24"/>
          <w:szCs w:val="24"/>
        </w:rPr>
        <w:t xml:space="preserve"> aldıkları puanların ortalamasının 2.70, C kategorisinden</w:t>
      </w:r>
      <w:r w:rsidR="008A4AB3">
        <w:rPr>
          <w:rFonts w:ascii="Times New Roman" w:hAnsi="Times New Roman"/>
          <w:sz w:val="24"/>
          <w:szCs w:val="24"/>
        </w:rPr>
        <w:t>(grafik soruları)</w:t>
      </w:r>
      <w:r w:rsidRPr="00C73427">
        <w:rPr>
          <w:rFonts w:ascii="Times New Roman" w:hAnsi="Times New Roman"/>
          <w:sz w:val="24"/>
          <w:szCs w:val="24"/>
        </w:rPr>
        <w:t xml:space="preserve"> aldıkları puanların ortalaması 2.71, D kategorisinden</w:t>
      </w:r>
      <w:r w:rsidR="008A4AB3">
        <w:rPr>
          <w:rFonts w:ascii="Times New Roman" w:hAnsi="Times New Roman"/>
          <w:sz w:val="24"/>
          <w:szCs w:val="24"/>
        </w:rPr>
        <w:t>(muhakeme soruları)</w:t>
      </w:r>
      <w:r w:rsidRPr="00C73427">
        <w:rPr>
          <w:rFonts w:ascii="Times New Roman" w:hAnsi="Times New Roman"/>
          <w:sz w:val="24"/>
          <w:szCs w:val="24"/>
        </w:rPr>
        <w:t xml:space="preserve"> aldıkları puanların ortalamasının ise 3.02 olduğu görülmektedir. Bu düzeylerin standart sapma değerleri ise sırasıyla 1.08, 1.08, 1.01 ve 0.68 olarak hesaplanmıştır.</w:t>
      </w:r>
    </w:p>
    <w:p w14:paraId="58488E00" w14:textId="75347082" w:rsidR="00B84CC7" w:rsidRPr="00C73427" w:rsidRDefault="00B84CC7" w:rsidP="00B84CC7">
      <w:pPr>
        <w:spacing w:before="120" w:line="360" w:lineRule="auto"/>
        <w:ind w:firstLine="709"/>
        <w:jc w:val="both"/>
        <w:rPr>
          <w:rFonts w:ascii="Times New Roman" w:hAnsi="Times New Roman"/>
          <w:sz w:val="24"/>
          <w:szCs w:val="24"/>
        </w:rPr>
      </w:pPr>
      <w:r>
        <w:rPr>
          <w:rFonts w:ascii="Times New Roman" w:hAnsi="Times New Roman"/>
          <w:sz w:val="24"/>
          <w:szCs w:val="24"/>
        </w:rPr>
        <w:lastRenderedPageBreak/>
        <w:t xml:space="preserve">Tablo </w:t>
      </w:r>
      <w:r w:rsidR="009A2776">
        <w:rPr>
          <w:rFonts w:ascii="Times New Roman" w:hAnsi="Times New Roman"/>
          <w:sz w:val="24"/>
          <w:szCs w:val="24"/>
        </w:rPr>
        <w:t>5</w:t>
      </w:r>
      <w:r w:rsidRPr="00C73427">
        <w:rPr>
          <w:rFonts w:ascii="Times New Roman" w:hAnsi="Times New Roman"/>
          <w:sz w:val="24"/>
          <w:szCs w:val="24"/>
        </w:rPr>
        <w:t>’ te kategorilere ayrılan FBT’nin son test puanlarına yönelik tek yönlü varyans analiz sonuçları verilmiştir.</w:t>
      </w:r>
    </w:p>
    <w:p w14:paraId="727C8411" w14:textId="1DCD0DB6" w:rsidR="00B84CC7" w:rsidRPr="006E0B7C" w:rsidRDefault="009A2776" w:rsidP="00B84CC7">
      <w:pPr>
        <w:keepNext/>
        <w:keepLines/>
        <w:spacing w:before="240" w:after="0" w:line="360" w:lineRule="auto"/>
        <w:jc w:val="both"/>
        <w:outlineLvl w:val="1"/>
        <w:rPr>
          <w:rFonts w:ascii="Times New Roman" w:eastAsia="Times New Roman" w:hAnsi="Times New Roman"/>
          <w:bCs/>
          <w:sz w:val="24"/>
          <w:szCs w:val="26"/>
        </w:rPr>
      </w:pPr>
      <w:r>
        <w:rPr>
          <w:rFonts w:ascii="Times New Roman" w:eastAsia="Times New Roman" w:hAnsi="Times New Roman"/>
          <w:b/>
          <w:bCs/>
          <w:sz w:val="24"/>
          <w:szCs w:val="26"/>
        </w:rPr>
        <w:t>Tablo 5</w:t>
      </w:r>
      <w:r w:rsidR="00B84CC7" w:rsidRPr="006E0B7C">
        <w:rPr>
          <w:rFonts w:ascii="Times New Roman" w:eastAsia="Times New Roman" w:hAnsi="Times New Roman"/>
          <w:b/>
          <w:bCs/>
          <w:sz w:val="24"/>
          <w:szCs w:val="26"/>
        </w:rPr>
        <w:t>.</w:t>
      </w:r>
      <w:r w:rsidR="00B84CC7" w:rsidRPr="00C73427">
        <w:rPr>
          <w:rFonts w:ascii="Times New Roman" w:eastAsia="Times New Roman" w:hAnsi="Times New Roman"/>
          <w:bCs/>
          <w:sz w:val="24"/>
          <w:szCs w:val="26"/>
        </w:rPr>
        <w:t xml:space="preserve"> </w:t>
      </w:r>
      <w:r w:rsidR="00B84CC7" w:rsidRPr="006E0B7C">
        <w:rPr>
          <w:rFonts w:ascii="Times New Roman" w:eastAsia="Times New Roman" w:hAnsi="Times New Roman"/>
          <w:bCs/>
          <w:sz w:val="24"/>
          <w:szCs w:val="26"/>
        </w:rPr>
        <w:t>Kategorilere Ayrılan FBT Sontest Puan Ortalamalarına Yönelik Tek Yönlü Varyans Analizi Sonuçları</w:t>
      </w:r>
    </w:p>
    <w:tbl>
      <w:tblPr>
        <w:tblStyle w:val="TabloKlavuzu1"/>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25"/>
        <w:gridCol w:w="103"/>
        <w:gridCol w:w="1575"/>
        <w:gridCol w:w="1589"/>
        <w:gridCol w:w="850"/>
        <w:gridCol w:w="1217"/>
      </w:tblGrid>
      <w:tr w:rsidR="00B84CC7" w:rsidRPr="00C73427" w14:paraId="29B11448" w14:textId="77777777" w:rsidTr="00B84CC7">
        <w:trPr>
          <w:trHeight w:hRule="exact" w:val="531"/>
        </w:trPr>
        <w:tc>
          <w:tcPr>
            <w:tcW w:w="1417" w:type="dxa"/>
            <w:tcBorders>
              <w:top w:val="single" w:sz="4" w:space="0" w:color="auto"/>
              <w:bottom w:val="single" w:sz="4" w:space="0" w:color="auto"/>
            </w:tcBorders>
            <w:vAlign w:val="center"/>
          </w:tcPr>
          <w:p w14:paraId="2DE379DC" w14:textId="77777777" w:rsidR="00B84CC7" w:rsidRPr="00C73427" w:rsidRDefault="00B84CC7" w:rsidP="00370613">
            <w:pPr>
              <w:rPr>
                <w:color w:val="000000"/>
              </w:rPr>
            </w:pPr>
          </w:p>
        </w:tc>
        <w:tc>
          <w:tcPr>
            <w:tcW w:w="1328" w:type="dxa"/>
            <w:gridSpan w:val="2"/>
            <w:tcBorders>
              <w:top w:val="single" w:sz="4" w:space="0" w:color="auto"/>
              <w:bottom w:val="single" w:sz="4" w:space="0" w:color="auto"/>
            </w:tcBorders>
            <w:vAlign w:val="center"/>
          </w:tcPr>
          <w:p w14:paraId="0AC6C62A" w14:textId="77777777" w:rsidR="00B84CC7" w:rsidRPr="00C73427" w:rsidRDefault="00B84CC7" w:rsidP="00370613">
            <w:pPr>
              <w:jc w:val="center"/>
              <w:rPr>
                <w:b/>
                <w:color w:val="000000"/>
              </w:rPr>
            </w:pPr>
            <w:r w:rsidRPr="00C73427">
              <w:rPr>
                <w:b/>
                <w:color w:val="000000"/>
              </w:rPr>
              <w:t>Kareler toplamı</w:t>
            </w:r>
          </w:p>
        </w:tc>
        <w:tc>
          <w:tcPr>
            <w:tcW w:w="1575" w:type="dxa"/>
            <w:tcBorders>
              <w:top w:val="single" w:sz="4" w:space="0" w:color="auto"/>
              <w:bottom w:val="single" w:sz="4" w:space="0" w:color="auto"/>
            </w:tcBorders>
            <w:vAlign w:val="center"/>
          </w:tcPr>
          <w:p w14:paraId="06ACF98D" w14:textId="77777777" w:rsidR="00B84CC7" w:rsidRPr="00C73427" w:rsidRDefault="00B84CC7" w:rsidP="00370613">
            <w:pPr>
              <w:jc w:val="center"/>
              <w:rPr>
                <w:b/>
                <w:color w:val="000000"/>
              </w:rPr>
            </w:pPr>
            <w:r w:rsidRPr="00C73427">
              <w:rPr>
                <w:b/>
                <w:color w:val="000000"/>
              </w:rPr>
              <w:t>Serbestlik derecesi</w:t>
            </w:r>
          </w:p>
        </w:tc>
        <w:tc>
          <w:tcPr>
            <w:tcW w:w="1589" w:type="dxa"/>
            <w:tcBorders>
              <w:top w:val="single" w:sz="4" w:space="0" w:color="auto"/>
              <w:bottom w:val="single" w:sz="4" w:space="0" w:color="auto"/>
            </w:tcBorders>
            <w:vAlign w:val="center"/>
          </w:tcPr>
          <w:p w14:paraId="34EE43DB" w14:textId="77777777" w:rsidR="00B84CC7" w:rsidRPr="00C73427" w:rsidRDefault="00B84CC7" w:rsidP="00370613">
            <w:pPr>
              <w:jc w:val="center"/>
              <w:rPr>
                <w:b/>
                <w:color w:val="000000"/>
              </w:rPr>
            </w:pPr>
            <w:r w:rsidRPr="00C73427">
              <w:rPr>
                <w:b/>
                <w:color w:val="000000"/>
              </w:rPr>
              <w:t>Kareler ortalaması</w:t>
            </w:r>
          </w:p>
        </w:tc>
        <w:tc>
          <w:tcPr>
            <w:tcW w:w="850" w:type="dxa"/>
            <w:tcBorders>
              <w:top w:val="single" w:sz="4" w:space="0" w:color="auto"/>
              <w:bottom w:val="single" w:sz="4" w:space="0" w:color="auto"/>
            </w:tcBorders>
            <w:vAlign w:val="center"/>
          </w:tcPr>
          <w:p w14:paraId="33ADF3CA" w14:textId="77777777" w:rsidR="00B84CC7" w:rsidRPr="00C73427" w:rsidRDefault="00B84CC7" w:rsidP="00370613">
            <w:pPr>
              <w:jc w:val="center"/>
              <w:rPr>
                <w:b/>
                <w:color w:val="000000"/>
              </w:rPr>
            </w:pPr>
            <w:r w:rsidRPr="00C73427">
              <w:rPr>
                <w:b/>
                <w:color w:val="000000"/>
              </w:rPr>
              <w:t>F</w:t>
            </w:r>
          </w:p>
        </w:tc>
        <w:tc>
          <w:tcPr>
            <w:tcW w:w="1217" w:type="dxa"/>
            <w:tcBorders>
              <w:top w:val="single" w:sz="4" w:space="0" w:color="auto"/>
              <w:bottom w:val="single" w:sz="4" w:space="0" w:color="auto"/>
            </w:tcBorders>
            <w:vAlign w:val="center"/>
          </w:tcPr>
          <w:p w14:paraId="336E4DF2" w14:textId="77777777" w:rsidR="00B84CC7" w:rsidRPr="00C73427" w:rsidRDefault="00B84CC7" w:rsidP="00370613">
            <w:pPr>
              <w:jc w:val="center"/>
              <w:rPr>
                <w:b/>
                <w:color w:val="000000"/>
              </w:rPr>
            </w:pPr>
            <w:r w:rsidRPr="00C73427">
              <w:rPr>
                <w:b/>
                <w:color w:val="000000"/>
              </w:rPr>
              <w:t>p*</w:t>
            </w:r>
          </w:p>
        </w:tc>
      </w:tr>
      <w:tr w:rsidR="00B84CC7" w:rsidRPr="00C73427" w14:paraId="07F74FC7" w14:textId="77777777" w:rsidTr="00B84CC7">
        <w:trPr>
          <w:trHeight w:hRule="exact" w:val="531"/>
        </w:trPr>
        <w:tc>
          <w:tcPr>
            <w:tcW w:w="1417" w:type="dxa"/>
            <w:tcBorders>
              <w:top w:val="single" w:sz="4" w:space="0" w:color="auto"/>
              <w:bottom w:val="single" w:sz="4" w:space="0" w:color="auto"/>
            </w:tcBorders>
            <w:vAlign w:val="center"/>
          </w:tcPr>
          <w:p w14:paraId="0963E00E" w14:textId="77777777" w:rsidR="00B84CC7" w:rsidRPr="00C73427" w:rsidRDefault="00B84CC7" w:rsidP="00370613">
            <w:pPr>
              <w:ind w:right="-264"/>
              <w:rPr>
                <w:b/>
                <w:color w:val="000000"/>
              </w:rPr>
            </w:pPr>
            <w:r w:rsidRPr="00C73427">
              <w:rPr>
                <w:b/>
                <w:color w:val="000000"/>
              </w:rPr>
              <w:t>Gruplar arası</w:t>
            </w:r>
          </w:p>
        </w:tc>
        <w:tc>
          <w:tcPr>
            <w:tcW w:w="1225" w:type="dxa"/>
            <w:tcBorders>
              <w:top w:val="single" w:sz="4" w:space="0" w:color="auto"/>
              <w:bottom w:val="single" w:sz="4" w:space="0" w:color="auto"/>
            </w:tcBorders>
            <w:vAlign w:val="center"/>
          </w:tcPr>
          <w:p w14:paraId="57974104" w14:textId="77777777" w:rsidR="00B84CC7" w:rsidRPr="00C73427" w:rsidRDefault="00B84CC7" w:rsidP="00370613">
            <w:pPr>
              <w:jc w:val="center"/>
              <w:rPr>
                <w:color w:val="000000"/>
              </w:rPr>
            </w:pPr>
            <w:r w:rsidRPr="00C73427">
              <w:rPr>
                <w:color w:val="000000"/>
              </w:rPr>
              <w:t>1.733</w:t>
            </w:r>
          </w:p>
        </w:tc>
        <w:tc>
          <w:tcPr>
            <w:tcW w:w="1678" w:type="dxa"/>
            <w:gridSpan w:val="2"/>
            <w:tcBorders>
              <w:top w:val="single" w:sz="4" w:space="0" w:color="auto"/>
              <w:bottom w:val="single" w:sz="4" w:space="0" w:color="auto"/>
            </w:tcBorders>
            <w:vAlign w:val="center"/>
          </w:tcPr>
          <w:p w14:paraId="60A61EAD" w14:textId="77777777" w:rsidR="00B84CC7" w:rsidRPr="00C73427" w:rsidRDefault="00B84CC7" w:rsidP="00370613">
            <w:pPr>
              <w:jc w:val="center"/>
              <w:rPr>
                <w:color w:val="000000"/>
              </w:rPr>
            </w:pPr>
            <w:r w:rsidRPr="00C73427">
              <w:rPr>
                <w:color w:val="000000"/>
              </w:rPr>
              <w:t>3</w:t>
            </w:r>
          </w:p>
        </w:tc>
        <w:tc>
          <w:tcPr>
            <w:tcW w:w="1589" w:type="dxa"/>
            <w:tcBorders>
              <w:top w:val="single" w:sz="4" w:space="0" w:color="auto"/>
              <w:bottom w:val="single" w:sz="4" w:space="0" w:color="auto"/>
            </w:tcBorders>
            <w:vAlign w:val="center"/>
          </w:tcPr>
          <w:p w14:paraId="5FF3C616" w14:textId="77777777" w:rsidR="00B84CC7" w:rsidRPr="00C73427" w:rsidRDefault="00B84CC7" w:rsidP="00370613">
            <w:pPr>
              <w:jc w:val="center"/>
              <w:rPr>
                <w:color w:val="000000"/>
              </w:rPr>
            </w:pPr>
            <w:r w:rsidRPr="00C73427">
              <w:rPr>
                <w:color w:val="000000"/>
              </w:rPr>
              <w:t>0.578</w:t>
            </w:r>
          </w:p>
        </w:tc>
        <w:tc>
          <w:tcPr>
            <w:tcW w:w="850" w:type="dxa"/>
            <w:tcBorders>
              <w:top w:val="single" w:sz="4" w:space="0" w:color="auto"/>
              <w:bottom w:val="single" w:sz="4" w:space="0" w:color="auto"/>
            </w:tcBorders>
            <w:vAlign w:val="center"/>
          </w:tcPr>
          <w:p w14:paraId="260321C5" w14:textId="77777777" w:rsidR="00B84CC7" w:rsidRPr="00C73427" w:rsidRDefault="00B84CC7" w:rsidP="00370613">
            <w:pPr>
              <w:jc w:val="center"/>
              <w:rPr>
                <w:color w:val="000000"/>
              </w:rPr>
            </w:pPr>
            <w:r w:rsidRPr="00C73427">
              <w:rPr>
                <w:color w:val="000000"/>
              </w:rPr>
              <w:t>0.602</w:t>
            </w:r>
          </w:p>
        </w:tc>
        <w:tc>
          <w:tcPr>
            <w:tcW w:w="1217" w:type="dxa"/>
            <w:tcBorders>
              <w:top w:val="single" w:sz="4" w:space="0" w:color="auto"/>
              <w:bottom w:val="single" w:sz="4" w:space="0" w:color="auto"/>
            </w:tcBorders>
            <w:vAlign w:val="center"/>
          </w:tcPr>
          <w:p w14:paraId="61334BFF" w14:textId="77777777" w:rsidR="00B84CC7" w:rsidRPr="00C73427" w:rsidRDefault="00B84CC7" w:rsidP="00370613">
            <w:pPr>
              <w:jc w:val="center"/>
              <w:rPr>
                <w:color w:val="000000"/>
              </w:rPr>
            </w:pPr>
            <w:r w:rsidRPr="00C73427">
              <w:rPr>
                <w:color w:val="000000"/>
              </w:rPr>
              <w:t>.616</w:t>
            </w:r>
          </w:p>
        </w:tc>
      </w:tr>
      <w:tr w:rsidR="00B84CC7" w:rsidRPr="00C73427" w14:paraId="34457626" w14:textId="77777777" w:rsidTr="00B84CC7">
        <w:trPr>
          <w:trHeight w:hRule="exact" w:val="531"/>
        </w:trPr>
        <w:tc>
          <w:tcPr>
            <w:tcW w:w="1417" w:type="dxa"/>
            <w:tcBorders>
              <w:top w:val="single" w:sz="4" w:space="0" w:color="auto"/>
              <w:bottom w:val="single" w:sz="4" w:space="0" w:color="auto"/>
            </w:tcBorders>
            <w:vAlign w:val="center"/>
          </w:tcPr>
          <w:p w14:paraId="35BC4C7A" w14:textId="77777777" w:rsidR="00B84CC7" w:rsidRPr="00C73427" w:rsidRDefault="00B84CC7" w:rsidP="00370613">
            <w:pPr>
              <w:rPr>
                <w:b/>
                <w:color w:val="000000"/>
              </w:rPr>
            </w:pPr>
            <w:r w:rsidRPr="00C73427">
              <w:rPr>
                <w:b/>
                <w:color w:val="000000"/>
              </w:rPr>
              <w:t>Grup içi</w:t>
            </w:r>
          </w:p>
        </w:tc>
        <w:tc>
          <w:tcPr>
            <w:tcW w:w="1225" w:type="dxa"/>
            <w:tcBorders>
              <w:top w:val="single" w:sz="4" w:space="0" w:color="auto"/>
              <w:bottom w:val="single" w:sz="4" w:space="0" w:color="auto"/>
            </w:tcBorders>
            <w:vAlign w:val="center"/>
          </w:tcPr>
          <w:p w14:paraId="13CEAD3B" w14:textId="77777777" w:rsidR="00B84CC7" w:rsidRPr="00C73427" w:rsidRDefault="00B84CC7" w:rsidP="00370613">
            <w:pPr>
              <w:jc w:val="center"/>
              <w:rPr>
                <w:color w:val="000000"/>
              </w:rPr>
            </w:pPr>
            <w:r w:rsidRPr="00C73427">
              <w:rPr>
                <w:color w:val="000000"/>
              </w:rPr>
              <w:t>80.596</w:t>
            </w:r>
          </w:p>
        </w:tc>
        <w:tc>
          <w:tcPr>
            <w:tcW w:w="1678" w:type="dxa"/>
            <w:gridSpan w:val="2"/>
            <w:tcBorders>
              <w:top w:val="single" w:sz="4" w:space="0" w:color="auto"/>
              <w:bottom w:val="single" w:sz="4" w:space="0" w:color="auto"/>
            </w:tcBorders>
            <w:vAlign w:val="center"/>
          </w:tcPr>
          <w:p w14:paraId="7AD859CA" w14:textId="77777777" w:rsidR="00B84CC7" w:rsidRPr="00C73427" w:rsidRDefault="00B84CC7" w:rsidP="00370613">
            <w:pPr>
              <w:jc w:val="center"/>
              <w:rPr>
                <w:color w:val="000000"/>
              </w:rPr>
            </w:pPr>
            <w:r w:rsidRPr="00C73427">
              <w:rPr>
                <w:color w:val="000000"/>
              </w:rPr>
              <w:t>84</w:t>
            </w:r>
          </w:p>
        </w:tc>
        <w:tc>
          <w:tcPr>
            <w:tcW w:w="1589" w:type="dxa"/>
            <w:tcBorders>
              <w:top w:val="single" w:sz="4" w:space="0" w:color="auto"/>
              <w:bottom w:val="single" w:sz="4" w:space="0" w:color="auto"/>
            </w:tcBorders>
            <w:vAlign w:val="center"/>
          </w:tcPr>
          <w:p w14:paraId="58F9A4C6" w14:textId="77777777" w:rsidR="00B84CC7" w:rsidRPr="00C73427" w:rsidRDefault="00B84CC7" w:rsidP="00370613">
            <w:pPr>
              <w:jc w:val="center"/>
              <w:rPr>
                <w:color w:val="000000"/>
              </w:rPr>
            </w:pPr>
            <w:r w:rsidRPr="00C73427">
              <w:rPr>
                <w:color w:val="000000"/>
              </w:rPr>
              <w:t>0.959</w:t>
            </w:r>
          </w:p>
        </w:tc>
        <w:tc>
          <w:tcPr>
            <w:tcW w:w="850" w:type="dxa"/>
            <w:tcBorders>
              <w:top w:val="single" w:sz="4" w:space="0" w:color="auto"/>
              <w:bottom w:val="single" w:sz="4" w:space="0" w:color="auto"/>
            </w:tcBorders>
            <w:vAlign w:val="center"/>
          </w:tcPr>
          <w:p w14:paraId="7C332CA6" w14:textId="77777777" w:rsidR="00B84CC7" w:rsidRPr="00C73427" w:rsidRDefault="00B84CC7" w:rsidP="00370613">
            <w:pPr>
              <w:jc w:val="center"/>
              <w:rPr>
                <w:color w:val="000000"/>
              </w:rPr>
            </w:pPr>
          </w:p>
        </w:tc>
        <w:tc>
          <w:tcPr>
            <w:tcW w:w="1217" w:type="dxa"/>
            <w:tcBorders>
              <w:top w:val="single" w:sz="4" w:space="0" w:color="auto"/>
              <w:bottom w:val="single" w:sz="4" w:space="0" w:color="auto"/>
            </w:tcBorders>
            <w:vAlign w:val="center"/>
          </w:tcPr>
          <w:p w14:paraId="5244CBA6" w14:textId="77777777" w:rsidR="00B84CC7" w:rsidRPr="00C73427" w:rsidRDefault="00B84CC7" w:rsidP="00370613">
            <w:pPr>
              <w:jc w:val="center"/>
              <w:rPr>
                <w:color w:val="000000"/>
              </w:rPr>
            </w:pPr>
          </w:p>
        </w:tc>
      </w:tr>
      <w:tr w:rsidR="00B84CC7" w:rsidRPr="00C73427" w14:paraId="59128384" w14:textId="77777777" w:rsidTr="00B84CC7">
        <w:trPr>
          <w:trHeight w:hRule="exact" w:val="531"/>
        </w:trPr>
        <w:tc>
          <w:tcPr>
            <w:tcW w:w="1417" w:type="dxa"/>
            <w:tcBorders>
              <w:top w:val="single" w:sz="4" w:space="0" w:color="auto"/>
            </w:tcBorders>
            <w:vAlign w:val="center"/>
          </w:tcPr>
          <w:p w14:paraId="67D25749" w14:textId="77777777" w:rsidR="00B84CC7" w:rsidRPr="00C73427" w:rsidRDefault="00B84CC7" w:rsidP="00370613">
            <w:pPr>
              <w:rPr>
                <w:b/>
                <w:color w:val="000000"/>
              </w:rPr>
            </w:pPr>
            <w:r w:rsidRPr="00C73427">
              <w:rPr>
                <w:b/>
                <w:color w:val="000000"/>
              </w:rPr>
              <w:t>Toplam</w:t>
            </w:r>
          </w:p>
        </w:tc>
        <w:tc>
          <w:tcPr>
            <w:tcW w:w="1225" w:type="dxa"/>
            <w:tcBorders>
              <w:top w:val="single" w:sz="4" w:space="0" w:color="auto"/>
            </w:tcBorders>
            <w:vAlign w:val="center"/>
          </w:tcPr>
          <w:p w14:paraId="0B6B704D" w14:textId="77777777" w:rsidR="00B84CC7" w:rsidRPr="00C73427" w:rsidRDefault="00B84CC7" w:rsidP="00370613">
            <w:pPr>
              <w:jc w:val="center"/>
              <w:rPr>
                <w:color w:val="000000"/>
              </w:rPr>
            </w:pPr>
            <w:r w:rsidRPr="00C73427">
              <w:rPr>
                <w:color w:val="000000"/>
              </w:rPr>
              <w:t>82,329</w:t>
            </w:r>
          </w:p>
        </w:tc>
        <w:tc>
          <w:tcPr>
            <w:tcW w:w="1678" w:type="dxa"/>
            <w:gridSpan w:val="2"/>
            <w:tcBorders>
              <w:top w:val="single" w:sz="4" w:space="0" w:color="auto"/>
            </w:tcBorders>
            <w:vAlign w:val="center"/>
          </w:tcPr>
          <w:p w14:paraId="33BFF937" w14:textId="77777777" w:rsidR="00B84CC7" w:rsidRPr="00C73427" w:rsidRDefault="00B84CC7" w:rsidP="00370613">
            <w:pPr>
              <w:jc w:val="center"/>
              <w:rPr>
                <w:color w:val="000000"/>
              </w:rPr>
            </w:pPr>
            <w:r w:rsidRPr="00C73427">
              <w:rPr>
                <w:color w:val="000000"/>
              </w:rPr>
              <w:t>87</w:t>
            </w:r>
          </w:p>
        </w:tc>
        <w:tc>
          <w:tcPr>
            <w:tcW w:w="1589" w:type="dxa"/>
            <w:tcBorders>
              <w:top w:val="single" w:sz="4" w:space="0" w:color="auto"/>
            </w:tcBorders>
            <w:vAlign w:val="center"/>
          </w:tcPr>
          <w:p w14:paraId="66C87225" w14:textId="77777777" w:rsidR="00B84CC7" w:rsidRPr="00C73427" w:rsidRDefault="00B84CC7" w:rsidP="00370613">
            <w:pPr>
              <w:jc w:val="center"/>
              <w:rPr>
                <w:color w:val="000000"/>
              </w:rPr>
            </w:pPr>
          </w:p>
        </w:tc>
        <w:tc>
          <w:tcPr>
            <w:tcW w:w="850" w:type="dxa"/>
            <w:tcBorders>
              <w:top w:val="single" w:sz="4" w:space="0" w:color="auto"/>
            </w:tcBorders>
            <w:vAlign w:val="center"/>
          </w:tcPr>
          <w:p w14:paraId="32CFD401" w14:textId="77777777" w:rsidR="00B84CC7" w:rsidRPr="00C73427" w:rsidRDefault="00B84CC7" w:rsidP="00370613">
            <w:pPr>
              <w:jc w:val="center"/>
              <w:rPr>
                <w:color w:val="000000"/>
              </w:rPr>
            </w:pPr>
          </w:p>
        </w:tc>
        <w:tc>
          <w:tcPr>
            <w:tcW w:w="1217" w:type="dxa"/>
            <w:tcBorders>
              <w:top w:val="single" w:sz="4" w:space="0" w:color="auto"/>
            </w:tcBorders>
            <w:vAlign w:val="center"/>
          </w:tcPr>
          <w:p w14:paraId="6A04E6AE" w14:textId="77777777" w:rsidR="00B84CC7" w:rsidRPr="00C73427" w:rsidRDefault="00B84CC7" w:rsidP="00370613">
            <w:pPr>
              <w:jc w:val="center"/>
              <w:rPr>
                <w:color w:val="000000"/>
              </w:rPr>
            </w:pPr>
          </w:p>
        </w:tc>
      </w:tr>
    </w:tbl>
    <w:p w14:paraId="364C44C8" w14:textId="77777777" w:rsidR="00B84CC7" w:rsidRPr="00C73427" w:rsidRDefault="00B84CC7" w:rsidP="00B84CC7">
      <w:pPr>
        <w:spacing w:after="240"/>
        <w:ind w:firstLine="284"/>
        <w:rPr>
          <w:rFonts w:ascii="Times New Roman" w:hAnsi="Times New Roman"/>
        </w:rPr>
      </w:pPr>
      <w:r w:rsidRPr="00C73427">
        <w:rPr>
          <w:rFonts w:ascii="Times New Roman" w:hAnsi="Times New Roman"/>
        </w:rPr>
        <w:t>p*&lt;.05</w:t>
      </w:r>
    </w:p>
    <w:p w14:paraId="26F780BA" w14:textId="1DDF683B" w:rsidR="00B84CC7" w:rsidRDefault="00B84CC7" w:rsidP="00B84CC7">
      <w:pPr>
        <w:spacing w:before="120" w:line="360" w:lineRule="auto"/>
        <w:ind w:firstLine="709"/>
        <w:jc w:val="both"/>
        <w:rPr>
          <w:rFonts w:ascii="Times New Roman" w:hAnsi="Times New Roman"/>
          <w:sz w:val="24"/>
          <w:szCs w:val="24"/>
        </w:rPr>
      </w:pPr>
      <w:r w:rsidRPr="00C73427">
        <w:rPr>
          <w:rFonts w:ascii="Times New Roman" w:hAnsi="Times New Roman"/>
          <w:sz w:val="24"/>
          <w:szCs w:val="24"/>
        </w:rPr>
        <w:t xml:space="preserve">Uygulanan yöntemin başarı testinde yer alan dört farklı kategoriden hangisinin üzerinde daha etkili olduğunu belirlenmek için yapılan tek yönlü varyans analizi (one-way ANOVA) sonuçları uygulanan yöntemin alt kategorilerdeki başarıyı arttırma açısından gruplar arasında anlamlı bir farklılık göstermediğini ortaya koymuştur (p&gt;.05). Başka bir ifadeyle, elde edilen sonuçlar uygulanan argümantasyon temelli eğitim yönteminin </w:t>
      </w:r>
      <w:r w:rsidR="00160C0B">
        <w:rPr>
          <w:rFonts w:ascii="Times New Roman" w:hAnsi="Times New Roman"/>
          <w:sz w:val="24"/>
          <w:szCs w:val="24"/>
        </w:rPr>
        <w:t xml:space="preserve">basit işlemsel soruları içeren, temel bilgilerin kavranması, grafik soruları ve muhakeme sorularını içeren </w:t>
      </w:r>
      <w:r w:rsidR="00464BB1">
        <w:rPr>
          <w:rFonts w:ascii="Times New Roman" w:hAnsi="Times New Roman"/>
          <w:sz w:val="24"/>
          <w:szCs w:val="24"/>
        </w:rPr>
        <w:t>kategoriler olmak üzere</w:t>
      </w:r>
      <w:r w:rsidR="00160C0B">
        <w:rPr>
          <w:rFonts w:ascii="Times New Roman" w:hAnsi="Times New Roman"/>
          <w:sz w:val="24"/>
          <w:szCs w:val="24"/>
        </w:rPr>
        <w:t xml:space="preserve"> </w:t>
      </w:r>
      <w:r w:rsidRPr="00C73427">
        <w:rPr>
          <w:rFonts w:ascii="Times New Roman" w:hAnsi="Times New Roman"/>
          <w:sz w:val="24"/>
          <w:szCs w:val="24"/>
        </w:rPr>
        <w:t>her bir alt kategoride yer alan başarı türünü etkilemede aynı düzeyde etkiye sahip olduğu şeklinde yorumlanabilir.</w:t>
      </w:r>
    </w:p>
    <w:p w14:paraId="1EAE6592" w14:textId="7E1D014B" w:rsidR="009A2776" w:rsidRDefault="009A2776" w:rsidP="009A2776">
      <w:pPr>
        <w:spacing w:before="120" w:line="360" w:lineRule="auto"/>
        <w:jc w:val="both"/>
        <w:rPr>
          <w:rFonts w:ascii="Times New Roman" w:hAnsi="Times New Roman"/>
          <w:b/>
          <w:sz w:val="24"/>
          <w:szCs w:val="24"/>
        </w:rPr>
      </w:pPr>
      <w:r w:rsidRPr="009A2776">
        <w:rPr>
          <w:rFonts w:ascii="Times New Roman" w:hAnsi="Times New Roman"/>
          <w:b/>
          <w:sz w:val="24"/>
          <w:szCs w:val="24"/>
        </w:rPr>
        <w:t>Matematik Muhakeme Yaklaşımı Öğrenci Raporlarından Elde Edilen Bulgular:</w:t>
      </w:r>
    </w:p>
    <w:p w14:paraId="5DC18F62" w14:textId="67EFB6B4" w:rsidR="009A2776" w:rsidRDefault="009A2776" w:rsidP="009A2776">
      <w:pPr>
        <w:spacing w:before="12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Tablo 6’da</w:t>
      </w:r>
      <w:r w:rsidRPr="009A2776">
        <w:rPr>
          <w:rFonts w:ascii="Times New Roman" w:eastAsia="Calibri" w:hAnsi="Times New Roman" w:cs="Times New Roman"/>
          <w:sz w:val="24"/>
          <w:szCs w:val="24"/>
          <w:lang w:eastAsia="en-US"/>
        </w:rPr>
        <w:t xml:space="preserve"> fonksiyonlar konusu işlenirken öğrencilerden tartışma esnasında ve sonunda doldurmaları istenen MMY raporları toplam puanları ile FBT son testi toplam puanları arasındaki ilişki verilmiştir.</w:t>
      </w:r>
    </w:p>
    <w:p w14:paraId="3191BD14" w14:textId="43742570" w:rsidR="009A2776" w:rsidRDefault="009A2776" w:rsidP="009A2776">
      <w:pPr>
        <w:spacing w:before="120" w:line="360" w:lineRule="auto"/>
        <w:jc w:val="both"/>
        <w:rPr>
          <w:rFonts w:ascii="Times New Roman" w:eastAsia="Calibri" w:hAnsi="Times New Roman" w:cs="Times New Roman"/>
          <w:bCs/>
          <w:sz w:val="24"/>
          <w:szCs w:val="24"/>
          <w:lang w:eastAsia="en-US"/>
        </w:rPr>
      </w:pPr>
      <w:r w:rsidRPr="009A2776">
        <w:rPr>
          <w:rFonts w:ascii="Times New Roman" w:eastAsia="Calibri" w:hAnsi="Times New Roman" w:cs="Times New Roman"/>
          <w:b/>
          <w:sz w:val="24"/>
          <w:szCs w:val="24"/>
          <w:lang w:eastAsia="en-US"/>
        </w:rPr>
        <w:t xml:space="preserve">Tablo 6. </w:t>
      </w:r>
      <w:r>
        <w:rPr>
          <w:rFonts w:ascii="Times New Roman" w:eastAsia="Calibri" w:hAnsi="Times New Roman" w:cs="Times New Roman"/>
          <w:sz w:val="24"/>
          <w:szCs w:val="24"/>
          <w:lang w:eastAsia="en-US"/>
        </w:rPr>
        <w:t xml:space="preserve"> </w:t>
      </w:r>
      <w:bookmarkStart w:id="11" w:name="_Toc400882131"/>
      <w:r w:rsidRPr="009A2776">
        <w:rPr>
          <w:rFonts w:ascii="Times New Roman" w:eastAsia="Calibri" w:hAnsi="Times New Roman" w:cs="Times New Roman"/>
          <w:bCs/>
          <w:sz w:val="24"/>
          <w:szCs w:val="24"/>
          <w:lang w:eastAsia="en-US"/>
        </w:rPr>
        <w:t>MMY Puanları  ile FBT Son Test Puanları Korelasyon Sonuçları</w:t>
      </w:r>
      <w:bookmarkEnd w:id="11"/>
    </w:p>
    <w:tbl>
      <w:tblPr>
        <w:tblStyle w:val="TabloKlavuzu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08"/>
        <w:gridCol w:w="2853"/>
        <w:gridCol w:w="1701"/>
        <w:gridCol w:w="2271"/>
      </w:tblGrid>
      <w:tr w:rsidR="009A2776" w:rsidRPr="009A2776" w14:paraId="01E82F35" w14:textId="77777777" w:rsidTr="00955436">
        <w:trPr>
          <w:jc w:val="center"/>
        </w:trPr>
        <w:tc>
          <w:tcPr>
            <w:tcW w:w="4361" w:type="dxa"/>
            <w:gridSpan w:val="2"/>
          </w:tcPr>
          <w:p w14:paraId="10AA4EDD" w14:textId="77777777" w:rsidR="009A2776" w:rsidRPr="009A2776" w:rsidRDefault="009A2776" w:rsidP="009A2776">
            <w:pPr>
              <w:spacing w:line="360" w:lineRule="auto"/>
              <w:jc w:val="both"/>
              <w:rPr>
                <w:rFonts w:eastAsia="Calibri"/>
                <w:sz w:val="22"/>
                <w:szCs w:val="22"/>
                <w:lang w:eastAsia="en-US"/>
              </w:rPr>
            </w:pPr>
          </w:p>
        </w:tc>
        <w:tc>
          <w:tcPr>
            <w:tcW w:w="1701" w:type="dxa"/>
          </w:tcPr>
          <w:p w14:paraId="70A0376B" w14:textId="77777777" w:rsidR="009A2776" w:rsidRPr="009A2776" w:rsidRDefault="009A2776" w:rsidP="009A2776">
            <w:pPr>
              <w:spacing w:line="360" w:lineRule="auto"/>
              <w:jc w:val="center"/>
              <w:rPr>
                <w:rFonts w:eastAsia="Calibri"/>
                <w:b/>
                <w:sz w:val="22"/>
                <w:szCs w:val="22"/>
                <w:lang w:eastAsia="en-US"/>
              </w:rPr>
            </w:pPr>
            <w:r w:rsidRPr="009A2776">
              <w:rPr>
                <w:rFonts w:eastAsia="Calibri"/>
                <w:b/>
                <w:sz w:val="22"/>
                <w:szCs w:val="22"/>
                <w:lang w:eastAsia="en-US"/>
              </w:rPr>
              <w:t>MMY.rapor</w:t>
            </w:r>
          </w:p>
        </w:tc>
        <w:tc>
          <w:tcPr>
            <w:tcW w:w="2271" w:type="dxa"/>
          </w:tcPr>
          <w:p w14:paraId="4D7AFA7B" w14:textId="77777777" w:rsidR="009A2776" w:rsidRPr="009A2776" w:rsidRDefault="009A2776" w:rsidP="009A2776">
            <w:pPr>
              <w:spacing w:line="360" w:lineRule="auto"/>
              <w:ind w:left="168"/>
              <w:jc w:val="center"/>
              <w:rPr>
                <w:rFonts w:eastAsia="Calibri"/>
                <w:b/>
                <w:sz w:val="22"/>
                <w:szCs w:val="22"/>
                <w:lang w:eastAsia="en-US"/>
              </w:rPr>
            </w:pPr>
            <w:r w:rsidRPr="009A2776">
              <w:rPr>
                <w:rFonts w:eastAsia="Calibri"/>
                <w:b/>
                <w:sz w:val="22"/>
                <w:szCs w:val="22"/>
                <w:lang w:eastAsia="en-US"/>
              </w:rPr>
              <w:t>FBT</w:t>
            </w:r>
          </w:p>
        </w:tc>
      </w:tr>
      <w:tr w:rsidR="009A2776" w:rsidRPr="009A2776" w14:paraId="07E7F14E" w14:textId="77777777" w:rsidTr="00955436">
        <w:trPr>
          <w:jc w:val="center"/>
        </w:trPr>
        <w:tc>
          <w:tcPr>
            <w:tcW w:w="1508" w:type="dxa"/>
          </w:tcPr>
          <w:p w14:paraId="4367B4A8" w14:textId="77777777" w:rsidR="009A2776" w:rsidRPr="009A2776" w:rsidRDefault="009A2776" w:rsidP="009A2776">
            <w:pPr>
              <w:spacing w:line="276" w:lineRule="auto"/>
              <w:jc w:val="both"/>
              <w:rPr>
                <w:rFonts w:eastAsia="Calibri"/>
                <w:b/>
                <w:sz w:val="22"/>
                <w:szCs w:val="22"/>
                <w:lang w:eastAsia="en-US"/>
              </w:rPr>
            </w:pPr>
            <w:r w:rsidRPr="009A2776">
              <w:rPr>
                <w:rFonts w:eastAsia="Calibri"/>
                <w:b/>
                <w:sz w:val="22"/>
                <w:szCs w:val="22"/>
                <w:lang w:eastAsia="en-US"/>
              </w:rPr>
              <w:t>MMY.rapor</w:t>
            </w:r>
          </w:p>
          <w:p w14:paraId="7C8A77E8" w14:textId="77777777" w:rsidR="009A2776" w:rsidRPr="009A2776" w:rsidRDefault="009A2776" w:rsidP="009A2776">
            <w:pPr>
              <w:spacing w:line="276" w:lineRule="auto"/>
              <w:jc w:val="center"/>
              <w:rPr>
                <w:rFonts w:eastAsiaTheme="minorEastAsia"/>
                <w:b/>
                <w:sz w:val="22"/>
                <w:szCs w:val="22"/>
                <w:lang w:eastAsia="zh-CN"/>
              </w:rPr>
            </w:pPr>
          </w:p>
          <w:p w14:paraId="6726FF2F" w14:textId="77777777" w:rsidR="009A2776" w:rsidRPr="009A2776" w:rsidRDefault="009A2776" w:rsidP="009A2776">
            <w:pPr>
              <w:spacing w:line="276" w:lineRule="auto"/>
              <w:jc w:val="center"/>
              <w:rPr>
                <w:rFonts w:eastAsia="Calibri"/>
                <w:b/>
                <w:sz w:val="22"/>
                <w:szCs w:val="22"/>
                <w:lang w:eastAsia="en-US"/>
              </w:rPr>
            </w:pPr>
          </w:p>
        </w:tc>
        <w:tc>
          <w:tcPr>
            <w:tcW w:w="2853" w:type="dxa"/>
          </w:tcPr>
          <w:p w14:paraId="5E188A4F" w14:textId="77777777" w:rsidR="009A2776" w:rsidRPr="009A2776" w:rsidRDefault="009A2776" w:rsidP="009A2776">
            <w:pPr>
              <w:spacing w:line="276" w:lineRule="auto"/>
              <w:ind w:left="142"/>
              <w:rPr>
                <w:rFonts w:eastAsia="Calibri"/>
                <w:sz w:val="22"/>
                <w:szCs w:val="22"/>
                <w:lang w:eastAsia="en-US"/>
              </w:rPr>
            </w:pPr>
            <w:r w:rsidRPr="009A2776">
              <w:rPr>
                <w:rFonts w:eastAsiaTheme="minorEastAsia"/>
                <w:sz w:val="22"/>
                <w:szCs w:val="22"/>
                <w:lang w:eastAsia="zh-CN"/>
              </w:rPr>
              <w:t>Pearson Korelasyon(r)</w:t>
            </w:r>
          </w:p>
          <w:p w14:paraId="6E7EE98A" w14:textId="77777777" w:rsidR="009A2776" w:rsidRPr="009A2776" w:rsidRDefault="009A2776" w:rsidP="009A2776">
            <w:pPr>
              <w:spacing w:line="276" w:lineRule="auto"/>
              <w:ind w:left="142"/>
              <w:rPr>
                <w:rFonts w:eastAsia="Calibri"/>
                <w:sz w:val="22"/>
                <w:szCs w:val="22"/>
                <w:lang w:eastAsia="en-US"/>
              </w:rPr>
            </w:pPr>
            <w:r w:rsidRPr="009A2776">
              <w:rPr>
                <w:rFonts w:eastAsiaTheme="minorEastAsia"/>
                <w:sz w:val="22"/>
                <w:szCs w:val="22"/>
                <w:lang w:eastAsia="zh-CN"/>
              </w:rPr>
              <w:t>Sig.(2-tailed)</w:t>
            </w:r>
          </w:p>
          <w:p w14:paraId="15D2421B" w14:textId="77777777" w:rsidR="009A2776" w:rsidRPr="009A2776" w:rsidRDefault="009A2776" w:rsidP="009A2776">
            <w:pPr>
              <w:spacing w:line="276" w:lineRule="auto"/>
              <w:ind w:left="142"/>
              <w:rPr>
                <w:rFonts w:eastAsia="Calibri"/>
                <w:sz w:val="22"/>
                <w:szCs w:val="22"/>
                <w:lang w:eastAsia="en-US"/>
              </w:rPr>
            </w:pPr>
            <w:r w:rsidRPr="009A2776">
              <w:rPr>
                <w:rFonts w:eastAsia="Calibri"/>
                <w:sz w:val="22"/>
                <w:szCs w:val="22"/>
                <w:lang w:eastAsia="en-US"/>
              </w:rPr>
              <w:t>N</w:t>
            </w:r>
          </w:p>
        </w:tc>
        <w:tc>
          <w:tcPr>
            <w:tcW w:w="1701" w:type="dxa"/>
          </w:tcPr>
          <w:p w14:paraId="3E3EB9BC" w14:textId="77777777" w:rsidR="009A2776" w:rsidRPr="009A2776" w:rsidRDefault="009A2776" w:rsidP="009A2776">
            <w:pPr>
              <w:spacing w:line="276" w:lineRule="auto"/>
              <w:ind w:right="743"/>
              <w:jc w:val="right"/>
              <w:rPr>
                <w:rFonts w:eastAsia="Calibri"/>
                <w:sz w:val="22"/>
                <w:szCs w:val="22"/>
                <w:lang w:eastAsia="en-US"/>
              </w:rPr>
            </w:pPr>
            <w:r w:rsidRPr="009A2776">
              <w:rPr>
                <w:rFonts w:eastAsia="Calibri"/>
                <w:sz w:val="22"/>
                <w:szCs w:val="22"/>
                <w:lang w:eastAsia="en-US"/>
              </w:rPr>
              <w:t>1</w:t>
            </w:r>
          </w:p>
          <w:p w14:paraId="0768366B" w14:textId="77777777" w:rsidR="009A2776" w:rsidRPr="009A2776" w:rsidRDefault="009A2776" w:rsidP="009A2776">
            <w:pPr>
              <w:spacing w:line="276" w:lineRule="auto"/>
              <w:ind w:right="743"/>
              <w:jc w:val="right"/>
              <w:rPr>
                <w:rFonts w:eastAsia="Calibri"/>
                <w:sz w:val="22"/>
                <w:szCs w:val="22"/>
                <w:lang w:eastAsia="en-US"/>
              </w:rPr>
            </w:pPr>
          </w:p>
          <w:p w14:paraId="43FC6789" w14:textId="77777777" w:rsidR="009A2776" w:rsidRPr="009A2776" w:rsidRDefault="009A2776" w:rsidP="009A2776">
            <w:pPr>
              <w:spacing w:line="276" w:lineRule="auto"/>
              <w:ind w:right="743"/>
              <w:jc w:val="right"/>
              <w:rPr>
                <w:rFonts w:eastAsia="Calibri"/>
                <w:sz w:val="22"/>
                <w:szCs w:val="22"/>
                <w:lang w:eastAsia="en-US"/>
              </w:rPr>
            </w:pPr>
            <w:r w:rsidRPr="009A2776">
              <w:rPr>
                <w:rFonts w:eastAsia="Calibri"/>
                <w:sz w:val="22"/>
                <w:szCs w:val="22"/>
                <w:lang w:eastAsia="en-US"/>
              </w:rPr>
              <w:t>22</w:t>
            </w:r>
          </w:p>
        </w:tc>
        <w:tc>
          <w:tcPr>
            <w:tcW w:w="2271" w:type="dxa"/>
          </w:tcPr>
          <w:p w14:paraId="451CC33E" w14:textId="77777777" w:rsidR="009A2776" w:rsidRPr="009A2776" w:rsidRDefault="009A2776" w:rsidP="009A2776">
            <w:pPr>
              <w:tabs>
                <w:tab w:val="left" w:pos="1309"/>
              </w:tabs>
              <w:spacing w:line="276" w:lineRule="auto"/>
              <w:ind w:right="746"/>
              <w:jc w:val="right"/>
              <w:rPr>
                <w:rFonts w:eastAsia="Calibri"/>
                <w:sz w:val="22"/>
                <w:szCs w:val="22"/>
                <w:vertAlign w:val="superscript"/>
                <w:lang w:eastAsia="en-US"/>
              </w:rPr>
            </w:pPr>
            <w:r w:rsidRPr="009A2776">
              <w:rPr>
                <w:rFonts w:eastAsia="Calibri"/>
                <w:sz w:val="22"/>
                <w:szCs w:val="22"/>
                <w:lang w:eastAsia="en-US"/>
              </w:rPr>
              <w:t>.614</w:t>
            </w:r>
          </w:p>
          <w:p w14:paraId="7B7AFE82" w14:textId="77777777" w:rsidR="009A2776" w:rsidRPr="009A2776" w:rsidRDefault="009A2776" w:rsidP="009A2776">
            <w:pPr>
              <w:tabs>
                <w:tab w:val="left" w:pos="1309"/>
              </w:tabs>
              <w:spacing w:line="276" w:lineRule="auto"/>
              <w:ind w:right="746"/>
              <w:jc w:val="right"/>
              <w:rPr>
                <w:rFonts w:eastAsia="Calibri"/>
                <w:sz w:val="22"/>
                <w:szCs w:val="22"/>
                <w:lang w:eastAsia="en-US"/>
              </w:rPr>
            </w:pPr>
            <w:r w:rsidRPr="009A2776">
              <w:rPr>
                <w:rFonts w:eastAsia="Calibri"/>
                <w:sz w:val="22"/>
                <w:szCs w:val="22"/>
                <w:lang w:eastAsia="en-US"/>
              </w:rPr>
              <w:t>.002</w:t>
            </w:r>
            <w:r w:rsidRPr="009A2776">
              <w:rPr>
                <w:rFonts w:eastAsia="Calibri"/>
                <w:sz w:val="22"/>
                <w:szCs w:val="22"/>
                <w:vertAlign w:val="superscript"/>
                <w:lang w:eastAsia="en-US"/>
              </w:rPr>
              <w:t>**</w:t>
            </w:r>
          </w:p>
          <w:p w14:paraId="3882AB07" w14:textId="77777777" w:rsidR="009A2776" w:rsidRPr="009A2776" w:rsidRDefault="009A2776" w:rsidP="009A2776">
            <w:pPr>
              <w:tabs>
                <w:tab w:val="left" w:pos="1309"/>
              </w:tabs>
              <w:spacing w:line="276" w:lineRule="auto"/>
              <w:ind w:right="746"/>
              <w:jc w:val="right"/>
              <w:rPr>
                <w:rFonts w:eastAsia="Calibri"/>
                <w:sz w:val="22"/>
                <w:szCs w:val="22"/>
                <w:lang w:eastAsia="en-US"/>
              </w:rPr>
            </w:pPr>
            <w:r w:rsidRPr="009A2776">
              <w:rPr>
                <w:rFonts w:eastAsia="Calibri"/>
                <w:sz w:val="22"/>
                <w:szCs w:val="22"/>
                <w:lang w:eastAsia="en-US"/>
              </w:rPr>
              <w:t>22</w:t>
            </w:r>
          </w:p>
        </w:tc>
      </w:tr>
      <w:tr w:rsidR="009A2776" w:rsidRPr="009A2776" w14:paraId="7A5996E8" w14:textId="77777777" w:rsidTr="00955436">
        <w:trPr>
          <w:jc w:val="center"/>
        </w:trPr>
        <w:tc>
          <w:tcPr>
            <w:tcW w:w="1508" w:type="dxa"/>
          </w:tcPr>
          <w:p w14:paraId="6820F4EE" w14:textId="77777777" w:rsidR="009A2776" w:rsidRPr="009A2776" w:rsidRDefault="009A2776" w:rsidP="009A2776">
            <w:pPr>
              <w:spacing w:line="276" w:lineRule="auto"/>
              <w:jc w:val="both"/>
              <w:rPr>
                <w:rFonts w:eastAsia="Calibri"/>
                <w:b/>
                <w:sz w:val="22"/>
                <w:szCs w:val="22"/>
                <w:lang w:eastAsia="en-US"/>
              </w:rPr>
            </w:pPr>
            <w:r w:rsidRPr="009A2776">
              <w:rPr>
                <w:rFonts w:eastAsia="Calibri"/>
                <w:b/>
                <w:sz w:val="22"/>
                <w:szCs w:val="22"/>
                <w:lang w:eastAsia="en-US"/>
              </w:rPr>
              <w:t>FBT</w:t>
            </w:r>
          </w:p>
          <w:p w14:paraId="5361461F" w14:textId="77777777" w:rsidR="009A2776" w:rsidRPr="009A2776" w:rsidRDefault="009A2776" w:rsidP="009A2776">
            <w:pPr>
              <w:spacing w:line="276" w:lineRule="auto"/>
              <w:jc w:val="center"/>
              <w:rPr>
                <w:rFonts w:eastAsiaTheme="minorEastAsia"/>
                <w:b/>
                <w:sz w:val="22"/>
                <w:szCs w:val="22"/>
                <w:lang w:eastAsia="zh-CN"/>
              </w:rPr>
            </w:pPr>
          </w:p>
          <w:p w14:paraId="55CBF02C" w14:textId="77777777" w:rsidR="009A2776" w:rsidRPr="009A2776" w:rsidRDefault="009A2776" w:rsidP="009A2776">
            <w:pPr>
              <w:tabs>
                <w:tab w:val="center" w:pos="1860"/>
              </w:tabs>
              <w:spacing w:line="276" w:lineRule="auto"/>
              <w:jc w:val="center"/>
              <w:rPr>
                <w:rFonts w:eastAsia="Calibri"/>
                <w:b/>
                <w:sz w:val="22"/>
                <w:szCs w:val="22"/>
                <w:lang w:eastAsia="en-US"/>
              </w:rPr>
            </w:pPr>
          </w:p>
        </w:tc>
        <w:tc>
          <w:tcPr>
            <w:tcW w:w="2853" w:type="dxa"/>
          </w:tcPr>
          <w:p w14:paraId="0BC9AAD1" w14:textId="77777777" w:rsidR="009A2776" w:rsidRPr="009A2776" w:rsidRDefault="009A2776" w:rsidP="009A2776">
            <w:pPr>
              <w:spacing w:line="276" w:lineRule="auto"/>
              <w:ind w:left="142"/>
              <w:rPr>
                <w:rFonts w:eastAsia="Calibri"/>
                <w:sz w:val="22"/>
                <w:szCs w:val="22"/>
                <w:lang w:eastAsia="en-US"/>
              </w:rPr>
            </w:pPr>
            <w:r w:rsidRPr="009A2776">
              <w:rPr>
                <w:rFonts w:eastAsiaTheme="minorEastAsia"/>
                <w:sz w:val="22"/>
                <w:szCs w:val="22"/>
                <w:lang w:eastAsia="zh-CN"/>
              </w:rPr>
              <w:t>Pearson Korelasyon(r)</w:t>
            </w:r>
          </w:p>
          <w:p w14:paraId="52AADDCE" w14:textId="77777777" w:rsidR="009A2776" w:rsidRPr="009A2776" w:rsidRDefault="009A2776" w:rsidP="009A2776">
            <w:pPr>
              <w:spacing w:line="276" w:lineRule="auto"/>
              <w:ind w:left="142"/>
              <w:rPr>
                <w:rFonts w:eastAsia="Calibri"/>
                <w:sz w:val="22"/>
                <w:szCs w:val="22"/>
                <w:lang w:eastAsia="en-US"/>
              </w:rPr>
            </w:pPr>
            <w:r w:rsidRPr="009A2776">
              <w:rPr>
                <w:rFonts w:eastAsiaTheme="minorEastAsia"/>
                <w:sz w:val="22"/>
                <w:szCs w:val="22"/>
                <w:lang w:eastAsia="zh-CN"/>
              </w:rPr>
              <w:t>Sig.(2-tailed)</w:t>
            </w:r>
          </w:p>
          <w:p w14:paraId="000C056D" w14:textId="77777777" w:rsidR="009A2776" w:rsidRPr="009A2776" w:rsidRDefault="009A2776" w:rsidP="009A2776">
            <w:pPr>
              <w:tabs>
                <w:tab w:val="center" w:pos="1860"/>
              </w:tabs>
              <w:spacing w:line="276" w:lineRule="auto"/>
              <w:ind w:left="142"/>
              <w:rPr>
                <w:rFonts w:eastAsia="Calibri"/>
                <w:sz w:val="22"/>
                <w:szCs w:val="22"/>
                <w:lang w:eastAsia="en-US"/>
              </w:rPr>
            </w:pPr>
            <w:r w:rsidRPr="009A2776">
              <w:rPr>
                <w:rFonts w:eastAsia="Calibri"/>
                <w:sz w:val="22"/>
                <w:szCs w:val="22"/>
                <w:lang w:eastAsia="en-US"/>
              </w:rPr>
              <w:t>N</w:t>
            </w:r>
          </w:p>
        </w:tc>
        <w:tc>
          <w:tcPr>
            <w:tcW w:w="1701" w:type="dxa"/>
          </w:tcPr>
          <w:p w14:paraId="6838D50D" w14:textId="77777777" w:rsidR="009A2776" w:rsidRPr="009A2776" w:rsidRDefault="009A2776" w:rsidP="009A2776">
            <w:pPr>
              <w:spacing w:line="276" w:lineRule="auto"/>
              <w:ind w:right="743"/>
              <w:jc w:val="right"/>
              <w:rPr>
                <w:rFonts w:eastAsia="Calibri"/>
                <w:sz w:val="22"/>
                <w:szCs w:val="22"/>
                <w:vertAlign w:val="superscript"/>
                <w:lang w:eastAsia="en-US"/>
              </w:rPr>
            </w:pPr>
            <w:r w:rsidRPr="009A2776">
              <w:rPr>
                <w:rFonts w:eastAsia="Calibri"/>
                <w:sz w:val="22"/>
                <w:szCs w:val="22"/>
                <w:lang w:eastAsia="en-US"/>
              </w:rPr>
              <w:t>.614</w:t>
            </w:r>
          </w:p>
          <w:p w14:paraId="6752453D" w14:textId="77777777" w:rsidR="009A2776" w:rsidRPr="009A2776" w:rsidRDefault="009A2776" w:rsidP="009A2776">
            <w:pPr>
              <w:spacing w:line="276" w:lineRule="auto"/>
              <w:ind w:right="743"/>
              <w:jc w:val="right"/>
              <w:rPr>
                <w:rFonts w:eastAsia="Calibri"/>
                <w:sz w:val="22"/>
                <w:szCs w:val="22"/>
                <w:lang w:eastAsia="en-US"/>
              </w:rPr>
            </w:pPr>
            <w:r w:rsidRPr="009A2776">
              <w:rPr>
                <w:rFonts w:eastAsia="Calibri"/>
                <w:sz w:val="22"/>
                <w:szCs w:val="22"/>
                <w:lang w:eastAsia="en-US"/>
              </w:rPr>
              <w:t>.002</w:t>
            </w:r>
            <w:r w:rsidRPr="009A2776">
              <w:rPr>
                <w:rFonts w:eastAsia="Calibri"/>
                <w:sz w:val="22"/>
                <w:szCs w:val="22"/>
                <w:vertAlign w:val="superscript"/>
                <w:lang w:eastAsia="en-US"/>
              </w:rPr>
              <w:t>**</w:t>
            </w:r>
          </w:p>
          <w:p w14:paraId="5A3723C1" w14:textId="77777777" w:rsidR="009A2776" w:rsidRPr="009A2776" w:rsidRDefault="009A2776" w:rsidP="009A2776">
            <w:pPr>
              <w:spacing w:line="276" w:lineRule="auto"/>
              <w:ind w:right="743"/>
              <w:jc w:val="right"/>
              <w:rPr>
                <w:rFonts w:eastAsia="Calibri"/>
                <w:sz w:val="22"/>
                <w:szCs w:val="22"/>
                <w:lang w:eastAsia="en-US"/>
              </w:rPr>
            </w:pPr>
            <w:r w:rsidRPr="009A2776">
              <w:rPr>
                <w:rFonts w:eastAsia="Calibri"/>
                <w:sz w:val="22"/>
                <w:szCs w:val="22"/>
                <w:lang w:eastAsia="en-US"/>
              </w:rPr>
              <w:t>22</w:t>
            </w:r>
          </w:p>
        </w:tc>
        <w:tc>
          <w:tcPr>
            <w:tcW w:w="2271" w:type="dxa"/>
          </w:tcPr>
          <w:p w14:paraId="106380DA" w14:textId="77777777" w:rsidR="009A2776" w:rsidRPr="009A2776" w:rsidRDefault="009A2776" w:rsidP="009A2776">
            <w:pPr>
              <w:tabs>
                <w:tab w:val="left" w:pos="1309"/>
              </w:tabs>
              <w:spacing w:line="276" w:lineRule="auto"/>
              <w:ind w:right="746"/>
              <w:jc w:val="right"/>
              <w:rPr>
                <w:rFonts w:eastAsia="Calibri"/>
                <w:sz w:val="22"/>
                <w:szCs w:val="22"/>
                <w:lang w:eastAsia="en-US"/>
              </w:rPr>
            </w:pPr>
            <w:r w:rsidRPr="009A2776">
              <w:rPr>
                <w:rFonts w:eastAsia="Calibri"/>
                <w:sz w:val="22"/>
                <w:szCs w:val="22"/>
                <w:lang w:eastAsia="en-US"/>
              </w:rPr>
              <w:t>1</w:t>
            </w:r>
          </w:p>
          <w:p w14:paraId="5452E796" w14:textId="77777777" w:rsidR="009A2776" w:rsidRPr="009A2776" w:rsidRDefault="009A2776" w:rsidP="009A2776">
            <w:pPr>
              <w:tabs>
                <w:tab w:val="left" w:pos="1309"/>
              </w:tabs>
              <w:spacing w:line="276" w:lineRule="auto"/>
              <w:ind w:right="746"/>
              <w:jc w:val="right"/>
              <w:rPr>
                <w:rFonts w:eastAsia="Calibri"/>
                <w:sz w:val="22"/>
                <w:szCs w:val="22"/>
                <w:lang w:eastAsia="en-US"/>
              </w:rPr>
            </w:pPr>
          </w:p>
          <w:p w14:paraId="0B8B4EC5" w14:textId="77777777" w:rsidR="009A2776" w:rsidRPr="009A2776" w:rsidRDefault="009A2776" w:rsidP="009A2776">
            <w:pPr>
              <w:tabs>
                <w:tab w:val="left" w:pos="1309"/>
              </w:tabs>
              <w:spacing w:line="276" w:lineRule="auto"/>
              <w:ind w:right="746"/>
              <w:jc w:val="right"/>
              <w:rPr>
                <w:rFonts w:eastAsia="Calibri"/>
                <w:sz w:val="22"/>
                <w:szCs w:val="22"/>
                <w:lang w:eastAsia="en-US"/>
              </w:rPr>
            </w:pPr>
            <w:r w:rsidRPr="009A2776">
              <w:rPr>
                <w:rFonts w:eastAsia="Calibri"/>
                <w:sz w:val="22"/>
                <w:szCs w:val="22"/>
                <w:lang w:eastAsia="en-US"/>
              </w:rPr>
              <w:t>22</w:t>
            </w:r>
          </w:p>
        </w:tc>
      </w:tr>
    </w:tbl>
    <w:p w14:paraId="211E4351" w14:textId="77777777" w:rsidR="009A2776" w:rsidRPr="009A2776" w:rsidRDefault="009A2776" w:rsidP="009A2776">
      <w:pPr>
        <w:autoSpaceDE w:val="0"/>
        <w:autoSpaceDN w:val="0"/>
        <w:adjustRightInd w:val="0"/>
        <w:spacing w:before="120" w:line="360" w:lineRule="auto"/>
        <w:ind w:firstLine="709"/>
        <w:jc w:val="both"/>
        <w:rPr>
          <w:rFonts w:ascii="Times New Roman" w:hAnsi="Times New Roman" w:cs="Times New Roman"/>
          <w:sz w:val="24"/>
          <w:szCs w:val="24"/>
          <w:lang w:eastAsia="zh-CN"/>
        </w:rPr>
      </w:pPr>
      <w:r w:rsidRPr="009A2776">
        <w:rPr>
          <w:rFonts w:ascii="Times New Roman" w:hAnsi="Times New Roman" w:cs="Times New Roman"/>
          <w:sz w:val="24"/>
          <w:szCs w:val="24"/>
          <w:lang w:eastAsia="zh-CN"/>
        </w:rPr>
        <w:t xml:space="preserve">Öğrencilerin fonksiyonlar konusunda MMY raporlarından aldıkları toplam puanları ile fonksiyonlar konusu son test toplam puanları arasında pearson korelasyonuna bakılmıştır. </w:t>
      </w:r>
      <w:r w:rsidRPr="009A2776">
        <w:rPr>
          <w:rFonts w:ascii="Times New Roman" w:hAnsi="Times New Roman" w:cs="Times New Roman"/>
          <w:sz w:val="24"/>
          <w:szCs w:val="24"/>
          <w:lang w:eastAsia="zh-CN"/>
        </w:rPr>
        <w:lastRenderedPageBreak/>
        <w:t>Korelasyon sonuçları Tablo 4.5’te verilmiştir. Korelasyon katsayısının 0.700-1.000 arasında olması, yüksek; 0.700- 0.300 arasında olması, orta; 0.300- 0.000 arasında olması düşük düzeyde bir ilişki olduğu şeklinde tanımlanır (Büyüköztürk, 2004). Bulgular MMY raporları ile fonksiyon son test toplam puan arasında olumlu, orta düzeyde ve anlamlı bir ilişki olduğunu göstermektedir (r=.614, p&lt; .05). Bir başka deyişle, öğrencilerin tamamlamış oldukları MMY raporları; fonksiyon son testinin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r</m:t>
            </m:r>
          </m:e>
          <m:sup>
            <m:r>
              <w:rPr>
                <w:rFonts w:ascii="Cambria Math" w:hAnsi="Cambria Math" w:cs="Times New Roman"/>
                <w:sz w:val="24"/>
                <w:szCs w:val="24"/>
                <w:lang w:eastAsia="zh-CN"/>
              </w:rPr>
              <m:t>2</m:t>
            </m:r>
          </m:sup>
        </m:sSup>
        <m:r>
          <w:rPr>
            <w:rFonts w:ascii="Cambria Math" w:hAnsi="Cambria Math" w:cs="Times New Roman"/>
            <w:sz w:val="24"/>
            <w:szCs w:val="24"/>
            <w:lang w:eastAsia="zh-CN"/>
          </w:rPr>
          <m:t>=0,37)</m:t>
        </m:r>
      </m:oMath>
      <w:r w:rsidRPr="009A2776">
        <w:rPr>
          <w:rFonts w:ascii="Times New Roman" w:hAnsi="Times New Roman" w:cs="Times New Roman"/>
          <w:sz w:val="24"/>
          <w:szCs w:val="24"/>
          <w:lang w:eastAsia="zh-CN"/>
        </w:rPr>
        <w:t xml:space="preserve"> % 37 sini açıklamaktadır.</w:t>
      </w:r>
    </w:p>
    <w:p w14:paraId="59CD1147" w14:textId="77777777" w:rsidR="009A2776" w:rsidRPr="009A2776" w:rsidRDefault="009A2776" w:rsidP="009A2776">
      <w:pPr>
        <w:spacing w:before="120" w:line="360" w:lineRule="auto"/>
        <w:jc w:val="both"/>
        <w:rPr>
          <w:rFonts w:ascii="Times New Roman" w:eastAsia="Calibri" w:hAnsi="Times New Roman" w:cs="Times New Roman"/>
          <w:bCs/>
          <w:sz w:val="24"/>
          <w:szCs w:val="24"/>
          <w:lang w:eastAsia="en-US"/>
        </w:rPr>
      </w:pPr>
    </w:p>
    <w:p w14:paraId="72410E99" w14:textId="3216A31B" w:rsidR="009A2776" w:rsidRPr="009A2776" w:rsidRDefault="009A2776" w:rsidP="009A2776">
      <w:pPr>
        <w:spacing w:before="120" w:line="360" w:lineRule="auto"/>
        <w:jc w:val="both"/>
        <w:rPr>
          <w:rFonts w:ascii="Times New Roman" w:eastAsia="Calibri" w:hAnsi="Times New Roman" w:cs="Times New Roman"/>
          <w:sz w:val="24"/>
          <w:szCs w:val="24"/>
          <w:lang w:eastAsia="en-US"/>
        </w:rPr>
      </w:pPr>
    </w:p>
    <w:p w14:paraId="39C79BCC" w14:textId="77777777" w:rsidR="009A2776" w:rsidRPr="009A2776" w:rsidRDefault="009A2776" w:rsidP="009A2776">
      <w:pPr>
        <w:spacing w:before="120" w:line="360" w:lineRule="auto"/>
        <w:ind w:firstLine="851"/>
        <w:jc w:val="both"/>
        <w:rPr>
          <w:rFonts w:ascii="Times New Roman" w:hAnsi="Times New Roman"/>
          <w:sz w:val="24"/>
          <w:szCs w:val="24"/>
        </w:rPr>
      </w:pPr>
    </w:p>
    <w:p w14:paraId="293D39F3" w14:textId="77777777" w:rsidR="00BF1F87" w:rsidRPr="00BF1F87" w:rsidRDefault="00BF1F87" w:rsidP="00BF1F87">
      <w:pPr>
        <w:spacing w:after="0" w:line="360" w:lineRule="auto"/>
        <w:jc w:val="center"/>
        <w:rPr>
          <w:rFonts w:ascii="Times New Roman" w:eastAsia="Times New Roman" w:hAnsi="Times New Roman" w:cs="Times New Roman"/>
          <w:b/>
          <w:sz w:val="24"/>
          <w:szCs w:val="24"/>
        </w:rPr>
      </w:pPr>
      <w:r w:rsidRPr="00BF1F87">
        <w:rPr>
          <w:rFonts w:ascii="Times New Roman" w:eastAsia="Times New Roman" w:hAnsi="Times New Roman" w:cs="Times New Roman"/>
          <w:b/>
          <w:sz w:val="24"/>
          <w:szCs w:val="24"/>
        </w:rPr>
        <w:t>Sonuç ve Tartışma</w:t>
      </w:r>
    </w:p>
    <w:p w14:paraId="2CE4D9B9" w14:textId="77777777" w:rsidR="00BF1F87" w:rsidRPr="00BF1F87" w:rsidRDefault="00BF1F87" w:rsidP="00BF1F87">
      <w:pPr>
        <w:tabs>
          <w:tab w:val="left" w:pos="1134"/>
        </w:tabs>
        <w:spacing w:before="120" w:line="360" w:lineRule="auto"/>
        <w:ind w:firstLine="709"/>
        <w:jc w:val="both"/>
        <w:rPr>
          <w:rFonts w:ascii="Times New Roman" w:eastAsia="Calibri" w:hAnsi="Times New Roman" w:cs="Times New Roman"/>
          <w:sz w:val="24"/>
          <w:szCs w:val="24"/>
          <w:lang w:eastAsia="en-US"/>
        </w:rPr>
      </w:pPr>
      <w:r w:rsidRPr="00BF1F87">
        <w:rPr>
          <w:rFonts w:ascii="Times New Roman" w:eastAsia="Calibri" w:hAnsi="Times New Roman" w:cs="Times New Roman"/>
          <w:sz w:val="24"/>
          <w:szCs w:val="24"/>
          <w:lang w:eastAsia="en-US"/>
        </w:rPr>
        <w:t>Sınırlı sayıda öğrenci ile yürütülen bu çalışmada örneklemin az olması ve çalışmada yürütülen konunun darlığı önemli sınırlılıklar olarak görünmektedir. 22 öğrenci ve matematikte bir konu ile yürütülen çalışmanın sonuçları değerlendirilirken bu sınırlılıkların göz önünde bulundurulması gerekmektedir.</w:t>
      </w:r>
    </w:p>
    <w:p w14:paraId="62815BC2" w14:textId="77777777" w:rsidR="00BF1F87" w:rsidRPr="00BF1F87" w:rsidRDefault="00BF1F87" w:rsidP="00BF1F87">
      <w:pPr>
        <w:tabs>
          <w:tab w:val="left" w:pos="1134"/>
        </w:tabs>
        <w:spacing w:before="120" w:line="360" w:lineRule="auto"/>
        <w:ind w:firstLine="709"/>
        <w:jc w:val="both"/>
        <w:rPr>
          <w:rFonts w:ascii="Times New Roman" w:eastAsia="Calibri" w:hAnsi="Times New Roman" w:cs="Times New Roman"/>
          <w:sz w:val="24"/>
          <w:szCs w:val="24"/>
          <w:lang w:eastAsia="en-US"/>
        </w:rPr>
      </w:pPr>
      <w:r w:rsidRPr="00BF1F87">
        <w:rPr>
          <w:rFonts w:ascii="Times New Roman" w:eastAsia="Calibri" w:hAnsi="Times New Roman" w:cs="Times New Roman"/>
          <w:sz w:val="24"/>
          <w:szCs w:val="24"/>
          <w:lang w:eastAsia="en-US"/>
        </w:rPr>
        <w:t>Ortaöğretim 9.sınıf matematik dersinde fonksiyonlar konusunun ATBÖ yaklaşımıyla işlenerek bu yaklaşımın fonksiyonlar konusundaki başarıya etkisinin incelendiği bu araştırmada tek gruba uygulanan ATBÖ yaklaşımının fonksiyonlar konusundaki başarıya olumlu bir etkisi olduğu tespit edilmiştir.</w:t>
      </w:r>
    </w:p>
    <w:p w14:paraId="17A9FB3E" w14:textId="77777777" w:rsidR="00BF1F87" w:rsidRPr="00BF1F87" w:rsidRDefault="00BF1F87" w:rsidP="00BF1F87">
      <w:pPr>
        <w:spacing w:after="0" w:line="360" w:lineRule="auto"/>
        <w:ind w:firstLine="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ATBÖ yaklaşımı temel alınarak işlenilen fonksiyonlar konusu öncesinde ve sonrasında öğrencilere uygulanan başarı testi sonuçları değerlendirildiğinde son test lehine anlamlı bir farklılığın olduğu görülmüştür (p=.00 &lt;.05). Elde edilen bulgular incelendiğinde öğrencilerin ön test puan ortalaması 7.23 iken son test puan ortalaması 42.77’ye yükselmiştir. Başka bir ifadeyle, matematik öğretiminde kullanılan ATBÖ yaklaşımının öğrencilerin fonksiyonlar konusundaki başarılarını arttırmada etkili bir yöntem olduğu söylenebilir. Rudd, Greenbowe, Hand ve Legge, (2001) kimya dersindeki denge konusunda uygulama grubuna ATBÖ yaklaşımıyla ders işleyerek son test lehine anlamlı bir farklılık tespit etmişlerdir. Yeşiloğlu (2007)’nun gazlar konusunda deney grubuna tartışma modeli ile işlenmiş ve kontrol grubuna göre yüksek başarı tespit edilmiştir. Erkol, Kışoğlu ve Büyükkasap (2010), üniversite fen bilgisi birinci sınıf öğrencileri ile gerçekleştirdikleri uygulamalarında ATBÖ yaklaşımı ve geleneksel yaklaşımı öğrencilerin mekanik konularını anlamaları bakımından karşılaştırmışlardır ve öğrencilerin mekanik konuları kavramsal düzeyde ATBÖ yaklaşımıyla </w:t>
      </w:r>
      <w:r w:rsidRPr="00BF1F87">
        <w:rPr>
          <w:rFonts w:ascii="Times New Roman" w:eastAsia="Times New Roman" w:hAnsi="Times New Roman" w:cs="Times New Roman"/>
          <w:sz w:val="24"/>
          <w:szCs w:val="24"/>
        </w:rPr>
        <w:lastRenderedPageBreak/>
        <w:t xml:space="preserve">daha iyi anladıklarını göstermiştir. Benzer olarak Günel, Kabataş-Memiş, Yeşildağ, Biber, Okçu ve Şahin (2010) ATBÖ yaklaşımının üniversite düzeyinde öğrencilerin genel fizik laboratuarı dersindeki başarıları üzerine etkisini araştırmışlardır ve uygulama sonuçları mekanik konularına ilişkin son test puanların da ATBÖ grubunun diğer gruba göre daha başarılı olduğunu göstermiştir. Gürsoy ve Taşdere (2012) Argümantasyon odaklı öğretim yönteminin ilköğretim 5. Sınıf öğrencilerinin dünya güneş ve ay konusundaki başarılarına etkisini araştırmışlardır ve deney grubu lehine anlamlı bir farklılığa ulaşmışlardır. Balcı ve Yenice (2016) öğrencilerin ATBÖ yaklaşımının hücre bölünmesi ve kalıtım konusundaki akademik başarılarını araştırmışlar ve deney grubu lehine anlamlı bir farklılık gözlemlemişlerdir. Benzer olarak Akkuş ve Kurt (2012) ATBÖ yaklaşımının kullanıldığı deney grubundaki öğrencilerin kavramsal sorularda daha başarılı olduğunu bulmuşlardır. Hand, Wallace ve Yang(2004)  7.sınıf öğrencileriyle yaptıkları çalışmada ATBÖ yaklaşımının geleneksel yaklaşıma göre kavramsal anlamaları geliştirmede daha etkili olduğunu ifade etmişlerdir. Benzer sonuçları Hand, Prain ve Wallace 10.sınıf öğrencilerinden,  Greenbowe ve Hand(2005) ve Demirci (2008) üniversite öğrencilerinden elde etmiştir. </w:t>
      </w:r>
    </w:p>
    <w:p w14:paraId="6F184439" w14:textId="77777777" w:rsidR="00BF1F87" w:rsidRPr="00BF1F87" w:rsidRDefault="00BF1F87" w:rsidP="00BF1F87">
      <w:pPr>
        <w:spacing w:after="0" w:line="360" w:lineRule="auto"/>
        <w:ind w:firstLine="709"/>
        <w:jc w:val="both"/>
        <w:rPr>
          <w:rFonts w:ascii="Times New Roman" w:eastAsia="Times New Roman" w:hAnsi="Times New Roman" w:cs="Times New Roman"/>
          <w:sz w:val="24"/>
          <w:szCs w:val="24"/>
        </w:rPr>
      </w:pPr>
    </w:p>
    <w:p w14:paraId="10FE4296" w14:textId="77777777" w:rsidR="00BF1F87" w:rsidRPr="00BF1F87" w:rsidRDefault="00BF1F87" w:rsidP="00BF1F87">
      <w:pPr>
        <w:spacing w:line="360" w:lineRule="auto"/>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Öğrencilerin tartışma sürecinde ve sonunda yazdıkları MMY şablonundan elde edilen bulgulara göre; raporların toplam puanları ile fonksiyonlar başarı testinin son test toplam puanları arasında pozitif, orta düzeyde ve anlamlı bir ilişki tespit edilmiştir (r=.614, p&lt; .05). Yazma ve matematiksel problem çözme arasındaki ilişkiyi keşfetmek için yapılan çalışmalar, yazmanın, öğrencilere problem çözme davranışlarını organize etme ve onların bilgi şemalarını geliştirme konusunda yardımcı olduğunu göstermiştir (Steele, 2005). Aynı şekilde Pugalee (2004), öğrencilerin matematiksel yazmalarından üst-bilişsel davranış kanıtları sağlamıştır. Öğrenciler yazma stratejilerini ne kadar çok kullanırlarsa ve yazdıklarını gözden geçirirlerse o kadar dersten faydalanırlar (Kief, Rijlaarsdam and Bergh, 2006).Türkiye’de yazma üzerine yapılan çalışmalar incelendiğinde daha çok fen bilimleri öğretimi ile ilgili olduğu görülür (Akar, 2007; Günel, Atila ve Büyükkasap, 2009). Memiş (2011)’in yaptığı çalışmada ATBÖ raporları ile elektrik son test puanları arasında pozitif, orta düzeyde ve anlamlı bir ilişki tespit etmiştir. Memiş(2011)’in yaptığı araştırma sonuçları bu araştırmanın bulgularını destekler niteliktedir. Benzer şekilde Yeşildağ-Hasançebi ve Günel (2013) ATBÖ yaklaşımının ilköğretim seviyesinde maddenin yapısı ve özellikleri ünitesinde kullanılmasının öğrencilerin akademik başarısına katkı sağladığını ve öğrencilerin süreç içerisinde yazdıkları ATBÖ </w:t>
      </w:r>
      <w:r w:rsidRPr="00BF1F87">
        <w:rPr>
          <w:rFonts w:ascii="Times New Roman" w:eastAsia="Times New Roman" w:hAnsi="Times New Roman" w:cs="Times New Roman"/>
          <w:sz w:val="24"/>
          <w:szCs w:val="24"/>
        </w:rPr>
        <w:lastRenderedPageBreak/>
        <w:t>raporlarından aldıkları puanları ile son test puanları arasında olumlu bir ilişki olduğu gözlemlemişlerdir.</w:t>
      </w:r>
    </w:p>
    <w:p w14:paraId="054D1BFC" w14:textId="77777777" w:rsidR="00BF1F87" w:rsidRPr="00BF1F87" w:rsidRDefault="00BF1F87" w:rsidP="00BF1F87">
      <w:pPr>
        <w:spacing w:after="0" w:line="360" w:lineRule="auto"/>
        <w:jc w:val="center"/>
        <w:rPr>
          <w:rFonts w:ascii="Times New Roman" w:eastAsia="Times New Roman" w:hAnsi="Times New Roman" w:cs="Times New Roman"/>
          <w:b/>
          <w:sz w:val="24"/>
          <w:szCs w:val="24"/>
        </w:rPr>
      </w:pPr>
      <w:r w:rsidRPr="00BF1F87">
        <w:rPr>
          <w:rFonts w:ascii="Times New Roman" w:eastAsia="Times New Roman" w:hAnsi="Times New Roman" w:cs="Times New Roman"/>
          <w:b/>
          <w:sz w:val="24"/>
          <w:szCs w:val="24"/>
        </w:rPr>
        <w:t>Öneriler</w:t>
      </w:r>
    </w:p>
    <w:p w14:paraId="7A373B74" w14:textId="77777777" w:rsidR="00BF1F87" w:rsidRPr="00BF1F87" w:rsidRDefault="00BF1F87" w:rsidP="00BF1F87">
      <w:pPr>
        <w:spacing w:after="0" w:line="360" w:lineRule="auto"/>
        <w:ind w:firstLine="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Araştırma sonuçlarına göre aşağıda bazı önerilere yer verilmiştir:</w:t>
      </w:r>
    </w:p>
    <w:p w14:paraId="33F0D816" w14:textId="77777777" w:rsidR="00BF1F87" w:rsidRPr="00BF1F87" w:rsidRDefault="00BF1F87" w:rsidP="00BF1F87">
      <w:pPr>
        <w:spacing w:after="0" w:line="360" w:lineRule="auto"/>
        <w:ind w:firstLine="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1.</w:t>
      </w:r>
      <w:r w:rsidRPr="00BF1F87">
        <w:rPr>
          <w:rFonts w:ascii="Times New Roman" w:eastAsia="Times New Roman" w:hAnsi="Times New Roman" w:cs="Times New Roman"/>
          <w:sz w:val="24"/>
          <w:szCs w:val="24"/>
        </w:rPr>
        <w:tab/>
        <w:t>Çalışmada ATBÖ yaklaşımının “Fonksiyonlar” konusundaki öğrencilerin başarılarını artırmada etkili olduğu dikkate alınırsa, bu yaklaşım farklı sınıf ve konu düzeylerinde uygulanmalı ve etkililiği araştırılmalıdır.</w:t>
      </w:r>
    </w:p>
    <w:p w14:paraId="399EA314" w14:textId="77777777" w:rsidR="00BF1F87" w:rsidRPr="00BF1F87" w:rsidRDefault="00BF1F87" w:rsidP="00BF1F87">
      <w:pPr>
        <w:spacing w:after="0" w:line="360" w:lineRule="auto"/>
        <w:ind w:firstLine="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2.</w:t>
      </w:r>
      <w:r w:rsidRPr="00BF1F87">
        <w:rPr>
          <w:rFonts w:ascii="Times New Roman" w:eastAsia="Times New Roman" w:hAnsi="Times New Roman" w:cs="Times New Roman"/>
          <w:sz w:val="24"/>
          <w:szCs w:val="24"/>
        </w:rPr>
        <w:tab/>
        <w:t>ATBÖ yaklaşımının matematiğe karşı tutum gibi farklı değişkenler üzerine etkisi incelenebilir.</w:t>
      </w:r>
    </w:p>
    <w:p w14:paraId="15E2FD00" w14:textId="77777777" w:rsidR="00BF1F87" w:rsidRPr="00BF1F87" w:rsidRDefault="00BF1F87" w:rsidP="00BF1F87">
      <w:pPr>
        <w:spacing w:after="0" w:line="360" w:lineRule="auto"/>
        <w:jc w:val="both"/>
        <w:rPr>
          <w:rFonts w:ascii="Times New Roman" w:eastAsia="Times New Roman" w:hAnsi="Times New Roman" w:cs="Times New Roman"/>
          <w:b/>
          <w:sz w:val="24"/>
          <w:szCs w:val="24"/>
        </w:rPr>
      </w:pPr>
      <w:r w:rsidRPr="00BF1F87">
        <w:rPr>
          <w:rFonts w:ascii="Times New Roman" w:eastAsia="Times New Roman" w:hAnsi="Times New Roman" w:cs="Times New Roman"/>
          <w:sz w:val="24"/>
          <w:szCs w:val="24"/>
        </w:rPr>
        <w:t xml:space="preserve">         3.</w:t>
      </w:r>
      <w:r w:rsidRPr="00BF1F87">
        <w:rPr>
          <w:rFonts w:ascii="Times New Roman" w:eastAsia="Times New Roman" w:hAnsi="Times New Roman" w:cs="Times New Roman"/>
          <w:sz w:val="24"/>
          <w:szCs w:val="24"/>
        </w:rPr>
        <w:tab/>
        <w:t>Öğretmenlerin ATBÖ yaklaşım sürecini öğrenmeleri, etkili tartışma yönetebilmeleri için bu yaklaşımın öğretmenlere hizmet içi kurslarda uygulamalı olarak anlatılmalı ve öğretmenlerin bu süreci sınıf içi uygulamalarına yansıtarak öğrencilerini bilimsel tartışmaya teşvik etmelidir.</w:t>
      </w:r>
    </w:p>
    <w:p w14:paraId="4010AE75" w14:textId="77777777" w:rsidR="00BF1F87" w:rsidRPr="00BF1F87" w:rsidRDefault="00BF1F87" w:rsidP="00BF1F87">
      <w:pPr>
        <w:spacing w:after="0" w:line="360" w:lineRule="auto"/>
        <w:jc w:val="center"/>
        <w:rPr>
          <w:rFonts w:ascii="Times New Roman" w:eastAsia="Times New Roman" w:hAnsi="Times New Roman" w:cs="Times New Roman"/>
          <w:b/>
          <w:sz w:val="24"/>
          <w:szCs w:val="24"/>
        </w:rPr>
      </w:pPr>
      <w:r w:rsidRPr="00BF1F87">
        <w:rPr>
          <w:rFonts w:ascii="Times New Roman" w:eastAsia="Times New Roman" w:hAnsi="Times New Roman" w:cs="Times New Roman"/>
          <w:b/>
          <w:sz w:val="24"/>
          <w:szCs w:val="24"/>
        </w:rPr>
        <w:t>Makalenin Bilimdeki Konumu (Yeri)</w:t>
      </w:r>
    </w:p>
    <w:p w14:paraId="5B01A6F4" w14:textId="77777777" w:rsidR="00BF1F87" w:rsidRPr="00BF1F87" w:rsidRDefault="00BF1F87" w:rsidP="00BF1F87">
      <w:pPr>
        <w:spacing w:after="0" w:line="360" w:lineRule="auto"/>
        <w:ind w:firstLine="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Matematik ve Fen Bilimleri Eğitimi/Matematik Eğitimi Anabilim Dalı</w:t>
      </w:r>
    </w:p>
    <w:p w14:paraId="696EC06B" w14:textId="77777777" w:rsidR="00BF1F87" w:rsidRPr="00BF1F87" w:rsidRDefault="00BF1F87" w:rsidP="00BF1F87">
      <w:pPr>
        <w:spacing w:after="0" w:line="360" w:lineRule="auto"/>
        <w:jc w:val="center"/>
        <w:rPr>
          <w:rFonts w:ascii="Times New Roman" w:eastAsia="Times New Roman" w:hAnsi="Times New Roman" w:cs="Times New Roman"/>
          <w:b/>
          <w:sz w:val="24"/>
          <w:szCs w:val="24"/>
        </w:rPr>
      </w:pPr>
      <w:r w:rsidRPr="00BF1F87">
        <w:rPr>
          <w:rFonts w:ascii="Times New Roman" w:eastAsia="Times New Roman" w:hAnsi="Times New Roman" w:cs="Times New Roman"/>
          <w:b/>
          <w:sz w:val="24"/>
          <w:szCs w:val="24"/>
        </w:rPr>
        <w:t>Makalenin Bilimdeki Özgünlüğü</w:t>
      </w:r>
    </w:p>
    <w:p w14:paraId="58D8CAA5" w14:textId="77777777" w:rsidR="00BF1F87" w:rsidRPr="00BF1F87" w:rsidRDefault="00BF1F87" w:rsidP="00BF1F87">
      <w:pPr>
        <w:spacing w:after="0" w:line="360" w:lineRule="auto"/>
        <w:ind w:firstLine="709"/>
        <w:jc w:val="both"/>
        <w:rPr>
          <w:rFonts w:ascii="Times New Roman" w:eastAsia="Times New Roman" w:hAnsi="Times New Roman" w:cs="Times New Roman"/>
          <w:color w:val="FF0000"/>
          <w:sz w:val="24"/>
          <w:szCs w:val="24"/>
        </w:rPr>
      </w:pPr>
      <w:r w:rsidRPr="00BF1F87">
        <w:rPr>
          <w:rFonts w:ascii="Times New Roman" w:eastAsia="Times New Roman" w:hAnsi="Times New Roman" w:cs="Times New Roman"/>
          <w:sz w:val="24"/>
          <w:szCs w:val="24"/>
        </w:rPr>
        <w:t>Bu araştırma, daha çok fen alanında yaygın olarak kullanılan ATBÖ yaklaşımının matematik alanında uygulanabilmesini gösterebilme açısından önem arz etmektedir. Ayrıca ATBÖ yaklaşımının öğrencilerin fonksiyonlar konusundaki matematik başarılarına katkı sağladığını göstermek açısından da önem taşımaktadır.</w:t>
      </w:r>
    </w:p>
    <w:p w14:paraId="0FE30CDD" w14:textId="77777777" w:rsidR="00BF1F87" w:rsidRPr="00BF1F87" w:rsidRDefault="00BF1F87" w:rsidP="00BF1F87">
      <w:pPr>
        <w:spacing w:after="0" w:line="360" w:lineRule="auto"/>
        <w:jc w:val="center"/>
        <w:rPr>
          <w:rFonts w:ascii="Times New Roman" w:eastAsia="Times New Roman" w:hAnsi="Times New Roman" w:cs="Times New Roman"/>
          <w:b/>
          <w:sz w:val="24"/>
          <w:szCs w:val="24"/>
        </w:rPr>
      </w:pPr>
      <w:r w:rsidRPr="00BF1F87">
        <w:rPr>
          <w:rFonts w:ascii="Times New Roman" w:eastAsia="Times New Roman" w:hAnsi="Times New Roman" w:cs="Times New Roman"/>
          <w:b/>
          <w:sz w:val="24"/>
          <w:szCs w:val="24"/>
        </w:rPr>
        <w:t>Kaynaklar</w:t>
      </w:r>
    </w:p>
    <w:p w14:paraId="14712380"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Akar, M. S. (2007). </w:t>
      </w:r>
      <w:r w:rsidRPr="00BF1F87">
        <w:rPr>
          <w:rFonts w:ascii="Times New Roman" w:eastAsia="Times New Roman" w:hAnsi="Times New Roman" w:cs="Times New Roman"/>
          <w:i/>
          <w:sz w:val="24"/>
          <w:szCs w:val="24"/>
        </w:rPr>
        <w:t>Laboratuar dersinde yazma metinleri oluşturmanın ve analoji kullanmanın akademik başarıya etkisi.</w:t>
      </w:r>
      <w:r w:rsidRPr="00BF1F87">
        <w:rPr>
          <w:rFonts w:ascii="Times New Roman" w:eastAsia="Times New Roman" w:hAnsi="Times New Roman" w:cs="Times New Roman"/>
          <w:sz w:val="24"/>
          <w:szCs w:val="24"/>
        </w:rPr>
        <w:t xml:space="preserve"> Yayınlanmamış Yüksek Lisans tezi. Atatürk Üniversitesi, Erzurum.</w:t>
      </w:r>
    </w:p>
    <w:p w14:paraId="536B953A"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p>
    <w:p w14:paraId="6148C6F5"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Akkuş, R. (2007). </w:t>
      </w:r>
      <w:r w:rsidRPr="00BF1F87">
        <w:rPr>
          <w:rFonts w:ascii="Times New Roman" w:eastAsia="Times New Roman" w:hAnsi="Times New Roman" w:cs="Times New Roman"/>
          <w:i/>
          <w:sz w:val="24"/>
          <w:szCs w:val="24"/>
        </w:rPr>
        <w:t>Investigating the changes in teachers’pedagogical practices through the use of mathematics reasoning heuristic approach.</w:t>
      </w:r>
      <w:r w:rsidRPr="00BF1F87">
        <w:rPr>
          <w:rFonts w:ascii="Times New Roman" w:eastAsia="Times New Roman" w:hAnsi="Times New Roman" w:cs="Times New Roman"/>
          <w:sz w:val="24"/>
          <w:szCs w:val="24"/>
        </w:rPr>
        <w:t xml:space="preserve"> Unpublished PHD Dissertation, Iowa State University, Ames.</w:t>
      </w:r>
    </w:p>
    <w:p w14:paraId="40058CA1"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Akkuş, R. &amp; Kurt, İ. (2012, Haziran). Argümantasyon tabanlı tilim öğrenme yaklaşımının öğrenci akademik başarısına ve kritik düşünme becerisine etkisi, </w:t>
      </w:r>
      <w:r w:rsidRPr="00BF1F87">
        <w:rPr>
          <w:rFonts w:ascii="Times New Roman" w:eastAsia="Times New Roman" w:hAnsi="Times New Roman" w:cs="Times New Roman"/>
          <w:i/>
          <w:sz w:val="24"/>
          <w:szCs w:val="24"/>
        </w:rPr>
        <w:t>10. Ulusal Fen Bilimleri ve Matematik Eğitimi Kongresi (UFBMEK),</w:t>
      </w:r>
      <w:r w:rsidRPr="00BF1F87">
        <w:rPr>
          <w:rFonts w:ascii="Times New Roman" w:eastAsia="Times New Roman" w:hAnsi="Times New Roman" w:cs="Times New Roman"/>
          <w:sz w:val="24"/>
          <w:szCs w:val="24"/>
        </w:rPr>
        <w:t xml:space="preserve"> Niğde Üniversitesi,Niğde.</w:t>
      </w:r>
    </w:p>
    <w:p w14:paraId="2FF0DE59" w14:textId="77777777" w:rsidR="00BF1F87" w:rsidRPr="00BF1F87" w:rsidRDefault="00BF1F87" w:rsidP="00BF1F87">
      <w:pPr>
        <w:spacing w:before="120" w:line="360" w:lineRule="auto"/>
        <w:ind w:left="709" w:hanging="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lastRenderedPageBreak/>
        <w:t>Akkuş, R., Gunel, M., and Hand, B. (2007). Comparing an inquiry-based approach known as the science writing heuristic to traditional science teaching practices: Are there differences</w:t>
      </w:r>
      <w:r w:rsidRPr="00BF1F87">
        <w:rPr>
          <w:rFonts w:ascii="Times New Roman" w:eastAsia="Times New Roman" w:hAnsi="Times New Roman" w:cs="Times New Roman"/>
          <w:i/>
          <w:sz w:val="24"/>
          <w:szCs w:val="24"/>
        </w:rPr>
        <w:t>?. International Journal of Science Education</w:t>
      </w:r>
      <w:r w:rsidRPr="00BF1F87">
        <w:rPr>
          <w:rFonts w:ascii="Times New Roman" w:eastAsia="Times New Roman" w:hAnsi="Times New Roman" w:cs="Times New Roman"/>
          <w:sz w:val="24"/>
          <w:szCs w:val="24"/>
        </w:rPr>
        <w:t>, 1, 1-21.</w:t>
      </w:r>
    </w:p>
    <w:p w14:paraId="468EB859" w14:textId="77777777" w:rsidR="00BF1F87" w:rsidRPr="00BF1F87" w:rsidRDefault="00BF1F87" w:rsidP="00BF1F87">
      <w:pPr>
        <w:spacing w:before="120" w:line="360" w:lineRule="auto"/>
        <w:ind w:left="709" w:hanging="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Aldağ, H. (2006). Toulmin tartışma modeli. </w:t>
      </w:r>
      <w:r w:rsidRPr="00BF1F87">
        <w:rPr>
          <w:rFonts w:ascii="Times New Roman" w:eastAsia="Times New Roman" w:hAnsi="Times New Roman" w:cs="Times New Roman"/>
          <w:i/>
          <w:sz w:val="24"/>
          <w:szCs w:val="24"/>
        </w:rPr>
        <w:t>Çanakkale Üniversitesi Sosyal bilimler Enstitüsü Dergisi, 6</w:t>
      </w:r>
      <w:r w:rsidRPr="00BF1F87">
        <w:rPr>
          <w:rFonts w:ascii="Times New Roman" w:eastAsia="Times New Roman" w:hAnsi="Times New Roman" w:cs="Times New Roman"/>
          <w:sz w:val="24"/>
          <w:szCs w:val="24"/>
        </w:rPr>
        <w:t>(1), 13-34.</w:t>
      </w:r>
    </w:p>
    <w:p w14:paraId="6C431B20" w14:textId="77777777" w:rsidR="00BF1F87" w:rsidRPr="00BF1F87" w:rsidRDefault="00BF1F87" w:rsidP="00BF1F87">
      <w:pPr>
        <w:spacing w:before="120" w:line="360" w:lineRule="auto"/>
        <w:ind w:left="709" w:hanging="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Balci, C. &amp; Yenice, N. (2016). Effects of the scientific argumentation based learning process on teaching the unit of cell division and inheritance to eighth grade students. </w:t>
      </w:r>
      <w:r w:rsidRPr="00BF1F87">
        <w:rPr>
          <w:rFonts w:ascii="Times New Roman" w:eastAsia="Times New Roman" w:hAnsi="Times New Roman" w:cs="Times New Roman"/>
          <w:i/>
          <w:sz w:val="24"/>
          <w:szCs w:val="24"/>
        </w:rPr>
        <w:t>Journal of Education in Science, Environment and Health (JESEH), 2(</w:t>
      </w:r>
      <w:r w:rsidRPr="00BF1F87">
        <w:rPr>
          <w:rFonts w:ascii="Times New Roman" w:eastAsia="Times New Roman" w:hAnsi="Times New Roman" w:cs="Times New Roman"/>
          <w:sz w:val="24"/>
          <w:szCs w:val="24"/>
        </w:rPr>
        <w:t>1), 67-84</w:t>
      </w:r>
    </w:p>
    <w:p w14:paraId="657490EF" w14:textId="77777777" w:rsidR="00BF1F87" w:rsidRPr="00BF1F87" w:rsidRDefault="00BF1F87" w:rsidP="00BF1F87">
      <w:pPr>
        <w:spacing w:before="120" w:line="360" w:lineRule="auto"/>
        <w:ind w:left="709" w:hanging="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Carpenter, T., Fennema, E., and Franke, M. (1996). Cognitively guided instruction: A knowledge base for primary mathematics instruction. </w:t>
      </w:r>
      <w:r w:rsidRPr="00BF1F87">
        <w:rPr>
          <w:rFonts w:ascii="Times New Roman" w:eastAsia="Times New Roman" w:hAnsi="Times New Roman" w:cs="Times New Roman"/>
          <w:i/>
          <w:sz w:val="24"/>
          <w:szCs w:val="24"/>
        </w:rPr>
        <w:t>The Elementary School Journal, 97</w:t>
      </w:r>
      <w:r w:rsidRPr="00BF1F87">
        <w:rPr>
          <w:rFonts w:ascii="Times New Roman" w:eastAsia="Times New Roman" w:hAnsi="Times New Roman" w:cs="Times New Roman"/>
          <w:sz w:val="24"/>
          <w:szCs w:val="24"/>
        </w:rPr>
        <w:t>(1), 3-20.</w:t>
      </w:r>
    </w:p>
    <w:p w14:paraId="43E919D5" w14:textId="77777777" w:rsidR="00BF1F87" w:rsidRPr="00BF1F87" w:rsidRDefault="00BF1F87" w:rsidP="00BF1F87">
      <w:pPr>
        <w:spacing w:before="120" w:line="360" w:lineRule="auto"/>
        <w:ind w:left="709" w:hanging="709"/>
        <w:jc w:val="both"/>
        <w:rPr>
          <w:rFonts w:ascii="Times New Roman" w:eastAsia="Calibri" w:hAnsi="Times New Roman" w:cs="Times New Roman"/>
          <w:sz w:val="24"/>
          <w:szCs w:val="24"/>
          <w:lang w:eastAsia="en-US"/>
        </w:rPr>
      </w:pPr>
      <w:r w:rsidRPr="00BF1F87">
        <w:rPr>
          <w:rFonts w:ascii="Times New Roman" w:eastAsia="Times New Roman" w:hAnsi="Times New Roman" w:cs="Times New Roman"/>
          <w:sz w:val="24"/>
          <w:szCs w:val="24"/>
          <w:lang w:val="en-US" w:eastAsia="en-US"/>
        </w:rPr>
        <w:t xml:space="preserve">Ceylan, Ç. (2010). </w:t>
      </w:r>
      <w:r w:rsidRPr="00BF1F87">
        <w:rPr>
          <w:rFonts w:ascii="Times New Roman" w:eastAsia="Times New Roman" w:hAnsi="Times New Roman" w:cs="Times New Roman"/>
          <w:i/>
          <w:sz w:val="24"/>
          <w:szCs w:val="24"/>
          <w:lang w:eastAsia="en-US"/>
        </w:rPr>
        <w:t>Fen laboratuar faaliyetlerinde argümantasyon tabanlı bilim öğrenme – atbö yaklaşımının kullanımı</w:t>
      </w:r>
      <w:r w:rsidRPr="00BF1F87">
        <w:rPr>
          <w:rFonts w:ascii="Times New Roman" w:eastAsia="Times New Roman" w:hAnsi="Times New Roman" w:cs="Times New Roman"/>
          <w:sz w:val="24"/>
          <w:szCs w:val="24"/>
          <w:lang w:eastAsia="en-US"/>
        </w:rPr>
        <w:t xml:space="preserve">. </w:t>
      </w:r>
      <w:r w:rsidRPr="00BF1F87">
        <w:rPr>
          <w:rFonts w:ascii="Times New Roman" w:eastAsia="Calibri" w:hAnsi="Times New Roman" w:cs="Times New Roman"/>
          <w:sz w:val="24"/>
          <w:szCs w:val="24"/>
          <w:lang w:eastAsia="en-US"/>
        </w:rPr>
        <w:t>Yayımlanmamış Yüksek Lisans Tezi. Gazi Üniversitesi Eğitim Bilimleri Enstitüsü, Ankara.</w:t>
      </w:r>
    </w:p>
    <w:p w14:paraId="6090E7A1" w14:textId="77777777" w:rsidR="00BF1F87" w:rsidRPr="00BF1F87" w:rsidRDefault="00BF1F87" w:rsidP="00BF1F87">
      <w:pPr>
        <w:spacing w:before="120" w:line="360" w:lineRule="auto"/>
        <w:ind w:left="709" w:hanging="567"/>
        <w:jc w:val="both"/>
        <w:rPr>
          <w:rFonts w:ascii="Times New Roman" w:eastAsia="Times New Roman" w:hAnsi="Times New Roman" w:cs="Times New Roman"/>
          <w:sz w:val="24"/>
          <w:szCs w:val="24"/>
        </w:rPr>
      </w:pPr>
    </w:p>
    <w:p w14:paraId="3212F0DE"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Dalkıran, G., Kesercioğlu, T., ve Boyacı, S. (2005, Eylül). Kavram haritaları ve kavramsal değişim metinlerinin öğrencilerin fen bilgisi dersine olan tutumlarına etkisi ve öğrenci görüşleri. </w:t>
      </w:r>
      <w:r w:rsidRPr="00BF1F87">
        <w:rPr>
          <w:rFonts w:ascii="Times New Roman" w:eastAsia="Times New Roman" w:hAnsi="Times New Roman" w:cs="Times New Roman"/>
          <w:i/>
          <w:sz w:val="24"/>
          <w:szCs w:val="24"/>
        </w:rPr>
        <w:t>Ulusal Eğitim Bilimleri Kongresi</w:t>
      </w:r>
      <w:r w:rsidRPr="00BF1F87">
        <w:rPr>
          <w:rFonts w:ascii="Times New Roman" w:eastAsia="Times New Roman" w:hAnsi="Times New Roman" w:cs="Times New Roman"/>
          <w:sz w:val="24"/>
          <w:szCs w:val="24"/>
        </w:rPr>
        <w:t>, Pamukkale Üniversitesi Eğitim Fakültesi, Denizli.</w:t>
      </w:r>
    </w:p>
    <w:p w14:paraId="1BAF4546"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Demirci, N. (2008). </w:t>
      </w:r>
      <w:r w:rsidRPr="00BF1F87">
        <w:rPr>
          <w:rFonts w:ascii="Times New Roman" w:eastAsia="Times New Roman" w:hAnsi="Times New Roman" w:cs="Times New Roman"/>
          <w:i/>
          <w:sz w:val="24"/>
          <w:szCs w:val="24"/>
        </w:rPr>
        <w:t>Toulmin’in bilimsel tartışma modeli odaklı eğitimin kimya öğretmen adaylarının temel kimya konularını anlama ve tartışma seviyeleri üzerine etkisi.</w:t>
      </w:r>
      <w:r w:rsidRPr="00BF1F87">
        <w:rPr>
          <w:rFonts w:ascii="Times New Roman" w:eastAsia="Times New Roman" w:hAnsi="Times New Roman" w:cs="Times New Roman"/>
          <w:sz w:val="24"/>
          <w:szCs w:val="24"/>
        </w:rPr>
        <w:t xml:space="preserve"> Yüksek Lisans Tezi. Gazi Üniversitesi Eğitim Bilimleri Enstitüsü, Ankara.</w:t>
      </w:r>
    </w:p>
    <w:p w14:paraId="2E0152FE"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Driver, R., Newton, P., and Osborne, J. (2000). Establishing the norms of scientific argumentation in classrooms. </w:t>
      </w:r>
      <w:r w:rsidRPr="00BF1F87">
        <w:rPr>
          <w:rFonts w:ascii="Times New Roman" w:eastAsia="Times New Roman" w:hAnsi="Times New Roman" w:cs="Times New Roman"/>
          <w:i/>
          <w:sz w:val="24"/>
          <w:szCs w:val="24"/>
        </w:rPr>
        <w:t>Science Education, 84</w:t>
      </w:r>
      <w:r w:rsidRPr="00BF1F87">
        <w:rPr>
          <w:rFonts w:ascii="Times New Roman" w:eastAsia="Times New Roman" w:hAnsi="Times New Roman" w:cs="Times New Roman"/>
          <w:sz w:val="24"/>
          <w:szCs w:val="24"/>
        </w:rPr>
        <w:t>(3), 287–312.</w:t>
      </w:r>
    </w:p>
    <w:p w14:paraId="03D99579"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Druker, S. L., Chen, C., and Kelly, G. J. (1996). Introducing content to the toulmin model of argumentation via error analysis. </w:t>
      </w:r>
      <w:r w:rsidRPr="00BF1F87">
        <w:rPr>
          <w:rFonts w:ascii="Times New Roman" w:eastAsia="Times New Roman" w:hAnsi="Times New Roman" w:cs="Times New Roman"/>
          <w:i/>
          <w:sz w:val="24"/>
          <w:szCs w:val="24"/>
        </w:rPr>
        <w:t>Paper Presented At NARST Meeting II</w:t>
      </w:r>
      <w:r w:rsidRPr="00BF1F87">
        <w:rPr>
          <w:rFonts w:ascii="Times New Roman" w:eastAsia="Times New Roman" w:hAnsi="Times New Roman" w:cs="Times New Roman"/>
          <w:sz w:val="24"/>
          <w:szCs w:val="24"/>
        </w:rPr>
        <w:t>, Chicago.</w:t>
      </w:r>
    </w:p>
    <w:p w14:paraId="4D47E31A" w14:textId="77777777" w:rsidR="00BF1F87" w:rsidRPr="00BF1F87" w:rsidRDefault="00BF1F87" w:rsidP="00BF1F87">
      <w:pPr>
        <w:autoSpaceDE w:val="0"/>
        <w:autoSpaceDN w:val="0"/>
        <w:adjustRightInd w:val="0"/>
        <w:spacing w:before="120" w:line="360" w:lineRule="auto"/>
        <w:ind w:left="709" w:hanging="709"/>
        <w:jc w:val="both"/>
        <w:rPr>
          <w:rFonts w:ascii="Times New Roman" w:eastAsia="Calibri" w:hAnsi="Times New Roman" w:cs="Times New Roman"/>
          <w:sz w:val="24"/>
          <w:szCs w:val="24"/>
          <w:lang w:val="en-US"/>
        </w:rPr>
      </w:pPr>
      <w:r w:rsidRPr="00BF1F87">
        <w:rPr>
          <w:rFonts w:ascii="Times New Roman" w:eastAsia="Calibri" w:hAnsi="Times New Roman" w:cs="Times New Roman"/>
          <w:sz w:val="24"/>
          <w:szCs w:val="24"/>
          <w:lang w:val="en-US"/>
        </w:rPr>
        <w:t xml:space="preserve">Erduran, S., Ardaç, D., and Güzel, B.Y. (2006). Learning to teach argumentation: Case studies of pre-service secondary science teachers. </w:t>
      </w:r>
      <w:r w:rsidRPr="00BF1F87">
        <w:rPr>
          <w:rFonts w:ascii="Times New Roman" w:eastAsia="Calibri" w:hAnsi="Times New Roman" w:cs="Times New Roman"/>
          <w:i/>
          <w:sz w:val="24"/>
          <w:szCs w:val="24"/>
          <w:lang w:val="en-US"/>
        </w:rPr>
        <w:t>Eurasia Journal of Mathematics, Science and Technology Education, 2</w:t>
      </w:r>
      <w:r w:rsidRPr="00BF1F87">
        <w:rPr>
          <w:rFonts w:ascii="Times New Roman" w:eastAsia="Calibri" w:hAnsi="Times New Roman" w:cs="Times New Roman"/>
          <w:sz w:val="24"/>
          <w:szCs w:val="24"/>
          <w:lang w:val="en-US"/>
        </w:rPr>
        <w:t>(2), 1- 13.</w:t>
      </w:r>
    </w:p>
    <w:p w14:paraId="59E0335C" w14:textId="77777777" w:rsidR="00BF1F87" w:rsidRPr="00BF1F87" w:rsidRDefault="00BF1F87" w:rsidP="00BF1F87">
      <w:pPr>
        <w:autoSpaceDE w:val="0"/>
        <w:autoSpaceDN w:val="0"/>
        <w:adjustRightInd w:val="0"/>
        <w:spacing w:before="120" w:line="360" w:lineRule="auto"/>
        <w:ind w:left="709" w:hanging="709"/>
        <w:jc w:val="both"/>
        <w:rPr>
          <w:rFonts w:ascii="Times New Roman" w:eastAsia="Calibri" w:hAnsi="Times New Roman" w:cs="Times New Roman"/>
          <w:sz w:val="24"/>
          <w:szCs w:val="24"/>
          <w:lang w:val="en-US"/>
        </w:rPr>
      </w:pPr>
      <w:r w:rsidRPr="00BF1F87">
        <w:rPr>
          <w:rFonts w:ascii="Times New Roman" w:eastAsia="Calibri" w:hAnsi="Times New Roman" w:cs="Times New Roman"/>
          <w:sz w:val="24"/>
          <w:szCs w:val="24"/>
          <w:lang w:val="en-US"/>
        </w:rPr>
        <w:lastRenderedPageBreak/>
        <w:t>Erkol, M., Kışoğlu, M. &amp; Büyükkasap E. (2010). The effect of implementation of science writing heuristic on students’ achievement and attitudes toward laboratory in introductory physics laboratory. Procedia Social and Behavioral Science 2, 2310-2314.</w:t>
      </w:r>
    </w:p>
    <w:p w14:paraId="091F453D"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Günel, M. ve Tanrıverdi, K. (2012, Haziran). Boylamsal araştırma projesi: Hizmetiçi eğitim ve sınıf içi uygulamalarının, öğretmen pedagojisine, öğrenci akademik başarısına, düşünme becerilerine etkisinin araştırılması, </w:t>
      </w:r>
      <w:r w:rsidRPr="00BF1F87">
        <w:rPr>
          <w:rFonts w:ascii="Times New Roman" w:eastAsia="Times New Roman" w:hAnsi="Times New Roman" w:cs="Times New Roman"/>
          <w:i/>
          <w:sz w:val="24"/>
          <w:szCs w:val="24"/>
        </w:rPr>
        <w:t>10. Ulusal Fen Bilimleri ve Matematik Eğitimi Kongresi (UFBMEK),</w:t>
      </w:r>
      <w:r w:rsidRPr="00BF1F87">
        <w:rPr>
          <w:rFonts w:ascii="Times New Roman" w:eastAsia="Times New Roman" w:hAnsi="Times New Roman" w:cs="Times New Roman"/>
          <w:sz w:val="24"/>
          <w:szCs w:val="24"/>
        </w:rPr>
        <w:t xml:space="preserve"> Niğde Üniversitesi, Niğde.</w:t>
      </w:r>
    </w:p>
    <w:p w14:paraId="0FAFEF75"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Günel, M., Atila, M. E., ve Büyükkasap, E. (2009). Farklı betimleme modlarının öğrenme amaçlı yazma aktivitelerinde kullanımlarının 6. sınıf yaşamımızdaki elektrik ünitesinin öğrenimine etkisi. </w:t>
      </w:r>
      <w:r w:rsidRPr="00BF1F87">
        <w:rPr>
          <w:rFonts w:ascii="Times New Roman" w:eastAsia="Times New Roman" w:hAnsi="Times New Roman" w:cs="Times New Roman"/>
          <w:i/>
          <w:sz w:val="24"/>
          <w:szCs w:val="24"/>
        </w:rPr>
        <w:t>İlköğretim Online, 8</w:t>
      </w:r>
      <w:r w:rsidRPr="00BF1F87">
        <w:rPr>
          <w:rFonts w:ascii="Times New Roman" w:eastAsia="Times New Roman" w:hAnsi="Times New Roman" w:cs="Times New Roman"/>
          <w:sz w:val="24"/>
          <w:szCs w:val="24"/>
        </w:rPr>
        <w:t>(1), 183-198.</w:t>
      </w:r>
    </w:p>
    <w:p w14:paraId="6B821B1E"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Günel, M., Uzoğlu, M., ve Büyükkasap, E. (2009a). Öğrenme amaçlı yazma aktivitelerinin kullanımının ilköğretim seviyesinde kuvvet konusunu öğrenmeye etkisi. </w:t>
      </w:r>
      <w:r w:rsidRPr="00BF1F87">
        <w:rPr>
          <w:rFonts w:ascii="Times New Roman" w:eastAsia="Times New Roman" w:hAnsi="Times New Roman" w:cs="Times New Roman"/>
          <w:i/>
          <w:sz w:val="24"/>
          <w:szCs w:val="24"/>
        </w:rPr>
        <w:t>Gazi Eğitim Fakültesi Dergisi, 29</w:t>
      </w:r>
      <w:r w:rsidRPr="00BF1F87">
        <w:rPr>
          <w:rFonts w:ascii="Times New Roman" w:eastAsia="Times New Roman" w:hAnsi="Times New Roman" w:cs="Times New Roman"/>
          <w:sz w:val="24"/>
          <w:szCs w:val="24"/>
        </w:rPr>
        <w:t>(1), 379-399.</w:t>
      </w:r>
    </w:p>
    <w:p w14:paraId="79572FE7"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Günel, M., Kabataş-Memiş, E., Yeşildağ, F., Biber, B, Okçu, B. &amp; Şahin, A. (2010). Argümantasyon Tabanlı Bilim Öğrenme (ATBÖ) yaklaşımının üniversite seviyesinde fizik laboratuarlarında kullanımın akademik başarıya etkisi. IX. Ulusal Fen ve Matematik Eğitimi Kongresi, 23-25 Eylül, İzmir.</w:t>
      </w:r>
    </w:p>
    <w:p w14:paraId="20D5A13D"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Greenbowe, T., &amp; Hand, B. (2005). Introduction to the Science Writing Heuristic. In N. J. Pienta, M. Cooper, &amp; T. Greenbowe (Eds.), Chemist guide to effective teaching. Englewood Cliffs, NJ: Prentice Hall.</w:t>
      </w:r>
    </w:p>
    <w:p w14:paraId="3E975F6D"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Hand, B. and Keys, C. (1999). Inquiry invertigation: A new approach to laboratory reports. </w:t>
      </w:r>
      <w:r w:rsidRPr="00BF1F87">
        <w:rPr>
          <w:rFonts w:ascii="Times New Roman" w:eastAsia="Times New Roman" w:hAnsi="Times New Roman" w:cs="Times New Roman"/>
          <w:i/>
          <w:sz w:val="24"/>
          <w:szCs w:val="24"/>
        </w:rPr>
        <w:t>The Science Teacher, 66</w:t>
      </w:r>
      <w:r w:rsidRPr="00BF1F87">
        <w:rPr>
          <w:rFonts w:ascii="Times New Roman" w:eastAsia="Times New Roman" w:hAnsi="Times New Roman" w:cs="Times New Roman"/>
          <w:sz w:val="24"/>
          <w:szCs w:val="24"/>
        </w:rPr>
        <w:t xml:space="preserve"> (4), 27-29.</w:t>
      </w:r>
    </w:p>
    <w:p w14:paraId="5034B043"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Hand, B. Wallace, C. and Yang, E. (2004). Using the science writing heuristic to enhance learning outcomes from laboratory activities in seventh grade science: Quantitative and qualitative aspects</w:t>
      </w:r>
      <w:r w:rsidRPr="00BF1F87">
        <w:rPr>
          <w:rFonts w:ascii="Times New Roman" w:eastAsia="Times New Roman" w:hAnsi="Times New Roman" w:cs="Times New Roman"/>
          <w:i/>
          <w:sz w:val="24"/>
          <w:szCs w:val="24"/>
        </w:rPr>
        <w:t>. International Journal of Science Eduation, 26</w:t>
      </w:r>
      <w:r w:rsidRPr="00BF1F87">
        <w:rPr>
          <w:rFonts w:ascii="Times New Roman" w:eastAsia="Times New Roman" w:hAnsi="Times New Roman" w:cs="Times New Roman"/>
          <w:sz w:val="24"/>
          <w:szCs w:val="24"/>
        </w:rPr>
        <w:t>, 131-149.</w:t>
      </w:r>
    </w:p>
    <w:p w14:paraId="105AE81D"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Hand, B., Prain, V., &amp; Wallace, C. (2002). Influences of writing tasks on students’ answers to recall and higher-level test questions. Research in Science Education, 32, 19–34.</w:t>
      </w:r>
    </w:p>
    <w:p w14:paraId="0A8757FC" w14:textId="77777777" w:rsidR="00BF1F87" w:rsidRPr="00BF1F87" w:rsidRDefault="00BF1F87" w:rsidP="00BF1F87">
      <w:pPr>
        <w:spacing w:before="120" w:line="360" w:lineRule="auto"/>
        <w:ind w:left="709" w:hanging="567"/>
        <w:jc w:val="both"/>
        <w:rPr>
          <w:rFonts w:ascii="Times New Roman" w:eastAsia="Calibri" w:hAnsi="Times New Roman" w:cs="Times New Roman"/>
          <w:iCs/>
          <w:sz w:val="24"/>
          <w:szCs w:val="24"/>
        </w:rPr>
      </w:pPr>
      <w:r w:rsidRPr="00BF1F87">
        <w:rPr>
          <w:rFonts w:ascii="Times New Roman" w:eastAsia="Calibri" w:hAnsi="Times New Roman" w:cs="Times New Roman"/>
          <w:iCs/>
          <w:sz w:val="24"/>
          <w:szCs w:val="24"/>
        </w:rPr>
        <w:t>Hohenshell, L.(2004). Enhancing science literacy though ımplementation of writing- to – learn strategies: Exploratory studies in high school biology. Doctoral Dissertation.  Iowa State University, USA.</w:t>
      </w:r>
    </w:p>
    <w:p w14:paraId="054721E9"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Hohenshell, L. and Hand, B. (2006). Writing-to-learn strategies in secondary school cell biology: A mixed method study. </w:t>
      </w:r>
      <w:r w:rsidRPr="00BF1F87">
        <w:rPr>
          <w:rFonts w:ascii="Times New Roman" w:eastAsia="Times New Roman" w:hAnsi="Times New Roman" w:cs="Times New Roman"/>
          <w:i/>
          <w:sz w:val="24"/>
          <w:szCs w:val="24"/>
        </w:rPr>
        <w:t>International Journal of Science Education</w:t>
      </w:r>
      <w:r w:rsidRPr="00BF1F87">
        <w:rPr>
          <w:rFonts w:ascii="Times New Roman" w:eastAsia="Times New Roman" w:hAnsi="Times New Roman" w:cs="Times New Roman"/>
          <w:sz w:val="24"/>
          <w:szCs w:val="24"/>
        </w:rPr>
        <w:t>, 28, 261.</w:t>
      </w:r>
    </w:p>
    <w:p w14:paraId="14ECA670"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lastRenderedPageBreak/>
        <w:t>Jonassen, D. H., Peck K. L. and Wilson, B. G. (1999). Learning With Technology: A. Constructivisit Perspective. New Jersey, Prentice Hall.</w:t>
      </w:r>
    </w:p>
    <w:p w14:paraId="55B9D268"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Karaçay, T. (18 Kasım 2000). Matematik öğretimi. Matematik Yılı Matematik Öğretmenleri Semineri Tansel okulları, Sakarya. www.baskent.edu.tr/~tkaracay/ etudio/agora/math/sakarya.html   10.08.2014 tarihinde erişilmiştir.  </w:t>
      </w:r>
    </w:p>
    <w:p w14:paraId="54C9B0B4"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Karasar, N. (2007). </w:t>
      </w:r>
      <w:r w:rsidRPr="00BF1F87">
        <w:rPr>
          <w:rFonts w:ascii="Times New Roman" w:eastAsia="Times New Roman" w:hAnsi="Times New Roman" w:cs="Times New Roman"/>
          <w:i/>
          <w:sz w:val="24"/>
          <w:szCs w:val="24"/>
        </w:rPr>
        <w:t>Bilimsel araştırma yöntemi</w:t>
      </w:r>
      <w:r w:rsidRPr="00BF1F87">
        <w:rPr>
          <w:rFonts w:ascii="Times New Roman" w:eastAsia="Times New Roman" w:hAnsi="Times New Roman" w:cs="Times New Roman"/>
          <w:sz w:val="24"/>
          <w:szCs w:val="24"/>
        </w:rPr>
        <w:t>. Ankara: Nobel Yayın Dağıtımı.</w:t>
      </w:r>
    </w:p>
    <w:p w14:paraId="588CC9D2" w14:textId="77777777" w:rsidR="00BF1F87" w:rsidRPr="00BF1F87" w:rsidRDefault="00BF1F87" w:rsidP="00BF1F87">
      <w:pPr>
        <w:autoSpaceDE w:val="0"/>
        <w:autoSpaceDN w:val="0"/>
        <w:adjustRightInd w:val="0"/>
        <w:spacing w:before="120" w:line="360" w:lineRule="auto"/>
        <w:ind w:left="709" w:hanging="709"/>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Kaya, O. N. (2005). Tartışma teorisine dayalı öğretim yaklaşımının öğrencilerin maddenin tanecikli yapısındaki başarılarına ve bilimin doğası hakkındaki kavramalarına etkisi. Yayımlanmamış Doktora Tezi. Gazi Üniversitesi Eğitim Bilimleri Enstitüsü, Ankara. </w:t>
      </w:r>
    </w:p>
    <w:p w14:paraId="2C2774BA"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Keys, C. W., Hand, B., Prain, V. and Collins, S. (1999). Using the science writing heuristic as a tool learning from laboratory investigations in secondary science. </w:t>
      </w:r>
      <w:r w:rsidRPr="00BF1F87">
        <w:rPr>
          <w:rFonts w:ascii="Times New Roman" w:eastAsia="Times New Roman" w:hAnsi="Times New Roman" w:cs="Times New Roman"/>
          <w:i/>
          <w:sz w:val="24"/>
          <w:szCs w:val="24"/>
        </w:rPr>
        <w:t>Journal of Research in Science Teaching, 36</w:t>
      </w:r>
      <w:r w:rsidRPr="00BF1F87">
        <w:rPr>
          <w:rFonts w:ascii="Times New Roman" w:eastAsia="Times New Roman" w:hAnsi="Times New Roman" w:cs="Times New Roman"/>
          <w:sz w:val="24"/>
          <w:szCs w:val="24"/>
        </w:rPr>
        <w:t>(10), 1065-1084.</w:t>
      </w:r>
    </w:p>
    <w:p w14:paraId="00B5CB95"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Kieft, M., Rijlaarsdam, G. &amp; Bergh, H. (2006). Writing as a learning tool: testing the role of students’ writing strategies. European Journal of Psychology of Education, 21 (1), 17-34.</w:t>
      </w:r>
    </w:p>
    <w:p w14:paraId="594FB598"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Memiş, E.K. (2011). </w:t>
      </w:r>
      <w:r w:rsidRPr="00BF1F87">
        <w:rPr>
          <w:rFonts w:ascii="Times New Roman" w:eastAsia="Times New Roman" w:hAnsi="Times New Roman" w:cs="Times New Roman"/>
          <w:i/>
          <w:sz w:val="24"/>
          <w:szCs w:val="24"/>
        </w:rPr>
        <w:t>Argümantasyon tabanlı bilim öğrenme yaklaşımının ve öz değerlendirmenin ilköğretim</w:t>
      </w:r>
      <w:r w:rsidRPr="00BF1F87">
        <w:rPr>
          <w:rFonts w:ascii="Times New Roman" w:eastAsia="Times New Roman" w:hAnsi="Times New Roman" w:cs="Times New Roman"/>
          <w:sz w:val="24"/>
          <w:szCs w:val="24"/>
        </w:rPr>
        <w:t xml:space="preserve"> </w:t>
      </w:r>
      <w:r w:rsidRPr="00BF1F87">
        <w:rPr>
          <w:rFonts w:ascii="Times New Roman" w:eastAsia="Times New Roman" w:hAnsi="Times New Roman" w:cs="Times New Roman"/>
          <w:i/>
          <w:sz w:val="24"/>
          <w:szCs w:val="24"/>
        </w:rPr>
        <w:t xml:space="preserve">öğrencilerinin fen ve teknoloji dersi başarısına ve başarının kalıcılığına etkisi. </w:t>
      </w:r>
      <w:r w:rsidRPr="00BF1F87">
        <w:rPr>
          <w:rFonts w:ascii="Times New Roman" w:eastAsia="Times New Roman" w:hAnsi="Times New Roman" w:cs="Times New Roman"/>
          <w:sz w:val="24"/>
          <w:szCs w:val="24"/>
        </w:rPr>
        <w:t>Doktora Tezi. Atatürk Üniversitesi Eğitim Bilimleri Enstitüsü, Erzurum.</w:t>
      </w:r>
    </w:p>
    <w:p w14:paraId="61F67756"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Niaz, M., Aguilera, D. Maza, A. and Liendo, G. (2002). Arguments, contradictions, resistances, and conceple change in students understanding of atomic structure. </w:t>
      </w:r>
      <w:r w:rsidRPr="00BF1F87">
        <w:rPr>
          <w:rFonts w:ascii="Times New Roman" w:eastAsia="Times New Roman" w:hAnsi="Times New Roman" w:cs="Times New Roman"/>
          <w:i/>
          <w:sz w:val="24"/>
          <w:szCs w:val="24"/>
        </w:rPr>
        <w:t>Science Education</w:t>
      </w:r>
      <w:r w:rsidRPr="00BF1F87">
        <w:rPr>
          <w:rFonts w:ascii="Times New Roman" w:eastAsia="Times New Roman" w:hAnsi="Times New Roman" w:cs="Times New Roman"/>
          <w:sz w:val="24"/>
          <w:szCs w:val="24"/>
        </w:rPr>
        <w:t>, 86, 505-525.</w:t>
      </w:r>
    </w:p>
    <w:p w14:paraId="474D11DB"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Osborne, J. (2005). The role of argument in science education. </w:t>
      </w:r>
      <w:r w:rsidRPr="00BF1F87">
        <w:rPr>
          <w:rFonts w:ascii="Times New Roman" w:eastAsia="Times New Roman" w:hAnsi="Times New Roman" w:cs="Times New Roman"/>
          <w:i/>
          <w:sz w:val="24"/>
          <w:szCs w:val="24"/>
        </w:rPr>
        <w:t>Research and the Quality of Science Education,</w:t>
      </w:r>
      <w:r w:rsidRPr="00BF1F87">
        <w:rPr>
          <w:rFonts w:ascii="Times New Roman" w:eastAsia="Times New Roman" w:hAnsi="Times New Roman" w:cs="Times New Roman"/>
          <w:sz w:val="24"/>
          <w:szCs w:val="24"/>
        </w:rPr>
        <w:t>7, 367-380.</w:t>
      </w:r>
    </w:p>
    <w:p w14:paraId="72B2E2CF"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Pugalee, D. K. (2004). A comparison of verbal and written descriptions of students' problem solving processes. </w:t>
      </w:r>
      <w:r w:rsidRPr="00BF1F87">
        <w:rPr>
          <w:rFonts w:ascii="Times New Roman" w:eastAsia="Times New Roman" w:hAnsi="Times New Roman" w:cs="Times New Roman"/>
          <w:i/>
          <w:sz w:val="24"/>
          <w:szCs w:val="24"/>
        </w:rPr>
        <w:t>Educational Studies in Mathematics, 55</w:t>
      </w:r>
      <w:r w:rsidRPr="00BF1F87">
        <w:rPr>
          <w:rFonts w:ascii="Times New Roman" w:eastAsia="Times New Roman" w:hAnsi="Times New Roman" w:cs="Times New Roman"/>
          <w:sz w:val="24"/>
          <w:szCs w:val="24"/>
        </w:rPr>
        <w:t>(1-3), 27-47.</w:t>
      </w:r>
    </w:p>
    <w:p w14:paraId="53B420C0"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Rudd, J.A., Greenbowe, T.J., Hand, B. and Legg, M.L. (2001). Using the science writing Heuristic to move toward an inquiry-based laboratory curriculum: An example from physical equilibrium. </w:t>
      </w:r>
      <w:r w:rsidRPr="00BF1F87">
        <w:rPr>
          <w:rFonts w:ascii="Times New Roman" w:eastAsia="Times New Roman" w:hAnsi="Times New Roman" w:cs="Times New Roman"/>
          <w:i/>
          <w:sz w:val="24"/>
          <w:szCs w:val="24"/>
        </w:rPr>
        <w:t>Journal of Chemical education</w:t>
      </w:r>
      <w:r w:rsidRPr="00BF1F87">
        <w:rPr>
          <w:rFonts w:ascii="Times New Roman" w:eastAsia="Times New Roman" w:hAnsi="Times New Roman" w:cs="Times New Roman"/>
          <w:sz w:val="24"/>
          <w:szCs w:val="24"/>
        </w:rPr>
        <w:t>, 78, 1680-1686.</w:t>
      </w:r>
    </w:p>
    <w:p w14:paraId="405941D6" w14:textId="77777777" w:rsidR="00BF1F87" w:rsidRPr="00BF1F87" w:rsidRDefault="00BF1F87" w:rsidP="00BF1F87">
      <w:pPr>
        <w:autoSpaceDE w:val="0"/>
        <w:autoSpaceDN w:val="0"/>
        <w:adjustRightInd w:val="0"/>
        <w:spacing w:before="120" w:line="360" w:lineRule="auto"/>
        <w:ind w:left="709" w:hanging="567"/>
        <w:jc w:val="both"/>
        <w:rPr>
          <w:rFonts w:ascii="Times New Roman" w:eastAsia="Calibri" w:hAnsi="Times New Roman" w:cs="Times New Roman"/>
          <w:sz w:val="24"/>
          <w:szCs w:val="24"/>
          <w:lang w:eastAsia="en-US"/>
        </w:rPr>
      </w:pPr>
      <w:r w:rsidRPr="00BF1F87">
        <w:rPr>
          <w:rFonts w:ascii="Times New Roman" w:eastAsia="Calibri" w:hAnsi="Times New Roman" w:cs="Times New Roman"/>
          <w:sz w:val="24"/>
          <w:szCs w:val="24"/>
          <w:lang w:eastAsia="en-US"/>
        </w:rPr>
        <w:t xml:space="preserve">Sampson, V. and Clark, D. B. (2008). Assessing dialogic argumentation in online environments to relate structure, grounds, and conceptual quality. </w:t>
      </w:r>
      <w:r w:rsidRPr="00BF1F87">
        <w:rPr>
          <w:rFonts w:ascii="Times New Roman" w:eastAsia="Calibri" w:hAnsi="Times New Roman" w:cs="Times New Roman"/>
          <w:i/>
          <w:sz w:val="24"/>
          <w:szCs w:val="24"/>
          <w:lang w:eastAsia="en-US"/>
        </w:rPr>
        <w:t>Journal of Research in Science Teaching, 45</w:t>
      </w:r>
      <w:r w:rsidRPr="00BF1F87">
        <w:rPr>
          <w:rFonts w:ascii="Times New Roman" w:eastAsia="Calibri" w:hAnsi="Times New Roman" w:cs="Times New Roman"/>
          <w:sz w:val="24"/>
          <w:szCs w:val="24"/>
          <w:lang w:eastAsia="en-US"/>
        </w:rPr>
        <w:t>(3), 293-321.</w:t>
      </w:r>
    </w:p>
    <w:p w14:paraId="3B3F91A6"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lastRenderedPageBreak/>
        <w:t xml:space="preserve">Steele, D. (2005). Using writing to access students' schemata knowledge for algebraic thinking. </w:t>
      </w:r>
      <w:r w:rsidRPr="00BF1F87">
        <w:rPr>
          <w:rFonts w:ascii="Times New Roman" w:eastAsia="Times New Roman" w:hAnsi="Times New Roman" w:cs="Times New Roman"/>
          <w:i/>
          <w:sz w:val="24"/>
          <w:szCs w:val="24"/>
        </w:rPr>
        <w:t>School Science and Mathematics, 105</w:t>
      </w:r>
      <w:r w:rsidRPr="00BF1F87">
        <w:rPr>
          <w:rFonts w:ascii="Times New Roman" w:eastAsia="Times New Roman" w:hAnsi="Times New Roman" w:cs="Times New Roman"/>
          <w:sz w:val="24"/>
          <w:szCs w:val="24"/>
        </w:rPr>
        <w:t>(3), 142-154.</w:t>
      </w:r>
    </w:p>
    <w:p w14:paraId="10C35E28"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Uluçınar Sağır, Ş. (2008). </w:t>
      </w:r>
      <w:r w:rsidRPr="00BF1F87">
        <w:rPr>
          <w:rFonts w:ascii="Times New Roman" w:eastAsia="Times New Roman" w:hAnsi="Times New Roman" w:cs="Times New Roman"/>
          <w:i/>
          <w:sz w:val="24"/>
          <w:szCs w:val="24"/>
        </w:rPr>
        <w:t>Fen bilgisi dersinde bilimsel tartışma odaklı öğretimin etkinliliğinin incelenmesi.</w:t>
      </w:r>
      <w:r w:rsidRPr="00BF1F87">
        <w:rPr>
          <w:rFonts w:ascii="Times New Roman" w:eastAsia="Times New Roman" w:hAnsi="Times New Roman" w:cs="Times New Roman"/>
          <w:sz w:val="24"/>
          <w:szCs w:val="24"/>
        </w:rPr>
        <w:t xml:space="preserve"> Yayımlanmış Doktora Tezi. Gazi Üniversitesi Eğitim Bilimleri Enstitüsü, Ankara.</w:t>
      </w:r>
    </w:p>
    <w:p w14:paraId="31FFD7A2"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Yahşi, D. (2006). </w:t>
      </w:r>
      <w:r w:rsidRPr="00BF1F87">
        <w:rPr>
          <w:rFonts w:ascii="Times New Roman" w:eastAsia="Times New Roman" w:hAnsi="Times New Roman" w:cs="Times New Roman"/>
          <w:i/>
          <w:sz w:val="24"/>
          <w:szCs w:val="24"/>
        </w:rPr>
        <w:t xml:space="preserve">Farklı laboratuar yaklaşımlarının ilköğretim 8. sınıf öğrencilerinin asit-baz konularındaki kavramları anlamalarına ve kavram yanılgılarının giderilmesine etkisi. </w:t>
      </w:r>
      <w:r w:rsidRPr="00BF1F87">
        <w:rPr>
          <w:rFonts w:ascii="Times New Roman" w:eastAsia="Times New Roman" w:hAnsi="Times New Roman" w:cs="Times New Roman"/>
          <w:sz w:val="24"/>
          <w:szCs w:val="24"/>
        </w:rPr>
        <w:t>Yayınlanmış Yüksek Lisans Tezi. Abant İzzet Baysal Üniversitesi Sosyal Bilimler Enstitüsü, Bolu.</w:t>
      </w:r>
    </w:p>
    <w:p w14:paraId="3F00370C"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 xml:space="preserve">Yeşiloğlu, S. N. (2007). </w:t>
      </w:r>
      <w:r w:rsidRPr="00BF1F87">
        <w:rPr>
          <w:rFonts w:ascii="Times New Roman" w:eastAsia="Times New Roman" w:hAnsi="Times New Roman" w:cs="Times New Roman"/>
          <w:i/>
          <w:sz w:val="24"/>
          <w:szCs w:val="24"/>
        </w:rPr>
        <w:t>Gazlar konusunun lise öğrencilerine bilimsel tartışma (argümantasyon) odaklı yöntem ile öğretimi.</w:t>
      </w:r>
      <w:r w:rsidRPr="00BF1F87">
        <w:rPr>
          <w:rFonts w:ascii="Times New Roman" w:eastAsia="Times New Roman" w:hAnsi="Times New Roman" w:cs="Times New Roman"/>
          <w:sz w:val="24"/>
          <w:szCs w:val="24"/>
        </w:rPr>
        <w:t xml:space="preserve"> Yüksek Lisans Tezi. Gazi Üniversitesi Eğitim Bilimleri Enstitüsü, Ankara.</w:t>
      </w:r>
    </w:p>
    <w:p w14:paraId="064C8EFF" w14:textId="77777777" w:rsidR="00BF1F87" w:rsidRPr="00BF1F87" w:rsidRDefault="00BF1F87" w:rsidP="00BF1F87">
      <w:pPr>
        <w:spacing w:after="0" w:line="360" w:lineRule="auto"/>
        <w:ind w:left="567" w:hanging="567"/>
        <w:jc w:val="both"/>
        <w:rPr>
          <w:rFonts w:ascii="Times New Roman" w:eastAsia="Times New Roman" w:hAnsi="Times New Roman" w:cs="Times New Roman"/>
          <w:sz w:val="24"/>
          <w:szCs w:val="24"/>
        </w:rPr>
      </w:pPr>
      <w:r w:rsidRPr="00BF1F87">
        <w:rPr>
          <w:rFonts w:ascii="Times New Roman" w:eastAsia="Times New Roman" w:hAnsi="Times New Roman" w:cs="Times New Roman"/>
          <w:sz w:val="24"/>
          <w:szCs w:val="24"/>
        </w:rPr>
        <w:t>Yeşildağ-Hasançebi, F. ve Günel, M.(2013). Argümantasyon tabanlı bilim öğrenme yaklaşımının dezavantajlı öğrencilerin fen bilgisi başarılarına etkisi</w:t>
      </w:r>
      <w:r w:rsidRPr="00BF1F87">
        <w:rPr>
          <w:rFonts w:ascii="Times New Roman" w:eastAsia="Times New Roman" w:hAnsi="Times New Roman" w:cs="Times New Roman"/>
          <w:i/>
          <w:sz w:val="24"/>
          <w:szCs w:val="24"/>
        </w:rPr>
        <w:t>. İlköğretim Online, 12</w:t>
      </w:r>
      <w:r w:rsidRPr="00BF1F87">
        <w:rPr>
          <w:rFonts w:ascii="Times New Roman" w:eastAsia="Times New Roman" w:hAnsi="Times New Roman" w:cs="Times New Roman"/>
          <w:sz w:val="24"/>
          <w:szCs w:val="24"/>
        </w:rPr>
        <w:t>(4), 1056-1073. http: //ilkogretim-online.org.tr</w:t>
      </w:r>
    </w:p>
    <w:p w14:paraId="040AD009" w14:textId="770C03F6" w:rsidR="002669E6" w:rsidRDefault="009E2D0D" w:rsidP="002669E6">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br/>
      </w:r>
      <w:r w:rsidR="002669E6">
        <w:rPr>
          <w:rFonts w:ascii="Times New Roman" w:hAnsi="Times New Roman" w:cs="Times New Roman"/>
          <w:b/>
          <w:sz w:val="24"/>
          <w:szCs w:val="24"/>
          <w:lang w:val="en-GB"/>
        </w:rPr>
        <w:t>Summary</w:t>
      </w:r>
    </w:p>
    <w:p w14:paraId="2DDBA3DE" w14:textId="77777777" w:rsidR="002669E6" w:rsidRPr="00F833D0" w:rsidRDefault="002669E6" w:rsidP="00266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Problem Statement</w:t>
      </w:r>
    </w:p>
    <w:p w14:paraId="5E2A47C4" w14:textId="77777777"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The necessity of good mathematics teaching in schools is seen as an important goal at every stage of education. There is widespread belief that the achievement of students in mathematics in every part of society plays a more important and decisive role than the achievement they have shown in other lessons. For this reason, it can be assumed that why mathematics teaching is necessary is well known by everyone (Karaçay, 2000). The training of qualified individuals to meet the needs of society is only possible with the reveal and develop creative thinking skills in individuals. </w:t>
      </w:r>
    </w:p>
    <w:p w14:paraId="73A20D35" w14:textId="5F5D0510" w:rsidR="002669E6" w:rsidRPr="001D713C" w:rsidRDefault="002669E6" w:rsidP="00D45DD0">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Nowadays, new knowledge learned from individuals is expected to be structured with existing knowledge and skills. For this reason, it is important for the students to identify their prior knowledge before constructing the knowledge (Yahşi, 2006). This is because it is likely that the individuals who are trained in a learning environment where students are directly informed by the teacher without considering the information and their prior knowledge, and who are also assessing the students with stereotypical examinations (Dalkıran, Kesercioğlu and Boyacı, 2005). When considered from this point of view, different learning and teaching methods should help students to learn on their own (Günel, Uzoglu and Büyükkasap, 2009a). </w:t>
      </w:r>
      <w:r w:rsidRPr="001D713C">
        <w:rPr>
          <w:rFonts w:ascii="Times New Roman" w:hAnsi="Times New Roman" w:cs="Times New Roman"/>
          <w:sz w:val="24"/>
          <w:szCs w:val="24"/>
          <w:lang w:val="en-GB"/>
        </w:rPr>
        <w:lastRenderedPageBreak/>
        <w:t>In the scientific debate, the students' research and inquiry ability improves because they work like a scientist (collecting data, providing justification, considering alternative interpretations, reaching to the conclusion with reasoning)  while structuring their arguments. (Driver, Newton ve Osborne, 2000). A number of studies have been carried out on the scientific debate to enhance research skills in students (Druker, Chen and Kelly, 1996; Yerrick, 2000).</w:t>
      </w:r>
      <w:r w:rsidR="00D45DD0">
        <w:rPr>
          <w:rFonts w:ascii="Times New Roman" w:hAnsi="Times New Roman" w:cs="Times New Roman"/>
          <w:sz w:val="24"/>
          <w:szCs w:val="24"/>
          <w:lang w:val="en-GB"/>
        </w:rPr>
        <w:t>These researches</w:t>
      </w:r>
      <w:r w:rsidRPr="001D713C">
        <w:rPr>
          <w:rFonts w:ascii="Times New Roman" w:hAnsi="Times New Roman" w:cs="Times New Roman"/>
          <w:sz w:val="24"/>
          <w:szCs w:val="24"/>
          <w:lang w:val="en-GB"/>
        </w:rPr>
        <w:t xml:space="preserve">; demonstrates that the scientific debate positively changes students' ability to understand causal relationships, to create testable hypotheses, to design experiments, to solve real-life problems, and to have scientific research skills. In addition, since students do not work in groups in scientific discussion, it is aimed that students will have social interaction and cooperation by means of these group studies. </w:t>
      </w:r>
    </w:p>
    <w:p w14:paraId="2AE1AA62" w14:textId="3E2725CD" w:rsidR="002669E6" w:rsidRPr="001D713C" w:rsidRDefault="002669E6" w:rsidP="002669E6">
      <w:pPr>
        <w:spacing w:after="0" w:line="360" w:lineRule="auto"/>
        <w:ind w:firstLine="708"/>
        <w:jc w:val="both"/>
        <w:rPr>
          <w:rFonts w:ascii="Times New Roman" w:hAnsi="Times New Roman" w:cs="Times New Roman"/>
          <w:sz w:val="24"/>
          <w:szCs w:val="24"/>
          <w:lang w:val="en-GB"/>
        </w:rPr>
      </w:pPr>
      <w:r w:rsidRPr="001D713C">
        <w:rPr>
          <w:rFonts w:ascii="Times New Roman" w:hAnsi="Times New Roman" w:cs="Times New Roman"/>
          <w:sz w:val="24"/>
          <w:szCs w:val="24"/>
          <w:lang w:val="en-GB"/>
        </w:rPr>
        <w:t xml:space="preserve">Practices such as the refutation of opposing ideas, the racing of hypotheses, and applications such as the provision of justifications are influential on the conceptual change. Scientific debates about conceptual change are also closely related to the discovery of student ideas and the refutation of false concepts (Uluçınar, 2008). In addition, during the scientific debate, the questioning of alternative ideas that students have and the fact that they are aware of the opposite reasons and scientific ideas in this process are accelerating the process of conceptual change Niaz, Alguilera, Maza and Liendo, 2002). </w:t>
      </w:r>
      <w:r w:rsidR="002C60CD" w:rsidRPr="002C60CD">
        <w:rPr>
          <w:rFonts w:ascii="Times New Roman" w:hAnsi="Times New Roman" w:cs="Times New Roman"/>
          <w:sz w:val="24"/>
          <w:szCs w:val="24"/>
          <w:lang w:val="en-GB"/>
        </w:rPr>
        <w:t>Osborne (2005) emphasized that s</w:t>
      </w:r>
      <w:r w:rsidR="003F1196">
        <w:rPr>
          <w:rFonts w:ascii="Times New Roman" w:hAnsi="Times New Roman" w:cs="Times New Roman"/>
          <w:sz w:val="24"/>
          <w:szCs w:val="24"/>
          <w:lang w:val="en-GB"/>
        </w:rPr>
        <w:t xml:space="preserve">tudents’ proving their beliefs </w:t>
      </w:r>
      <w:r w:rsidR="002C60CD" w:rsidRPr="002C60CD">
        <w:rPr>
          <w:rFonts w:ascii="Times New Roman" w:hAnsi="Times New Roman" w:cs="Times New Roman"/>
          <w:sz w:val="24"/>
          <w:szCs w:val="24"/>
          <w:lang w:val="en-GB"/>
        </w:rPr>
        <w:t>through reasoning, guessing, evaluating the proofs and thinking over counter-arguments contribute to conceptual learning.</w:t>
      </w:r>
      <w:r w:rsidR="002C60CD">
        <w:rPr>
          <w:rFonts w:ascii="Times New Roman" w:hAnsi="Times New Roman" w:cs="Times New Roman"/>
          <w:sz w:val="24"/>
          <w:szCs w:val="24"/>
          <w:lang w:val="en-GB"/>
        </w:rPr>
        <w:t xml:space="preserve"> </w:t>
      </w:r>
      <w:r w:rsidRPr="001D713C">
        <w:rPr>
          <w:rFonts w:ascii="Times New Roman" w:hAnsi="Times New Roman" w:cs="Times New Roman"/>
          <w:sz w:val="24"/>
          <w:szCs w:val="24"/>
          <w:lang w:val="en-GB"/>
        </w:rPr>
        <w:t>Instead of using traditional methods, methods that will increase the creativity of students should be tried and developed.</w:t>
      </w:r>
    </w:p>
    <w:p w14:paraId="2E523C75" w14:textId="7419EBA8" w:rsidR="002669E6" w:rsidRPr="001D713C" w:rsidRDefault="002C60CD" w:rsidP="002669E6">
      <w:pPr>
        <w:spacing w:after="0" w:line="360" w:lineRule="auto"/>
        <w:ind w:firstLine="708"/>
        <w:jc w:val="both"/>
        <w:rPr>
          <w:rFonts w:ascii="Times New Roman" w:hAnsi="Times New Roman" w:cs="Times New Roman"/>
          <w:sz w:val="24"/>
          <w:szCs w:val="24"/>
          <w:lang w:val="en-GB"/>
        </w:rPr>
      </w:pPr>
      <w:r w:rsidRPr="002C60CD">
        <w:rPr>
          <w:rFonts w:ascii="Times New Roman" w:hAnsi="Times New Roman" w:cs="Times New Roman"/>
          <w:sz w:val="24"/>
          <w:szCs w:val="24"/>
          <w:lang w:val="en-GB"/>
        </w:rPr>
        <w:t>In argumentation-based teaching, students exhibit their mental schema and they question not only their own views but also those of other students.</w:t>
      </w:r>
      <w:r>
        <w:rPr>
          <w:rFonts w:ascii="Times New Roman" w:hAnsi="Times New Roman" w:cs="Times New Roman"/>
          <w:sz w:val="24"/>
          <w:szCs w:val="24"/>
          <w:lang w:val="en-GB"/>
        </w:rPr>
        <w:t xml:space="preserve"> </w:t>
      </w:r>
      <w:r w:rsidRPr="002C60CD">
        <w:rPr>
          <w:rFonts w:ascii="Times New Roman" w:hAnsi="Times New Roman" w:cs="Times New Roman"/>
          <w:sz w:val="24"/>
          <w:szCs w:val="24"/>
          <w:lang w:val="en-GB"/>
        </w:rPr>
        <w:t>M</w:t>
      </w:r>
      <w:r>
        <w:rPr>
          <w:rFonts w:ascii="Times New Roman" w:hAnsi="Times New Roman" w:cs="Times New Roman"/>
          <w:sz w:val="24"/>
          <w:szCs w:val="24"/>
          <w:lang w:val="en-GB"/>
        </w:rPr>
        <w:t>oreover, using reason and proof</w:t>
      </w:r>
      <w:r w:rsidRPr="002C60CD">
        <w:rPr>
          <w:rFonts w:ascii="Times New Roman" w:hAnsi="Times New Roman" w:cs="Times New Roman"/>
          <w:sz w:val="24"/>
          <w:szCs w:val="24"/>
          <w:lang w:val="en-GB"/>
        </w:rPr>
        <w:t xml:space="preserve"> in o</w:t>
      </w:r>
      <w:r>
        <w:rPr>
          <w:rFonts w:ascii="Times New Roman" w:hAnsi="Times New Roman" w:cs="Times New Roman"/>
          <w:sz w:val="24"/>
          <w:szCs w:val="24"/>
          <w:lang w:val="en-GB"/>
        </w:rPr>
        <w:t xml:space="preserve">rder to support their claims, </w:t>
      </w:r>
      <w:r w:rsidRPr="002C60CD">
        <w:rPr>
          <w:rFonts w:ascii="Times New Roman" w:hAnsi="Times New Roman" w:cs="Times New Roman"/>
          <w:sz w:val="24"/>
          <w:szCs w:val="24"/>
          <w:lang w:val="en-GB"/>
        </w:rPr>
        <w:t>they put forward their higher-order reasoning and oral expression skills when necessary by invalidating counter-arguments with their rebuttals.</w:t>
      </w:r>
      <w:r>
        <w:rPr>
          <w:rFonts w:ascii="Times New Roman" w:hAnsi="Times New Roman" w:cs="Times New Roman"/>
          <w:sz w:val="24"/>
          <w:szCs w:val="24"/>
          <w:lang w:val="en-GB"/>
        </w:rPr>
        <w:t xml:space="preserve"> </w:t>
      </w:r>
      <w:r w:rsidR="002669E6" w:rsidRPr="001D713C">
        <w:rPr>
          <w:rFonts w:ascii="Times New Roman" w:hAnsi="Times New Roman" w:cs="Times New Roman"/>
          <w:sz w:val="24"/>
          <w:szCs w:val="24"/>
          <w:lang w:val="en-GB"/>
        </w:rPr>
        <w:t xml:space="preserve">From this point of view, many aspects stand out from the traditional approach (Uluçınar, 2008). From this point of view, many superior aspects stand out compared to traditional approach (Uluçınar, 2008). In constructivism, there is a need for individuals who produce their own technology, who are self-conscious, creative, researching, questioning, knowing what, where and why (Jonassen, Peck ve Wilson, 1999). In this approach the student is in the active position and the teacher mostly plans student-centered activities. </w:t>
      </w:r>
    </w:p>
    <w:p w14:paraId="23E61997" w14:textId="64905C70" w:rsidR="002669E6" w:rsidRPr="00F833D0" w:rsidRDefault="002669E6" w:rsidP="002669E6">
      <w:pPr>
        <w:spacing w:after="0" w:line="360" w:lineRule="auto"/>
        <w:jc w:val="both"/>
        <w:rPr>
          <w:rFonts w:ascii="Times New Roman" w:hAnsi="Times New Roman" w:cs="Times New Roman"/>
          <w:b/>
          <w:sz w:val="24"/>
          <w:szCs w:val="24"/>
        </w:rPr>
      </w:pPr>
      <w:r w:rsidRPr="001D713C">
        <w:rPr>
          <w:rFonts w:ascii="Times New Roman" w:hAnsi="Times New Roman" w:cs="Times New Roman"/>
          <w:sz w:val="24"/>
          <w:szCs w:val="24"/>
          <w:lang w:val="en-GB"/>
        </w:rPr>
        <w:t xml:space="preserve">ABSL approach is an approach that </w:t>
      </w:r>
      <w:r w:rsidR="000C749D">
        <w:rPr>
          <w:rFonts w:ascii="Times New Roman" w:hAnsi="Times New Roman" w:cs="Times New Roman"/>
          <w:sz w:val="24"/>
          <w:szCs w:val="24"/>
          <w:lang w:val="en-GB"/>
        </w:rPr>
        <w:t xml:space="preserve">is </w:t>
      </w:r>
      <w:r w:rsidRPr="001D713C">
        <w:rPr>
          <w:rFonts w:ascii="Times New Roman" w:hAnsi="Times New Roman" w:cs="Times New Roman"/>
          <w:sz w:val="24"/>
          <w:szCs w:val="24"/>
          <w:lang w:val="en-GB"/>
        </w:rPr>
        <w:t xml:space="preserve">based on constructivist approach and </w:t>
      </w:r>
      <w:r w:rsidR="000C749D">
        <w:rPr>
          <w:rFonts w:ascii="Times New Roman" w:hAnsi="Times New Roman" w:cs="Times New Roman"/>
          <w:sz w:val="24"/>
          <w:szCs w:val="24"/>
          <w:lang w:val="en-GB"/>
        </w:rPr>
        <w:t xml:space="preserve">is </w:t>
      </w:r>
      <w:r w:rsidRPr="001D713C">
        <w:rPr>
          <w:rFonts w:ascii="Times New Roman" w:hAnsi="Times New Roman" w:cs="Times New Roman"/>
          <w:sz w:val="24"/>
          <w:szCs w:val="24"/>
          <w:lang w:val="en-GB"/>
        </w:rPr>
        <w:t xml:space="preserve">combined of constructivist learning models, the role of preliminary knowledge, reader involvement, causality associations, cognitive learning, and problem solving (Keys, Hand, Prain ve Collins, </w:t>
      </w:r>
      <w:r w:rsidRPr="001D713C">
        <w:rPr>
          <w:rFonts w:ascii="Times New Roman" w:hAnsi="Times New Roman" w:cs="Times New Roman"/>
          <w:sz w:val="24"/>
          <w:szCs w:val="24"/>
          <w:lang w:val="en-GB"/>
        </w:rPr>
        <w:lastRenderedPageBreak/>
        <w:t xml:space="preserve">1999). This approach, which is more commonly used in the field of science </w:t>
      </w:r>
      <w:r w:rsidR="000C749D">
        <w:rPr>
          <w:rFonts w:ascii="Times New Roman" w:hAnsi="Times New Roman" w:cs="Times New Roman"/>
          <w:sz w:val="24"/>
          <w:szCs w:val="24"/>
          <w:lang w:val="en-GB"/>
        </w:rPr>
        <w:t xml:space="preserve">and </w:t>
      </w:r>
      <w:r w:rsidRPr="001D713C">
        <w:rPr>
          <w:rFonts w:ascii="Times New Roman" w:hAnsi="Times New Roman" w:cs="Times New Roman"/>
          <w:sz w:val="24"/>
          <w:szCs w:val="24"/>
          <w:lang w:val="en-GB"/>
        </w:rPr>
        <w:t>is also used in the field of mathematics, is important in terms of reviewing its impact on creativity. ABSL appro</w:t>
      </w:r>
      <w:r w:rsidR="000C749D">
        <w:rPr>
          <w:rFonts w:ascii="Times New Roman" w:hAnsi="Times New Roman" w:cs="Times New Roman"/>
          <w:sz w:val="24"/>
          <w:szCs w:val="24"/>
          <w:lang w:val="en-GB"/>
        </w:rPr>
        <w:t>ach is also important since it is</w:t>
      </w:r>
      <w:r w:rsidRPr="001D713C">
        <w:rPr>
          <w:rFonts w:ascii="Times New Roman" w:hAnsi="Times New Roman" w:cs="Times New Roman"/>
          <w:sz w:val="24"/>
          <w:szCs w:val="24"/>
          <w:lang w:val="en-GB"/>
        </w:rPr>
        <w:t xml:space="preserve"> a discussion-based approach, in terms of the training and development of creative individuals that society needs who are not memorizing but constantly searching, inquiring, and advancing their ideas. In this study, it is envisaged that the practicing of ABSL approach in mathematics course will enable students to experience an exemplary learning environment in which they can realize their own creativity besides learning by learning without memorizing mathematical concepts. In this study, it is envisaged that the application of ABSL approach in mathematics course will enable students to experience an exemplary learning environment in which they can realize their own creativity besides learning by learning without memorizing mathematical concepts.</w:t>
      </w:r>
      <w:r w:rsidR="000C749D">
        <w:rPr>
          <w:rFonts w:ascii="Times New Roman" w:hAnsi="Times New Roman" w:cs="Times New Roman"/>
          <w:sz w:val="24"/>
          <w:szCs w:val="24"/>
          <w:lang w:val="en-GB"/>
        </w:rPr>
        <w:t xml:space="preserve"> In parallel with this approach, </w:t>
      </w:r>
      <w:r w:rsidRPr="001D713C">
        <w:rPr>
          <w:rFonts w:ascii="Times New Roman" w:hAnsi="Times New Roman" w:cs="Times New Roman"/>
          <w:sz w:val="24"/>
          <w:szCs w:val="24"/>
          <w:lang w:val="en-GB"/>
        </w:rPr>
        <w:t>the general purpose of our research is to examine the impact of the argument-based science learning approach on the achievement of 9th grade students on functions and their creative thinking skills.</w:t>
      </w:r>
      <w:r>
        <w:rPr>
          <w:rFonts w:ascii="Times New Roman" w:hAnsi="Times New Roman" w:cs="Times New Roman"/>
          <w:b/>
          <w:sz w:val="24"/>
          <w:szCs w:val="24"/>
        </w:rPr>
        <w:br/>
        <w:t>Method(s)</w:t>
      </w:r>
    </w:p>
    <w:p w14:paraId="4D707B77" w14:textId="62236E65" w:rsidR="002669E6" w:rsidRPr="00055077"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Quantitative method was used in the study. The study consisted of a single group pretest-posttest weak experimental design. Karasar (2007) stated that a well-selected group variable was applied in the single group pre-test post-test model and stated that both pre-experiment (pre-test) and post-experiment (post-test) measures were applied.</w:t>
      </w:r>
      <w:r w:rsidRPr="00055077">
        <w:t xml:space="preserve"> </w:t>
      </w:r>
      <w:r w:rsidRPr="00055077">
        <w:rPr>
          <w:rFonts w:ascii="Times New Roman" w:hAnsi="Times New Roman" w:cs="Times New Roman"/>
          <w:sz w:val="24"/>
          <w:szCs w:val="24"/>
          <w:lang w:val="en-GB"/>
        </w:rPr>
        <w:t>Research Bayburt Science High School was conducted with a total of 22 students, 11 girls and 11 boys in the 9th grade in the fall semester of 2012-2013 academic year. If</w:t>
      </w:r>
      <w:r w:rsidR="00977182">
        <w:rPr>
          <w:rFonts w:ascii="Times New Roman" w:hAnsi="Times New Roman" w:cs="Times New Roman"/>
          <w:sz w:val="24"/>
          <w:szCs w:val="24"/>
          <w:lang w:val="en-GB"/>
        </w:rPr>
        <w:t xml:space="preserve"> it is considered that they all</w:t>
      </w:r>
      <w:r w:rsidR="00977182" w:rsidRPr="00055077">
        <w:rPr>
          <w:rFonts w:ascii="Times New Roman" w:hAnsi="Times New Roman" w:cs="Times New Roman"/>
          <w:sz w:val="24"/>
          <w:szCs w:val="24"/>
          <w:lang w:val="en-GB"/>
        </w:rPr>
        <w:t xml:space="preserve"> </w:t>
      </w:r>
      <w:r w:rsidRPr="00055077">
        <w:rPr>
          <w:rFonts w:ascii="Times New Roman" w:hAnsi="Times New Roman" w:cs="Times New Roman"/>
          <w:sz w:val="24"/>
          <w:szCs w:val="24"/>
          <w:lang w:val="en-GB"/>
        </w:rPr>
        <w:t>have received similar training in primary education and they are placed in the science high school with a certain base score from SBS (Level Determination Test)</w:t>
      </w:r>
      <w:r w:rsidR="00977182">
        <w:rPr>
          <w:rFonts w:ascii="Times New Roman" w:hAnsi="Times New Roman" w:cs="Times New Roman"/>
          <w:sz w:val="24"/>
          <w:szCs w:val="24"/>
          <w:lang w:val="en-GB"/>
        </w:rPr>
        <w:t>,</w:t>
      </w:r>
      <w:r w:rsidRPr="00055077">
        <w:rPr>
          <w:rFonts w:ascii="Times New Roman" w:hAnsi="Times New Roman" w:cs="Times New Roman"/>
          <w:sz w:val="24"/>
          <w:szCs w:val="24"/>
          <w:lang w:val="en-GB"/>
        </w:rPr>
        <w:t xml:space="preserve"> it can be said that all the students are very homogeneous. The objective sampling method, which is one of the unselected sampling approaches, has been used in the selection of the students.</w:t>
      </w:r>
      <w:r w:rsidRPr="00055077">
        <w:t xml:space="preserve"> </w:t>
      </w:r>
      <w:r w:rsidRPr="00055077">
        <w:rPr>
          <w:rFonts w:ascii="Times New Roman" w:hAnsi="Times New Roman" w:cs="Times New Roman"/>
          <w:sz w:val="24"/>
          <w:szCs w:val="24"/>
          <w:lang w:val="en-GB"/>
        </w:rPr>
        <w:t xml:space="preserve">The initial state of the test, developed for the study, consists of 20 open ended questions. On the topic of the functions, a question pool was created by bringing together the questions from OSS-LYS-YGS examination in the past years. To determine which of the questions will be used, educational attainments related with the topics and the aim of the study was taken as the objective criteria and the statement table was prepared. The questions determined according to these criteria were not exactly used, multiple choice questions </w:t>
      </w:r>
      <w:r w:rsidR="00977182">
        <w:rPr>
          <w:rFonts w:ascii="Times New Roman" w:hAnsi="Times New Roman" w:cs="Times New Roman"/>
          <w:sz w:val="24"/>
          <w:szCs w:val="24"/>
          <w:lang w:val="en-GB"/>
        </w:rPr>
        <w:t xml:space="preserve">were </w:t>
      </w:r>
      <w:r w:rsidRPr="00055077">
        <w:rPr>
          <w:rFonts w:ascii="Times New Roman" w:hAnsi="Times New Roman" w:cs="Times New Roman"/>
          <w:sz w:val="24"/>
          <w:szCs w:val="24"/>
          <w:lang w:val="en-GB"/>
        </w:rPr>
        <w:t>turned into open ended questions. 20 questions were determined according to the generated statement table.</w:t>
      </w:r>
      <w:r w:rsidRPr="00055077">
        <w:t xml:space="preserve"> </w:t>
      </w:r>
      <w:r w:rsidRPr="00055077">
        <w:rPr>
          <w:rFonts w:ascii="Times New Roman" w:hAnsi="Times New Roman" w:cs="Times New Roman"/>
          <w:sz w:val="24"/>
          <w:szCs w:val="24"/>
          <w:lang w:val="en-GB"/>
        </w:rPr>
        <w:t xml:space="preserve">The pilot study of the test was applied to a group of 50 students who were studying in the 10th grade and the total score obtained from each student's test was calculated. The calculated scores were ranked from small to large, and then </w:t>
      </w:r>
      <w:r w:rsidRPr="00055077">
        <w:rPr>
          <w:rFonts w:ascii="Times New Roman" w:hAnsi="Times New Roman" w:cs="Times New Roman"/>
          <w:sz w:val="24"/>
          <w:szCs w:val="24"/>
          <w:lang w:val="en-GB"/>
        </w:rPr>
        <w:lastRenderedPageBreak/>
        <w:t xml:space="preserve">the students were divided into 3 groups, the upper group consisted of 15 students, the middle group </w:t>
      </w:r>
      <w:r w:rsidR="00977182">
        <w:rPr>
          <w:rFonts w:ascii="Times New Roman" w:hAnsi="Times New Roman" w:cs="Times New Roman"/>
          <w:sz w:val="24"/>
          <w:szCs w:val="24"/>
          <w:lang w:val="en-GB"/>
        </w:rPr>
        <w:t xml:space="preserve">included </w:t>
      </w:r>
      <w:r w:rsidRPr="00055077">
        <w:rPr>
          <w:rFonts w:ascii="Times New Roman" w:hAnsi="Times New Roman" w:cs="Times New Roman"/>
          <w:sz w:val="24"/>
          <w:szCs w:val="24"/>
          <w:lang w:val="en-GB"/>
        </w:rPr>
        <w:t>20 student</w:t>
      </w:r>
      <w:r w:rsidR="00977182">
        <w:rPr>
          <w:rFonts w:ascii="Times New Roman" w:hAnsi="Times New Roman" w:cs="Times New Roman"/>
          <w:sz w:val="24"/>
          <w:szCs w:val="24"/>
          <w:lang w:val="en-GB"/>
        </w:rPr>
        <w:t>s and the lower group had</w:t>
      </w:r>
      <w:r w:rsidRPr="00055077">
        <w:rPr>
          <w:rFonts w:ascii="Times New Roman" w:hAnsi="Times New Roman" w:cs="Times New Roman"/>
          <w:sz w:val="24"/>
          <w:szCs w:val="24"/>
          <w:lang w:val="en-GB"/>
        </w:rPr>
        <w:t xml:space="preserve"> 15 students. The discriminatory and difficulty indices for the test items were calculated according to these groups.</w:t>
      </w:r>
      <w:r w:rsidRPr="00055077">
        <w:t xml:space="preserve"> </w:t>
      </w:r>
      <w:r w:rsidRPr="00055077">
        <w:rPr>
          <w:rFonts w:ascii="Times New Roman" w:hAnsi="Times New Roman" w:cs="Times New Roman"/>
          <w:sz w:val="24"/>
          <w:szCs w:val="24"/>
          <w:lang w:val="en-GB"/>
        </w:rPr>
        <w:t xml:space="preserve">Expert opinion has been consulted to ensure the validity of the test. 3 mathematics education specialists and 2 mathematics teachers who were working in high school were investigated and their validity was tried to be obtained by taking their opinions. </w:t>
      </w:r>
    </w:p>
    <w:p w14:paraId="6F3D5440" w14:textId="2EB1AA1E" w:rsidR="002669E6" w:rsidRDefault="002669E6" w:rsidP="002669E6">
      <w:pPr>
        <w:spacing w:after="0" w:line="360" w:lineRule="auto"/>
        <w:jc w:val="both"/>
        <w:rPr>
          <w:rFonts w:ascii="Times New Roman" w:hAnsi="Times New Roman" w:cs="Times New Roman"/>
          <w:sz w:val="24"/>
          <w:szCs w:val="24"/>
          <w:lang w:val="en-GB"/>
        </w:rPr>
      </w:pPr>
      <w:r w:rsidRPr="00055077">
        <w:rPr>
          <w:rFonts w:ascii="Times New Roman" w:hAnsi="Times New Roman" w:cs="Times New Roman"/>
          <w:sz w:val="24"/>
          <w:szCs w:val="24"/>
          <w:lang w:val="en-GB"/>
        </w:rPr>
        <w:t>After the item analysis, the final version of the function achievement test was created to include 15 open-ended questions by removing some questions (2,6,13,15,19). Reliability analysis was performed for the data obtained from</w:t>
      </w:r>
      <w:r w:rsidR="00D66E2E">
        <w:rPr>
          <w:rFonts w:ascii="Times New Roman" w:hAnsi="Times New Roman" w:cs="Times New Roman"/>
          <w:sz w:val="24"/>
          <w:szCs w:val="24"/>
          <w:lang w:val="en-GB"/>
        </w:rPr>
        <w:t xml:space="preserve"> the pilot application and the C</w:t>
      </w:r>
      <w:r w:rsidRPr="00055077">
        <w:rPr>
          <w:rFonts w:ascii="Times New Roman" w:hAnsi="Times New Roman" w:cs="Times New Roman"/>
          <w:sz w:val="24"/>
          <w:szCs w:val="24"/>
          <w:lang w:val="en-GB"/>
        </w:rPr>
        <w:t>ronbach alpha value was found to be .709. As a result of the pilot study, it was decided to apply the test within one hour.</w:t>
      </w:r>
      <w:r w:rsidRPr="00055077">
        <w:t xml:space="preserve"> </w:t>
      </w:r>
      <w:r w:rsidRPr="00055077">
        <w:rPr>
          <w:rFonts w:ascii="Times New Roman" w:hAnsi="Times New Roman" w:cs="Times New Roman"/>
          <w:sz w:val="24"/>
          <w:szCs w:val="24"/>
          <w:lang w:val="en-GB"/>
        </w:rPr>
        <w:t>After the answer key is set for the Function Achievement Test, the correct answer for each question is given a value of 4, and the wrong answer is given a value of 0. In the evaluation of the open-ended questions, the holistic evaluation key was used for the problem solving given in the mathematics curriculum prepared by the Ministry of National Education. The SPSS 18.0 package program was used in the analysis of the data obtained from the pre-test-post test for the Functional Achievement Test. The skewness and kurtosis values for the normality condition, which is the condition of the parametric, were examined between -1 and +1 and the paired sample t-test was performed. The Skewness and kurtosis values of the Functional Achievement Test, which are separated into categories, are between -1 and +1 and the paired sample t-test is used.</w:t>
      </w:r>
    </w:p>
    <w:p w14:paraId="1ED61B28" w14:textId="77777777" w:rsidR="002669E6" w:rsidRPr="00237CA1" w:rsidRDefault="002669E6" w:rsidP="002669E6">
      <w:pPr>
        <w:spacing w:after="0" w:line="360" w:lineRule="auto"/>
        <w:jc w:val="both"/>
        <w:rPr>
          <w:rFonts w:ascii="Times New Roman" w:hAnsi="Times New Roman" w:cs="Times New Roman"/>
          <w:b/>
          <w:sz w:val="24"/>
          <w:szCs w:val="24"/>
          <w:lang w:val="en-US"/>
        </w:rPr>
      </w:pPr>
      <w:r w:rsidRPr="005F74BD">
        <w:rPr>
          <w:rFonts w:ascii="Times New Roman" w:hAnsi="Times New Roman" w:cs="Times New Roman"/>
          <w:sz w:val="24"/>
          <w:szCs w:val="24"/>
        </w:rPr>
        <w:br/>
      </w:r>
      <w:r w:rsidRPr="00237CA1">
        <w:rPr>
          <w:rFonts w:ascii="Times New Roman" w:hAnsi="Times New Roman" w:cs="Times New Roman"/>
          <w:b/>
          <w:sz w:val="24"/>
          <w:szCs w:val="24"/>
          <w:lang w:val="en-US"/>
        </w:rPr>
        <w:t>Findings and Discussions</w:t>
      </w:r>
    </w:p>
    <w:p w14:paraId="16DC8368" w14:textId="77777777" w:rsidR="002669E6" w:rsidRDefault="002669E6" w:rsidP="002669E6">
      <w:pPr>
        <w:spacing w:after="0" w:line="360" w:lineRule="auto"/>
        <w:ind w:firstLine="708"/>
        <w:jc w:val="both"/>
        <w:rPr>
          <w:rFonts w:ascii="Times New Roman" w:hAnsi="Times New Roman" w:cs="Times New Roman"/>
          <w:sz w:val="24"/>
          <w:szCs w:val="24"/>
        </w:rPr>
      </w:pPr>
      <w:r w:rsidRPr="00237CA1">
        <w:rPr>
          <w:rFonts w:ascii="Times New Roman" w:hAnsi="Times New Roman" w:cs="Times New Roman"/>
          <w:sz w:val="24"/>
          <w:szCs w:val="24"/>
          <w:lang w:val="en-US"/>
        </w:rPr>
        <w:t>The data obtained from the application of the achievement test as the pre-test and post-test in the practice group were subjected to statistical analysis in order to reveal the possible differences between the pre-test and the post-test. The results of the statistical analysis revealed that the average score of the students' achievement test was 7.23 before applying the ABSL approach, and the average score of the same test after the application increased to 42.77.  The paired sample, which is decided to be used to determine whether there is a statistically significant difference between the pre-test and the post-test, indicates that the calculated skewness and kurtosis values are between -1 and +1, and that the data normally distribute before determining whether the necessary assumptions are met. The results of the analysis performed after determining that the necessary assumptions were satisfied revealed a statistically significant difference in the significance level of .05 between the achievement pre-</w:t>
      </w:r>
      <w:r w:rsidRPr="00237CA1">
        <w:rPr>
          <w:rFonts w:ascii="Times New Roman" w:hAnsi="Times New Roman" w:cs="Times New Roman"/>
          <w:sz w:val="24"/>
          <w:szCs w:val="24"/>
          <w:lang w:val="en-US"/>
        </w:rPr>
        <w:lastRenderedPageBreak/>
        <w:t>test and post-test (p = .00 &lt;.05). In other words, it can be said that the ABSL approach used in teaching mathematics is a successful method for increasin</w:t>
      </w:r>
      <w:r w:rsidRPr="00055077">
        <w:rPr>
          <w:rFonts w:ascii="Times New Roman" w:hAnsi="Times New Roman" w:cs="Times New Roman"/>
          <w:sz w:val="24"/>
          <w:szCs w:val="24"/>
        </w:rPr>
        <w:t xml:space="preserve">g the students' achievement in terms of functions. </w:t>
      </w:r>
    </w:p>
    <w:p w14:paraId="24A9F743" w14:textId="4C42EEB9" w:rsidR="002669E6" w:rsidRPr="00C04421" w:rsidRDefault="002669E6" w:rsidP="00C04421">
      <w:pPr>
        <w:spacing w:after="0" w:line="360" w:lineRule="auto"/>
        <w:ind w:firstLine="709"/>
        <w:jc w:val="both"/>
        <w:rPr>
          <w:rFonts w:ascii="Times New Roman" w:hAnsi="Times New Roman" w:cs="Times New Roman"/>
          <w:sz w:val="24"/>
          <w:szCs w:val="24"/>
          <w:lang w:val="en-US"/>
        </w:rPr>
      </w:pPr>
      <w:r w:rsidRPr="00C04421">
        <w:rPr>
          <w:rFonts w:ascii="Times New Roman" w:hAnsi="Times New Roman" w:cs="Times New Roman"/>
          <w:sz w:val="24"/>
          <w:szCs w:val="24"/>
          <w:lang w:val="en-US"/>
        </w:rPr>
        <w:t xml:space="preserve">Function Achievement Test consisting of 15 open ended questions was divided into 4 categories by taking expert opinions. The categories were formed as 4 questions in A category, 3 in B category, 4 in C category </w:t>
      </w:r>
      <w:r w:rsidR="00D66E2E">
        <w:rPr>
          <w:rFonts w:ascii="Times New Roman" w:hAnsi="Times New Roman" w:cs="Times New Roman"/>
          <w:sz w:val="24"/>
          <w:szCs w:val="24"/>
          <w:lang w:val="en-US"/>
        </w:rPr>
        <w:t xml:space="preserve">and 4 in D category for 15 open-ended questions. Category A </w:t>
      </w:r>
      <w:r w:rsidRPr="00C04421">
        <w:rPr>
          <w:rFonts w:ascii="Times New Roman" w:hAnsi="Times New Roman" w:cs="Times New Roman"/>
          <w:sz w:val="24"/>
          <w:szCs w:val="24"/>
          <w:lang w:val="en-US"/>
        </w:rPr>
        <w:t xml:space="preserve">is a category that contains operational questions at </w:t>
      </w:r>
      <w:r w:rsidR="00D66E2E">
        <w:rPr>
          <w:rFonts w:ascii="Times New Roman" w:hAnsi="Times New Roman" w:cs="Times New Roman"/>
          <w:sz w:val="24"/>
          <w:szCs w:val="24"/>
          <w:lang w:val="en-US"/>
        </w:rPr>
        <w:t xml:space="preserve">a more basic level. Category B </w:t>
      </w:r>
      <w:r w:rsidRPr="00C04421">
        <w:rPr>
          <w:rFonts w:ascii="Times New Roman" w:hAnsi="Times New Roman" w:cs="Times New Roman"/>
          <w:sz w:val="24"/>
          <w:szCs w:val="24"/>
          <w:lang w:val="en-US"/>
        </w:rPr>
        <w:t xml:space="preserve">contains a bit more difficult questions than the questions in category A regarding understanding </w:t>
      </w:r>
      <w:r w:rsidR="00D66E2E">
        <w:rPr>
          <w:rFonts w:ascii="Times New Roman" w:hAnsi="Times New Roman" w:cs="Times New Roman"/>
          <w:sz w:val="24"/>
          <w:szCs w:val="24"/>
          <w:lang w:val="en-US"/>
        </w:rPr>
        <w:t>basic information. Category C i</w:t>
      </w:r>
      <w:r w:rsidRPr="00C04421">
        <w:rPr>
          <w:rFonts w:ascii="Times New Roman" w:hAnsi="Times New Roman" w:cs="Times New Roman"/>
          <w:sz w:val="24"/>
          <w:szCs w:val="24"/>
          <w:lang w:val="en-US"/>
        </w:rPr>
        <w:t>s a category that contains graphic questions and category D is a category that contains mostly reasoning type questions.</w:t>
      </w:r>
      <w:r w:rsidRPr="00C04421">
        <w:rPr>
          <w:lang w:val="en-US"/>
        </w:rPr>
        <w:t xml:space="preserve"> </w:t>
      </w:r>
      <w:r w:rsidRPr="00C04421">
        <w:rPr>
          <w:rFonts w:ascii="Times New Roman" w:hAnsi="Times New Roman" w:cs="Times New Roman"/>
          <w:sz w:val="24"/>
          <w:szCs w:val="24"/>
          <w:lang w:val="en-US"/>
        </w:rPr>
        <w:t>In the four categories of Function Succrss Tests, averages of the scores of each category were calculated and a paired sample t-test was conducted to determine whether there was a significant difference between the scores of the students in the pre-test and the post-test of each category. According to Table 2, it is seen that the students who participated in the survey had a final test score average of 13.55, the average of the scores obtained from the pre-test of the sub-dimension is 4.00.  According to the results of the paired sample t-test to determine whether there is a significant difference between the averages of the students in this category</w:t>
      </w:r>
      <w:r w:rsidR="003F2756">
        <w:rPr>
          <w:rFonts w:ascii="Times New Roman" w:hAnsi="Times New Roman" w:cs="Times New Roman"/>
          <w:sz w:val="24"/>
          <w:szCs w:val="24"/>
          <w:lang w:val="en-US"/>
        </w:rPr>
        <w:t>,</w:t>
      </w:r>
      <w:r w:rsidRPr="00C04421">
        <w:rPr>
          <w:rFonts w:ascii="Times New Roman" w:hAnsi="Times New Roman" w:cs="Times New Roman"/>
          <w:sz w:val="24"/>
          <w:szCs w:val="24"/>
          <w:lang w:val="en-US"/>
        </w:rPr>
        <w:t xml:space="preserve"> it was found that there was a statistically significant difference in favor of the post- test (p = .00 &lt;.05). When the results of the sub-dimension B are examined, it is seen that the average of the pre-test scores of the students is 0.91 and the final test score average is 8.09. As a result of the analysis to determine the statistical difference, it was found that the significant difference detected was in favor of the post test (p = .00 &lt;.05). In the other sub-dimension C dimension, mean of the pre-test scores of the students was determined as 0.72 and the final test scores were calculated as 10.81. Likewise, statistical analysis results to determine whether development is statistically significant show that post-test results are in favor of the final test (p = .00 &lt;.05). </w:t>
      </w:r>
    </w:p>
    <w:p w14:paraId="277F8DF2" w14:textId="0BE6BDD7" w:rsidR="002669E6" w:rsidRPr="00C04421" w:rsidRDefault="002669E6" w:rsidP="00C04421">
      <w:pPr>
        <w:spacing w:after="0" w:line="360" w:lineRule="auto"/>
        <w:ind w:firstLine="709"/>
        <w:jc w:val="both"/>
        <w:rPr>
          <w:rFonts w:ascii="Times New Roman" w:hAnsi="Times New Roman" w:cs="Times New Roman"/>
          <w:sz w:val="24"/>
          <w:szCs w:val="24"/>
          <w:lang w:val="en-US"/>
        </w:rPr>
      </w:pPr>
      <w:r w:rsidRPr="00C04421">
        <w:rPr>
          <w:rFonts w:ascii="Times New Roman" w:hAnsi="Times New Roman" w:cs="Times New Roman"/>
          <w:sz w:val="24"/>
          <w:szCs w:val="24"/>
          <w:lang w:val="en-US"/>
        </w:rPr>
        <w:t>Finally, when we look at the analyzes for the sub-dimension D, it is seen that the average score of the students in this sub-dimensio</w:t>
      </w:r>
      <w:r w:rsidR="003F2756">
        <w:rPr>
          <w:rFonts w:ascii="Times New Roman" w:hAnsi="Times New Roman" w:cs="Times New Roman"/>
          <w:sz w:val="24"/>
          <w:szCs w:val="24"/>
          <w:lang w:val="en-US"/>
        </w:rPr>
        <w:t>n pre</w:t>
      </w:r>
      <w:r w:rsidRPr="00C04421">
        <w:rPr>
          <w:rFonts w:ascii="Times New Roman" w:hAnsi="Times New Roman" w:cs="Times New Roman"/>
          <w:sz w:val="24"/>
          <w:szCs w:val="24"/>
          <w:lang w:val="en-US"/>
        </w:rPr>
        <w:t>-test is 0.18, whereas the average score of the final test</w:t>
      </w:r>
      <w:r w:rsidR="003F2756">
        <w:rPr>
          <w:rFonts w:ascii="Times New Roman" w:hAnsi="Times New Roman" w:cs="Times New Roman"/>
          <w:sz w:val="24"/>
          <w:szCs w:val="24"/>
          <w:lang w:val="en-US"/>
        </w:rPr>
        <w:t xml:space="preserve"> is 11.77. The paired sampled t-</w:t>
      </w:r>
      <w:r w:rsidRPr="00C04421">
        <w:rPr>
          <w:rFonts w:ascii="Times New Roman" w:hAnsi="Times New Roman" w:cs="Times New Roman"/>
          <w:sz w:val="24"/>
          <w:szCs w:val="24"/>
          <w:lang w:val="en-US"/>
        </w:rPr>
        <w:t xml:space="preserve">test results also revealed a statistically significant difference between the pre-test and the post-test is in favor of the final test (p = .00 &lt;.05). The results of the One-way ANOVA used to determine which of the four different categories of achievement was more effective in the achievement test (p&gt; .05) indicated that there was no statistically significant difference between the two groups in terms of achievement in subcategories. In other words, the results obtained can be interpreted as the fact that the applied </w:t>
      </w:r>
      <w:r w:rsidRPr="00C04421">
        <w:rPr>
          <w:rFonts w:ascii="Times New Roman" w:hAnsi="Times New Roman" w:cs="Times New Roman"/>
          <w:sz w:val="24"/>
          <w:szCs w:val="24"/>
          <w:lang w:val="en-US"/>
        </w:rPr>
        <w:lastRenderedPageBreak/>
        <w:t>argument-based training method has the same level of influence on the achievement of each subcategory.</w:t>
      </w:r>
    </w:p>
    <w:p w14:paraId="63755720" w14:textId="77777777" w:rsidR="002669E6" w:rsidRDefault="002669E6" w:rsidP="00C04421">
      <w:pPr>
        <w:spacing w:after="0" w:line="360" w:lineRule="auto"/>
        <w:ind w:firstLine="709"/>
        <w:jc w:val="both"/>
        <w:rPr>
          <w:rFonts w:ascii="Times New Roman" w:hAnsi="Times New Roman" w:cs="Times New Roman"/>
          <w:sz w:val="24"/>
          <w:szCs w:val="24"/>
          <w:lang w:val="en-US"/>
        </w:rPr>
      </w:pPr>
    </w:p>
    <w:p w14:paraId="43A8683E" w14:textId="77777777" w:rsidR="00C04421" w:rsidRPr="00C04421" w:rsidRDefault="00C04421" w:rsidP="00C04421">
      <w:pPr>
        <w:spacing w:after="0" w:line="360" w:lineRule="auto"/>
        <w:ind w:firstLine="709"/>
        <w:jc w:val="both"/>
        <w:rPr>
          <w:rFonts w:ascii="Times New Roman" w:hAnsi="Times New Roman" w:cs="Times New Roman"/>
          <w:sz w:val="24"/>
          <w:szCs w:val="24"/>
          <w:lang w:val="en-US"/>
        </w:rPr>
      </w:pPr>
    </w:p>
    <w:p w14:paraId="279C5B24" w14:textId="77777777" w:rsidR="002669E6" w:rsidRPr="00C04421" w:rsidRDefault="002669E6" w:rsidP="00C04421">
      <w:pPr>
        <w:spacing w:after="0" w:line="360" w:lineRule="auto"/>
        <w:ind w:firstLine="709"/>
        <w:jc w:val="both"/>
        <w:rPr>
          <w:rFonts w:ascii="Times New Roman" w:hAnsi="Times New Roman" w:cs="Times New Roman"/>
          <w:b/>
          <w:sz w:val="24"/>
          <w:szCs w:val="24"/>
          <w:lang w:val="en-US"/>
        </w:rPr>
      </w:pPr>
      <w:r w:rsidRPr="00C04421">
        <w:rPr>
          <w:rFonts w:ascii="Times New Roman" w:hAnsi="Times New Roman" w:cs="Times New Roman"/>
          <w:b/>
          <w:sz w:val="24"/>
          <w:szCs w:val="24"/>
          <w:lang w:val="en-US"/>
        </w:rPr>
        <w:t>Conclusions and Recommendations</w:t>
      </w:r>
    </w:p>
    <w:p w14:paraId="346138DD" w14:textId="77777777" w:rsidR="002669E6" w:rsidRDefault="002669E6" w:rsidP="002669E6">
      <w:pPr>
        <w:spacing w:after="0" w:line="360" w:lineRule="auto"/>
        <w:ind w:firstLine="708"/>
        <w:jc w:val="both"/>
        <w:rPr>
          <w:rFonts w:ascii="Times New Roman" w:hAnsi="Times New Roman" w:cs="Times New Roman"/>
          <w:sz w:val="24"/>
          <w:szCs w:val="24"/>
          <w:lang w:val="en-GB"/>
        </w:rPr>
      </w:pPr>
      <w:r w:rsidRPr="004E7B72">
        <w:rPr>
          <w:rFonts w:ascii="Times New Roman" w:hAnsi="Times New Roman" w:cs="Times New Roman"/>
          <w:sz w:val="24"/>
          <w:szCs w:val="24"/>
          <w:lang w:val="en-GB"/>
        </w:rPr>
        <w:t>This research is also very important in that it shows that the debate is not just a practice among adults, and that secondary school students in the first stage can also make meaningful debates. It is also important to show that the ABSL approach contributes to students' mathematical achievements in terms of functions. Based on the ABSL approach, it was determined that there was a significant difference in favor of the post-test when the results of the achievement tests applied to the students before and after the functions were evaluated (p=.00 &lt;.05). When the findings were examined, the mean pre-test score of the students was 7.23 while the post-test score average was 42.77. In other words, it can be said that the ABSL approach used in teaching mathematics is a successful method for increasing the students' achievement in terms of functions</w:t>
      </w:r>
      <w:r>
        <w:rPr>
          <w:rFonts w:ascii="Times New Roman" w:hAnsi="Times New Roman" w:cs="Times New Roman"/>
          <w:sz w:val="24"/>
          <w:szCs w:val="24"/>
          <w:lang w:val="en-GB"/>
        </w:rPr>
        <w:t>.</w:t>
      </w:r>
      <w:r w:rsidRPr="004E7B72">
        <w:t xml:space="preserve"> </w:t>
      </w:r>
      <w:r w:rsidRPr="004E7B72">
        <w:rPr>
          <w:rFonts w:ascii="Times New Roman" w:hAnsi="Times New Roman" w:cs="Times New Roman"/>
          <w:sz w:val="24"/>
          <w:szCs w:val="24"/>
          <w:lang w:val="en-GB"/>
        </w:rPr>
        <w:t>According to the findings obtained from the MMY template written by the students during the discussion process and at the end; a positive, moderate and significant relationship was found between the total scores of the reports and the final test total scores of the functions achievement test (r=.614, p&lt; .05).</w:t>
      </w:r>
    </w:p>
    <w:p w14:paraId="10CF4663"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According to the results of the research some suggestions are given below:</w:t>
      </w:r>
    </w:p>
    <w:p w14:paraId="7ACBFE1B"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1.</w:t>
      </w:r>
      <w:r w:rsidRPr="004E7B72">
        <w:rPr>
          <w:rFonts w:ascii="Times New Roman" w:hAnsi="Times New Roman" w:cs="Times New Roman"/>
          <w:sz w:val="24"/>
          <w:szCs w:val="24"/>
          <w:lang w:val="en-US"/>
        </w:rPr>
        <w:tab/>
        <w:t>If it is taken into account that the ABSL approach to study is effective in increasing the achievement of the students on the "Functions" topic, this approach should be applied at different class and subject levels and its effectiveness should be investigated.</w:t>
      </w:r>
    </w:p>
    <w:p w14:paraId="7EE05036" w14:textId="77777777" w:rsidR="002669E6" w:rsidRPr="004E7B72" w:rsidRDefault="002669E6" w:rsidP="002669E6">
      <w:pPr>
        <w:spacing w:after="0" w:line="360" w:lineRule="auto"/>
        <w:ind w:firstLine="708"/>
        <w:jc w:val="both"/>
        <w:rPr>
          <w:rFonts w:ascii="Times New Roman" w:hAnsi="Times New Roman" w:cs="Times New Roman"/>
          <w:sz w:val="24"/>
          <w:szCs w:val="24"/>
          <w:lang w:val="en-US"/>
        </w:rPr>
      </w:pPr>
      <w:r w:rsidRPr="004E7B72">
        <w:rPr>
          <w:rFonts w:ascii="Times New Roman" w:hAnsi="Times New Roman" w:cs="Times New Roman"/>
          <w:sz w:val="24"/>
          <w:szCs w:val="24"/>
          <w:lang w:val="en-US"/>
        </w:rPr>
        <w:t>2.</w:t>
      </w:r>
      <w:r w:rsidRPr="004E7B72">
        <w:rPr>
          <w:rFonts w:ascii="Times New Roman" w:hAnsi="Times New Roman" w:cs="Times New Roman"/>
          <w:sz w:val="24"/>
          <w:szCs w:val="24"/>
          <w:lang w:val="en-US"/>
        </w:rPr>
        <w:tab/>
        <w:t>The research is conducted in a limited time period and the effects of the ABSL approach on different variables such as attitudes towards mathematics can be examined by conducting longer researches.</w:t>
      </w:r>
    </w:p>
    <w:p w14:paraId="7E7211F0" w14:textId="0BBF72F9" w:rsidR="002669E6" w:rsidRDefault="002669E6" w:rsidP="002669E6">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F833D0">
        <w:rPr>
          <w:rFonts w:ascii="Times New Roman" w:hAnsi="Times New Roman" w:cs="Times New Roman"/>
          <w:b/>
          <w:i/>
          <w:sz w:val="24"/>
          <w:szCs w:val="24"/>
        </w:rPr>
        <w:br/>
        <w:t>Keywords:</w:t>
      </w:r>
      <w:r w:rsidRPr="00F833D0">
        <w:rPr>
          <w:rFonts w:ascii="Times New Roman" w:hAnsi="Times New Roman" w:cs="Times New Roman"/>
          <w:sz w:val="24"/>
          <w:szCs w:val="24"/>
        </w:rPr>
        <w:t xml:space="preserve"> </w:t>
      </w:r>
      <w:r w:rsidR="007E5435">
        <w:rPr>
          <w:rFonts w:ascii="Times New Roman" w:hAnsi="Times New Roman" w:cs="Times New Roman"/>
          <w:sz w:val="24"/>
          <w:szCs w:val="24"/>
          <w:lang w:val="en-GB"/>
        </w:rPr>
        <w:t>A</w:t>
      </w:r>
      <w:r w:rsidR="007E5435" w:rsidRPr="004E7B72">
        <w:rPr>
          <w:rFonts w:ascii="Times New Roman" w:hAnsi="Times New Roman" w:cs="Times New Roman"/>
          <w:sz w:val="24"/>
          <w:szCs w:val="24"/>
          <w:lang w:val="en-GB"/>
        </w:rPr>
        <w:t xml:space="preserve">chievement, </w:t>
      </w:r>
      <w:r w:rsidR="007E5435">
        <w:rPr>
          <w:rFonts w:ascii="Times New Roman" w:hAnsi="Times New Roman" w:cs="Times New Roman"/>
          <w:sz w:val="24"/>
          <w:szCs w:val="24"/>
          <w:lang w:val="en-GB"/>
        </w:rPr>
        <w:t>a</w:t>
      </w:r>
      <w:r w:rsidRPr="004E7B72">
        <w:rPr>
          <w:rFonts w:ascii="Times New Roman" w:hAnsi="Times New Roman" w:cs="Times New Roman"/>
          <w:sz w:val="24"/>
          <w:szCs w:val="24"/>
          <w:lang w:val="en-GB"/>
        </w:rPr>
        <w:t xml:space="preserve">rgumentation, </w:t>
      </w:r>
      <w:r w:rsidR="007E5435" w:rsidRPr="004E7B72">
        <w:rPr>
          <w:rFonts w:ascii="Times New Roman" w:hAnsi="Times New Roman" w:cs="Times New Roman"/>
          <w:sz w:val="24"/>
          <w:szCs w:val="24"/>
          <w:lang w:val="en-GB"/>
        </w:rPr>
        <w:t xml:space="preserve">function, </w:t>
      </w:r>
      <w:r w:rsidRPr="004E7B72">
        <w:rPr>
          <w:rFonts w:ascii="Times New Roman" w:hAnsi="Times New Roman" w:cs="Times New Roman"/>
          <w:sz w:val="24"/>
          <w:szCs w:val="24"/>
          <w:lang w:val="en-GB"/>
        </w:rPr>
        <w:t>mathematics, student</w:t>
      </w:r>
    </w:p>
    <w:p w14:paraId="4AAA7F8A" w14:textId="09EBBD1C" w:rsidR="009F43D0" w:rsidRDefault="009F43D0" w:rsidP="002669E6">
      <w:pPr>
        <w:spacing w:after="0" w:line="360" w:lineRule="auto"/>
        <w:ind w:firstLine="708"/>
        <w:jc w:val="both"/>
        <w:rPr>
          <w:rFonts w:ascii="Times New Roman" w:hAnsi="Times New Roman" w:cs="Times New Roman"/>
          <w:sz w:val="24"/>
          <w:szCs w:val="24"/>
          <w:lang w:val="en-GB"/>
        </w:rPr>
      </w:pPr>
    </w:p>
    <w:p w14:paraId="33C284D5" w14:textId="77777777" w:rsidR="009F43D0" w:rsidRDefault="009F43D0" w:rsidP="002669E6">
      <w:pPr>
        <w:spacing w:after="0" w:line="360" w:lineRule="auto"/>
        <w:ind w:firstLine="708"/>
        <w:jc w:val="both"/>
        <w:rPr>
          <w:rFonts w:ascii="Times New Roman" w:hAnsi="Times New Roman" w:cs="Times New Roman"/>
          <w:b/>
          <w:sz w:val="24"/>
          <w:szCs w:val="24"/>
          <w:lang w:val="en-US"/>
        </w:rPr>
      </w:pPr>
    </w:p>
    <w:p w14:paraId="79271ACC" w14:textId="77777777" w:rsidR="002669E6" w:rsidRDefault="002669E6" w:rsidP="002669E6">
      <w:pPr>
        <w:spacing w:after="0" w:line="360" w:lineRule="auto"/>
        <w:jc w:val="both"/>
        <w:rPr>
          <w:rFonts w:ascii="Times New Roman" w:hAnsi="Times New Roman" w:cs="Times New Roman"/>
          <w:b/>
          <w:sz w:val="24"/>
          <w:szCs w:val="24"/>
          <w:lang w:val="en-US"/>
        </w:rPr>
      </w:pPr>
    </w:p>
    <w:p w14:paraId="56923E44" w14:textId="1F64F929" w:rsidR="00F833D0" w:rsidRPr="006C7905" w:rsidRDefault="002669E6" w:rsidP="002669E6">
      <w:pPr>
        <w:spacing w:after="0" w:line="360" w:lineRule="auto"/>
        <w:jc w:val="center"/>
        <w:rPr>
          <w:rFonts w:ascii="Times New Roman" w:hAnsi="Times New Roman" w:cs="Times New Roman"/>
          <w:sz w:val="24"/>
          <w:szCs w:val="24"/>
        </w:rPr>
      </w:pPr>
      <w:r w:rsidRPr="00BD56B3" w:rsidDel="002669E6">
        <w:rPr>
          <w:rFonts w:ascii="Times New Roman" w:hAnsi="Times New Roman" w:cs="Times New Roman"/>
          <w:b/>
          <w:sz w:val="24"/>
          <w:szCs w:val="24"/>
        </w:rPr>
        <w:t xml:space="preserve"> </w:t>
      </w:r>
    </w:p>
    <w:sectPr w:rsidR="00F833D0" w:rsidRPr="006C7905" w:rsidSect="00095AA1">
      <w:headerReference w:type="default" r:id="rId8"/>
      <w:footerReference w:type="default" r:id="rId9"/>
      <w:footnotePr>
        <w:numFmt w:val="chicago"/>
      </w:footnotePr>
      <w:pgSz w:w="11906" w:h="16838"/>
      <w:pgMar w:top="1440" w:right="1440" w:bottom="1440" w:left="1440" w:header="709" w:footer="709" w:gutter="0"/>
      <w:pgNumType w:start="10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34A4" w14:textId="77777777" w:rsidR="00B85378" w:rsidRDefault="00B85378" w:rsidP="00CD33C0">
      <w:pPr>
        <w:spacing w:after="0" w:line="240" w:lineRule="auto"/>
      </w:pPr>
      <w:r>
        <w:separator/>
      </w:r>
    </w:p>
  </w:endnote>
  <w:endnote w:type="continuationSeparator" w:id="0">
    <w:p w14:paraId="739419E8" w14:textId="77777777" w:rsidR="00B85378" w:rsidRDefault="00B85378" w:rsidP="00C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596"/>
      <w:docPartObj>
        <w:docPartGallery w:val="Page Numbers (Bottom of Page)"/>
        <w:docPartUnique/>
      </w:docPartObj>
    </w:sdtPr>
    <w:sdtEndPr>
      <w:rPr>
        <w:rFonts w:ascii="Times New Roman" w:hAnsi="Times New Roman" w:cs="Times New Roman"/>
        <w:sz w:val="24"/>
        <w:szCs w:val="24"/>
      </w:rPr>
    </w:sdtEndPr>
    <w:sdtContent>
      <w:p w14:paraId="25BDCF91" w14:textId="58D0EF18" w:rsidR="00186D48" w:rsidRPr="00C85940" w:rsidRDefault="00186D48">
        <w:pPr>
          <w:pStyle w:val="AltBilgi"/>
          <w:jc w:val="center"/>
          <w:rPr>
            <w:rFonts w:ascii="Times New Roman" w:hAnsi="Times New Roman" w:cs="Times New Roman"/>
            <w:sz w:val="24"/>
            <w:szCs w:val="24"/>
          </w:rPr>
        </w:pPr>
        <w:r w:rsidRPr="00C85940">
          <w:rPr>
            <w:rFonts w:ascii="Times New Roman" w:hAnsi="Times New Roman" w:cs="Times New Roman"/>
            <w:sz w:val="24"/>
            <w:szCs w:val="24"/>
          </w:rPr>
          <w:fldChar w:fldCharType="begin"/>
        </w:r>
        <w:r w:rsidRPr="00C85940">
          <w:rPr>
            <w:rFonts w:ascii="Times New Roman" w:hAnsi="Times New Roman" w:cs="Times New Roman"/>
            <w:sz w:val="24"/>
            <w:szCs w:val="24"/>
          </w:rPr>
          <w:instrText>PAGE   \* MERGEFORMAT</w:instrText>
        </w:r>
        <w:r w:rsidRPr="00C85940">
          <w:rPr>
            <w:rFonts w:ascii="Times New Roman" w:hAnsi="Times New Roman" w:cs="Times New Roman"/>
            <w:sz w:val="24"/>
            <w:szCs w:val="24"/>
          </w:rPr>
          <w:fldChar w:fldCharType="separate"/>
        </w:r>
        <w:r w:rsidR="000B1F38">
          <w:rPr>
            <w:rFonts w:ascii="Times New Roman" w:hAnsi="Times New Roman" w:cs="Times New Roman"/>
            <w:noProof/>
            <w:sz w:val="24"/>
            <w:szCs w:val="24"/>
          </w:rPr>
          <w:t>1084</w:t>
        </w:r>
        <w:r w:rsidRPr="00C85940">
          <w:rPr>
            <w:rFonts w:ascii="Times New Roman" w:hAnsi="Times New Roman" w:cs="Times New Roman"/>
            <w:sz w:val="24"/>
            <w:szCs w:val="24"/>
          </w:rPr>
          <w:fldChar w:fldCharType="end"/>
        </w:r>
      </w:p>
    </w:sdtContent>
  </w:sdt>
  <w:p w14:paraId="556B43A7" w14:textId="77777777" w:rsidR="00955436" w:rsidRDefault="00955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0B72" w14:textId="77777777" w:rsidR="00B85378" w:rsidRDefault="00B85378" w:rsidP="00CD33C0">
      <w:pPr>
        <w:spacing w:after="0" w:line="240" w:lineRule="auto"/>
      </w:pPr>
      <w:r>
        <w:separator/>
      </w:r>
    </w:p>
  </w:footnote>
  <w:footnote w:type="continuationSeparator" w:id="0">
    <w:p w14:paraId="2C3D2AA5" w14:textId="77777777" w:rsidR="00B85378" w:rsidRDefault="00B85378" w:rsidP="00CD33C0">
      <w:pPr>
        <w:spacing w:after="0" w:line="240" w:lineRule="auto"/>
      </w:pPr>
      <w:r>
        <w:continuationSeparator/>
      </w:r>
    </w:p>
  </w:footnote>
  <w:footnote w:id="1">
    <w:p w14:paraId="7DAEC4B1" w14:textId="46B55487" w:rsidR="006C1558" w:rsidRDefault="006C1558" w:rsidP="00CB38C8">
      <w:pPr>
        <w:pStyle w:val="DipnotMetni"/>
        <w:rPr>
          <w:rFonts w:ascii="Times New Roman" w:hAnsi="Times New Roman" w:cs="Times New Roman"/>
        </w:rPr>
      </w:pPr>
      <w:r>
        <w:t>*</w:t>
      </w:r>
      <w:r>
        <w:rPr>
          <w:rFonts w:ascii="Times New Roman" w:hAnsi="Times New Roman" w:cs="Times New Roman"/>
        </w:rPr>
        <w:t xml:space="preserve"> </w:t>
      </w:r>
      <w:r w:rsidRPr="00AB3574">
        <w:rPr>
          <w:rFonts w:ascii="Times New Roman" w:hAnsi="Times New Roman" w:cs="Times New Roman"/>
        </w:rPr>
        <w:t>Bu çalışma birinci yazarın doktora tezinin bir bölümünden oluşmaktadır.</w:t>
      </w:r>
    </w:p>
    <w:p w14:paraId="34BCBFF9" w14:textId="6E201F3B" w:rsidR="006C1558" w:rsidRDefault="006C1558" w:rsidP="00CB38C8">
      <w:pPr>
        <w:pStyle w:val="DipnotMetni"/>
        <w:rPr>
          <w:rFonts w:ascii="Times New Roman" w:hAnsi="Times New Roman" w:cs="Times New Roman"/>
        </w:rPr>
      </w:pPr>
      <w:r>
        <w:rPr>
          <w:rFonts w:ascii="Times New Roman" w:hAnsi="Times New Roman" w:cs="Times New Roman"/>
        </w:rPr>
        <w:t xml:space="preserve">**Dr. Öğr. Üyesi, Bayburt Üniversitesi, Eğitim Fakültesi,  Matematik ve Fen Bilimleri Eğitimi Bölümü, Email: </w:t>
      </w:r>
      <w:r w:rsidRPr="004145CD">
        <w:rPr>
          <w:rFonts w:ascii="Times New Roman" w:hAnsi="Times New Roman" w:cs="Times New Roman"/>
          <w:u w:val="single"/>
        </w:rPr>
        <w:t>betulkucuk@bayburt.edu.tr</w:t>
      </w:r>
      <w:r w:rsidRPr="004145CD">
        <w:rPr>
          <w:rFonts w:ascii="Times New Roman" w:hAnsi="Times New Roman" w:cs="Times New Roman"/>
        </w:rPr>
        <w:t xml:space="preserve"> </w:t>
      </w:r>
      <w:r w:rsidR="000B1F38">
        <w:rPr>
          <w:rFonts w:ascii="Times New Roman" w:hAnsi="Times New Roman" w:cs="Times New Roman"/>
        </w:rPr>
        <w:t xml:space="preserve"> </w:t>
      </w:r>
      <w:r>
        <w:rPr>
          <w:rFonts w:ascii="Times New Roman" w:hAnsi="Times New Roman" w:cs="Times New Roman"/>
        </w:rPr>
        <w:t xml:space="preserve">Orcid No: </w:t>
      </w:r>
      <w:r w:rsidRPr="005E7EB5">
        <w:rPr>
          <w:rFonts w:ascii="Times New Roman" w:hAnsi="Times New Roman" w:cs="Times New Roman"/>
        </w:rPr>
        <w:t>0000-0002-6752-6803</w:t>
      </w:r>
      <w:r>
        <w:rPr>
          <w:rFonts w:ascii="Times New Roman" w:hAnsi="Times New Roman" w:cs="Times New Roman"/>
        </w:rPr>
        <w:t>.</w:t>
      </w:r>
    </w:p>
    <w:p w14:paraId="481D8F18" w14:textId="62A854B6" w:rsidR="006C1558" w:rsidRDefault="00DB4DC5" w:rsidP="00CB38C8">
      <w:pPr>
        <w:pStyle w:val="DipnotMetni"/>
        <w:rPr>
          <w:rFonts w:ascii="Times New Roman" w:hAnsi="Times New Roman" w:cs="Times New Roman"/>
        </w:rPr>
      </w:pPr>
      <w:r>
        <w:rPr>
          <w:rFonts w:ascii="Times New Roman" w:hAnsi="Times New Roman" w:cs="Times New Roman"/>
          <w:vertAlign w:val="superscript"/>
        </w:rPr>
        <w:t>***</w:t>
      </w:r>
      <w:r w:rsidR="006C1558">
        <w:rPr>
          <w:rFonts w:ascii="Times New Roman" w:hAnsi="Times New Roman" w:cs="Times New Roman"/>
        </w:rPr>
        <w:t xml:space="preserve">Doç.Dr. Atatürk Üniversitesi, Eğitim Fakültesi,  Matematik ve Fen Bilimleri Eğitimi Bölümü, Email: </w:t>
      </w:r>
      <w:r w:rsidR="006C1558">
        <w:rPr>
          <w:rStyle w:val="Kpr"/>
          <w:rFonts w:ascii="Times New Roman" w:hAnsi="Times New Roman" w:cs="Times New Roman"/>
        </w:rPr>
        <w:t>tisleyen@atauni.edu.tr</w:t>
      </w:r>
      <w:hyperlink r:id="rId1" w:history="1"/>
      <w:r w:rsidR="006C1558">
        <w:rPr>
          <w:rFonts w:ascii="Times New Roman" w:hAnsi="Times New Roman" w:cs="Times New Roman"/>
        </w:rPr>
        <w:t xml:space="preserve">  Orcid No</w:t>
      </w:r>
      <w:r w:rsidR="006C1558" w:rsidRPr="007470B9">
        <w:rPr>
          <w:rFonts w:ascii="Times New Roman" w:hAnsi="Times New Roman" w:cs="Times New Roman"/>
        </w:rPr>
        <w:t xml:space="preserve">: </w:t>
      </w:r>
      <w:r w:rsidR="006C1558" w:rsidRPr="007470B9">
        <w:rPr>
          <w:rFonts w:ascii="Times New Roman" w:hAnsi="Times New Roman" w:cs="Times New Roman"/>
          <w:sz w:val="18"/>
          <w:szCs w:val="18"/>
          <w:shd w:val="clear" w:color="auto" w:fill="FFFFFF"/>
        </w:rPr>
        <w:t xml:space="preserve"> </w:t>
      </w:r>
      <w:r w:rsidR="006C1558" w:rsidRPr="007470B9">
        <w:rPr>
          <w:rFonts w:ascii="Times New Roman" w:hAnsi="Times New Roman" w:cs="Times New Roman"/>
        </w:rPr>
        <w:t>0000-0001-9349-4078.</w:t>
      </w:r>
    </w:p>
    <w:p w14:paraId="31076B2E" w14:textId="77777777" w:rsidR="006C1558" w:rsidRPr="003B193F" w:rsidRDefault="006C1558" w:rsidP="003B193F">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C1558" w:rsidRPr="003B193F" w14:paraId="29EFE2F4" w14:textId="77777777" w:rsidTr="00CE7C78">
        <w:trPr>
          <w:trHeight w:val="387"/>
        </w:trPr>
        <w:tc>
          <w:tcPr>
            <w:tcW w:w="8715" w:type="dxa"/>
            <w:tcBorders>
              <w:top w:val="single" w:sz="4" w:space="0" w:color="auto"/>
              <w:left w:val="nil"/>
              <w:bottom w:val="single" w:sz="4" w:space="0" w:color="auto"/>
              <w:right w:val="nil"/>
            </w:tcBorders>
            <w:hideMark/>
          </w:tcPr>
          <w:p w14:paraId="04A786ED" w14:textId="77777777" w:rsidR="006C1558" w:rsidRPr="003B193F" w:rsidRDefault="006C1558" w:rsidP="00713C15">
            <w:pPr>
              <w:pStyle w:val="DipnotMetni"/>
              <w:tabs>
                <w:tab w:val="left" w:pos="483"/>
              </w:tabs>
              <w:spacing w:line="276" w:lineRule="auto"/>
              <w:ind w:left="45"/>
              <w:rPr>
                <w:rFonts w:ascii="Times New Roman" w:hAnsi="Times New Roman" w:cs="Times New Roman"/>
                <w:i/>
                <w:lang w:val="en-US"/>
              </w:rPr>
            </w:pPr>
            <w:r w:rsidRPr="003B193F">
              <w:rPr>
                <w:rFonts w:ascii="Times New Roman" w:hAnsi="Times New Roman" w:cs="Times New Roman"/>
                <w:b/>
                <w:i/>
                <w:lang w:val="en-US"/>
              </w:rPr>
              <w:t>Gönderim:</w:t>
            </w:r>
            <w:r w:rsidRPr="003B193F">
              <w:rPr>
                <w:rFonts w:ascii="Times New Roman" w:hAnsi="Times New Roman" w:cs="Times New Roman"/>
                <w:i/>
                <w:lang w:val="en-US"/>
              </w:rPr>
              <w:t xml:space="preserve"> </w:t>
            </w:r>
            <w:r>
              <w:rPr>
                <w:rFonts w:ascii="Times New Roman" w:hAnsi="Times New Roman" w:cs="Times New Roman"/>
                <w:i/>
                <w:lang w:val="en-US"/>
              </w:rPr>
              <w:t>02</w:t>
            </w:r>
            <w:r w:rsidRPr="003B193F">
              <w:rPr>
                <w:rFonts w:ascii="Times New Roman" w:hAnsi="Times New Roman" w:cs="Times New Roman"/>
                <w:i/>
                <w:lang w:val="en-US"/>
              </w:rPr>
              <w:t>.0</w:t>
            </w:r>
            <w:r>
              <w:rPr>
                <w:rFonts w:ascii="Times New Roman" w:hAnsi="Times New Roman" w:cs="Times New Roman"/>
                <w:i/>
                <w:lang w:val="en-US"/>
              </w:rPr>
              <w:t>4</w:t>
            </w:r>
            <w:r w:rsidRPr="003B193F">
              <w:rPr>
                <w:rFonts w:ascii="Times New Roman" w:hAnsi="Times New Roman" w:cs="Times New Roman"/>
                <w:i/>
                <w:lang w:val="en-US"/>
              </w:rPr>
              <w:t xml:space="preserve">.2019               </w:t>
            </w:r>
            <w:r w:rsidRPr="003B193F">
              <w:rPr>
                <w:rFonts w:ascii="Times New Roman" w:hAnsi="Times New Roman" w:cs="Times New Roman"/>
                <w:b/>
                <w:i/>
                <w:lang w:val="en-US"/>
              </w:rPr>
              <w:t>Kabul:</w:t>
            </w:r>
            <w:r>
              <w:rPr>
                <w:rFonts w:ascii="Times New Roman" w:hAnsi="Times New Roman" w:cs="Times New Roman"/>
                <w:i/>
                <w:lang w:val="en-US"/>
              </w:rPr>
              <w:t>18.</w:t>
            </w:r>
            <w:r w:rsidRPr="003B193F">
              <w:rPr>
                <w:rFonts w:ascii="Times New Roman" w:hAnsi="Times New Roman" w:cs="Times New Roman"/>
                <w:i/>
                <w:lang w:val="en-US"/>
              </w:rPr>
              <w:t>0</w:t>
            </w:r>
            <w:r>
              <w:rPr>
                <w:rFonts w:ascii="Times New Roman" w:hAnsi="Times New Roman" w:cs="Times New Roman"/>
                <w:i/>
                <w:lang w:val="en-US"/>
              </w:rPr>
              <w:t>6</w:t>
            </w:r>
            <w:r w:rsidRPr="003B193F">
              <w:rPr>
                <w:rFonts w:ascii="Times New Roman" w:hAnsi="Times New Roman" w:cs="Times New Roman"/>
                <w:i/>
                <w:lang w:val="en-US"/>
              </w:rPr>
              <w:t xml:space="preserve">.2019                     </w:t>
            </w:r>
            <w:r w:rsidRPr="003B193F">
              <w:rPr>
                <w:rFonts w:ascii="Times New Roman" w:hAnsi="Times New Roman" w:cs="Times New Roman"/>
                <w:b/>
                <w:i/>
                <w:lang w:val="en-US"/>
              </w:rPr>
              <w:t>    Yayın:</w:t>
            </w:r>
            <w:r w:rsidRPr="003B193F">
              <w:rPr>
                <w:rFonts w:ascii="Times New Roman" w:hAnsi="Times New Roman" w:cs="Times New Roman"/>
                <w:i/>
                <w:lang w:val="en-US"/>
              </w:rPr>
              <w:t xml:space="preserve"> 15.09.2019</w:t>
            </w:r>
          </w:p>
        </w:tc>
      </w:tr>
    </w:tbl>
    <w:p w14:paraId="72E26E99" w14:textId="77777777" w:rsidR="006C1558" w:rsidRPr="003B193F" w:rsidRDefault="006C1558" w:rsidP="003B193F">
      <w:pPr>
        <w:pStyle w:val="AltBilgi"/>
        <w:rPr>
          <w:rFonts w:ascii="Times New Roman" w:hAnsi="Times New Roman" w:cs="Times New Roman"/>
        </w:rPr>
      </w:pPr>
    </w:p>
    <w:p w14:paraId="73B9DA1E" w14:textId="77777777" w:rsidR="006C1558" w:rsidRPr="007470B9" w:rsidRDefault="006C1558" w:rsidP="00CB38C8">
      <w:pPr>
        <w:pStyle w:val="DipnotMetni"/>
        <w:rPr>
          <w:rFonts w:ascii="Times New Roman" w:hAnsi="Times New Roman" w:cs="Times New Roman"/>
        </w:rPr>
      </w:pPr>
    </w:p>
    <w:p w14:paraId="3BF19886" w14:textId="77777777" w:rsidR="006C1558" w:rsidRDefault="006C1558" w:rsidP="00CB38C8">
      <w:pPr>
        <w:pStyle w:val="DipnotMetni"/>
        <w:rPr>
          <w:sz w:val="18"/>
          <w:szCs w:val="18"/>
        </w:rPr>
      </w:pPr>
      <w:r>
        <w:rPr>
          <w:rFonts w:ascii="Times New Roman" w:hAnsi="Times New Roman" w:cs="Times New Roman"/>
        </w:rPr>
        <w:br/>
      </w:r>
    </w:p>
    <w:p w14:paraId="3E752E9D" w14:textId="77777777" w:rsidR="006C1558" w:rsidRPr="00A52257" w:rsidRDefault="006C1558" w:rsidP="00CB38C8">
      <w:pPr>
        <w:pStyle w:val="DipnotMetni"/>
      </w:pPr>
    </w:p>
    <w:p w14:paraId="308A0006" w14:textId="77777777" w:rsidR="006C1558" w:rsidRDefault="006C1558" w:rsidP="00CB38C8">
      <w:pPr>
        <w:pStyle w:val="DipnotMetni"/>
        <w:rPr>
          <w:rFonts w:ascii="Times New Roman" w:hAnsi="Times New Roman" w:cs="Times New Roman"/>
        </w:rPr>
      </w:pPr>
    </w:p>
    <w:p w14:paraId="392FA87E" w14:textId="77777777" w:rsidR="006C1558" w:rsidRDefault="006C1558" w:rsidP="00CB38C8">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8B1F" w14:textId="53255A25" w:rsidR="00096267" w:rsidRPr="00910189" w:rsidRDefault="00096267" w:rsidP="00096267">
    <w:pPr>
      <w:rPr>
        <w:rFonts w:ascii="Times New Roman" w:hAnsi="Times New Roman" w:cs="Times New Roman"/>
        <w:sz w:val="18"/>
        <w:szCs w:val="18"/>
      </w:rPr>
    </w:pPr>
    <w:r w:rsidRPr="00910189">
      <w:rPr>
        <w:rFonts w:ascii="Times New Roman" w:hAnsi="Times New Roman" w:cs="Times New Roman"/>
        <w:noProof/>
        <w:sz w:val="18"/>
        <w:szCs w:val="18"/>
      </w:rPr>
      <w:drawing>
        <wp:anchor distT="0" distB="0" distL="114300" distR="114300" simplePos="0" relativeHeight="251659264" behindDoc="1" locked="0" layoutInCell="1" allowOverlap="1" wp14:anchorId="1703DE55" wp14:editId="0A7533F4">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910189">
      <w:rPr>
        <w:rFonts w:ascii="Times New Roman" w:hAnsi="Times New Roman" w:cs="Times New Roman"/>
        <w:i/>
        <w:sz w:val="18"/>
        <w:szCs w:val="18"/>
      </w:rPr>
      <w:t>YYÜ Eğitim Fakültesi Dergisi (YYU Journal of Education Faculty), 2019; 16(1):10</w:t>
    </w:r>
    <w:r w:rsidR="007948D2">
      <w:rPr>
        <w:rFonts w:ascii="Times New Roman" w:hAnsi="Times New Roman" w:cs="Times New Roman"/>
        <w:i/>
        <w:sz w:val="18"/>
        <w:szCs w:val="18"/>
      </w:rPr>
      <w:t>8</w:t>
    </w:r>
    <w:r>
      <w:rPr>
        <w:rFonts w:ascii="Times New Roman" w:hAnsi="Times New Roman" w:cs="Times New Roman"/>
        <w:i/>
        <w:sz w:val="18"/>
        <w:szCs w:val="18"/>
      </w:rPr>
      <w:t>4</w:t>
    </w:r>
    <w:r w:rsidRPr="00910189">
      <w:rPr>
        <w:rFonts w:ascii="Times New Roman" w:hAnsi="Times New Roman" w:cs="Times New Roman"/>
        <w:i/>
        <w:sz w:val="18"/>
        <w:szCs w:val="18"/>
      </w:rPr>
      <w:t>-1</w:t>
    </w:r>
    <w:r w:rsidR="0005456D">
      <w:rPr>
        <w:rFonts w:ascii="Times New Roman" w:hAnsi="Times New Roman" w:cs="Times New Roman"/>
        <w:i/>
        <w:sz w:val="18"/>
        <w:szCs w:val="18"/>
      </w:rPr>
      <w:t>109</w:t>
    </w:r>
    <w:r w:rsidRPr="00910189">
      <w:rPr>
        <w:rFonts w:ascii="Times New Roman" w:hAnsi="Times New Roman" w:cs="Times New Roman"/>
        <w:i/>
        <w:sz w:val="18"/>
        <w:szCs w:val="18"/>
      </w:rPr>
      <w:t xml:space="preserve">, </w:t>
    </w:r>
    <w:hyperlink r:id="rId2" w:history="1">
      <w:r w:rsidRPr="00910189">
        <w:rPr>
          <w:rStyle w:val="Kpr"/>
          <w:rFonts w:ascii="Times New Roman" w:hAnsi="Times New Roman" w:cs="Times New Roman"/>
          <w:color w:val="352CE6"/>
          <w:sz w:val="18"/>
          <w:szCs w:val="18"/>
        </w:rPr>
        <w:t>http://efdergi.yyu.edu.tr</w:t>
      </w:r>
    </w:hyperlink>
    <w:r w:rsidRPr="00910189">
      <w:rPr>
        <w:rStyle w:val="Kpr"/>
        <w:rFonts w:ascii="Times New Roman" w:hAnsi="Times New Roman" w:cs="Times New Roman"/>
        <w:color w:val="352CE6"/>
        <w:sz w:val="18"/>
        <w:szCs w:val="18"/>
      </w:rPr>
      <w:br/>
    </w:r>
    <w:r w:rsidRPr="00910189">
      <w:rPr>
        <w:rFonts w:ascii="Times New Roman" w:hAnsi="Times New Roman" w:cs="Times New Roman"/>
        <w:color w:val="352CE6"/>
        <w:sz w:val="18"/>
        <w:szCs w:val="18"/>
        <w:u w:val="single"/>
      </w:rPr>
      <w:br/>
    </w:r>
    <w:hyperlink r:id="rId3" w:history="1">
      <w:r w:rsidR="008C6274">
        <w:rPr>
          <w:rStyle w:val="Kpr"/>
          <w:rFonts w:ascii="Times New Roman" w:hAnsi="Times New Roman" w:cs="Times New Roman"/>
          <w:sz w:val="18"/>
          <w:szCs w:val="18"/>
        </w:rPr>
        <w:t>http://dx.doi.org/10.23891/efdyyu.2019.154</w:t>
      </w:r>
    </w:hyperlink>
    <w:r w:rsidRPr="00910189">
      <w:rPr>
        <w:rFonts w:ascii="Times New Roman" w:hAnsi="Times New Roman" w:cs="Times New Roman"/>
        <w:color w:val="4472C4"/>
        <w:sz w:val="18"/>
        <w:szCs w:val="18"/>
      </w:rPr>
      <w:t xml:space="preserve">            </w:t>
    </w:r>
    <w:r w:rsidRPr="00910189">
      <w:rPr>
        <w:rFonts w:ascii="Times New Roman" w:hAnsi="Times New Roman" w:cs="Times New Roman"/>
        <w:b/>
        <w:sz w:val="18"/>
        <w:szCs w:val="18"/>
      </w:rPr>
      <w:t>Araştırma Makalesi                                      ISSN: 1305-020</w:t>
    </w:r>
  </w:p>
  <w:p w14:paraId="66B85CEB" w14:textId="461E5BDA" w:rsidR="00955436" w:rsidRPr="00096267" w:rsidRDefault="00955436" w:rsidP="000962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A18"/>
    <w:multiLevelType w:val="hybridMultilevel"/>
    <w:tmpl w:val="E69A66A4"/>
    <w:lvl w:ilvl="0" w:tplc="2674BA9C">
      <w:start w:val="1"/>
      <w:numFmt w:val="bullet"/>
      <w:lvlText w:val=""/>
      <w:lvlJc w:val="left"/>
      <w:pPr>
        <w:tabs>
          <w:tab w:val="num" w:pos="720"/>
        </w:tabs>
        <w:ind w:left="720" w:hanging="360"/>
      </w:pPr>
      <w:rPr>
        <w:rFonts w:ascii="Wingdings" w:hAnsi="Wingdings" w:hint="default"/>
      </w:rPr>
    </w:lvl>
    <w:lvl w:ilvl="1" w:tplc="9C2A5CD0" w:tentative="1">
      <w:start w:val="1"/>
      <w:numFmt w:val="bullet"/>
      <w:lvlText w:val=""/>
      <w:lvlJc w:val="left"/>
      <w:pPr>
        <w:tabs>
          <w:tab w:val="num" w:pos="1440"/>
        </w:tabs>
        <w:ind w:left="1440" w:hanging="360"/>
      </w:pPr>
      <w:rPr>
        <w:rFonts w:ascii="Wingdings" w:hAnsi="Wingdings" w:hint="default"/>
      </w:rPr>
    </w:lvl>
    <w:lvl w:ilvl="2" w:tplc="34CE4382" w:tentative="1">
      <w:start w:val="1"/>
      <w:numFmt w:val="bullet"/>
      <w:lvlText w:val=""/>
      <w:lvlJc w:val="left"/>
      <w:pPr>
        <w:tabs>
          <w:tab w:val="num" w:pos="2160"/>
        </w:tabs>
        <w:ind w:left="2160" w:hanging="360"/>
      </w:pPr>
      <w:rPr>
        <w:rFonts w:ascii="Wingdings" w:hAnsi="Wingdings" w:hint="default"/>
      </w:rPr>
    </w:lvl>
    <w:lvl w:ilvl="3" w:tplc="492A3888" w:tentative="1">
      <w:start w:val="1"/>
      <w:numFmt w:val="bullet"/>
      <w:lvlText w:val=""/>
      <w:lvlJc w:val="left"/>
      <w:pPr>
        <w:tabs>
          <w:tab w:val="num" w:pos="2880"/>
        </w:tabs>
        <w:ind w:left="2880" w:hanging="360"/>
      </w:pPr>
      <w:rPr>
        <w:rFonts w:ascii="Wingdings" w:hAnsi="Wingdings" w:hint="default"/>
      </w:rPr>
    </w:lvl>
    <w:lvl w:ilvl="4" w:tplc="25220788" w:tentative="1">
      <w:start w:val="1"/>
      <w:numFmt w:val="bullet"/>
      <w:lvlText w:val=""/>
      <w:lvlJc w:val="left"/>
      <w:pPr>
        <w:tabs>
          <w:tab w:val="num" w:pos="3600"/>
        </w:tabs>
        <w:ind w:left="3600" w:hanging="360"/>
      </w:pPr>
      <w:rPr>
        <w:rFonts w:ascii="Wingdings" w:hAnsi="Wingdings" w:hint="default"/>
      </w:rPr>
    </w:lvl>
    <w:lvl w:ilvl="5" w:tplc="5CC692A2" w:tentative="1">
      <w:start w:val="1"/>
      <w:numFmt w:val="bullet"/>
      <w:lvlText w:val=""/>
      <w:lvlJc w:val="left"/>
      <w:pPr>
        <w:tabs>
          <w:tab w:val="num" w:pos="4320"/>
        </w:tabs>
        <w:ind w:left="4320" w:hanging="360"/>
      </w:pPr>
      <w:rPr>
        <w:rFonts w:ascii="Wingdings" w:hAnsi="Wingdings" w:hint="default"/>
      </w:rPr>
    </w:lvl>
    <w:lvl w:ilvl="6" w:tplc="EE3E78FE" w:tentative="1">
      <w:start w:val="1"/>
      <w:numFmt w:val="bullet"/>
      <w:lvlText w:val=""/>
      <w:lvlJc w:val="left"/>
      <w:pPr>
        <w:tabs>
          <w:tab w:val="num" w:pos="5040"/>
        </w:tabs>
        <w:ind w:left="5040" w:hanging="360"/>
      </w:pPr>
      <w:rPr>
        <w:rFonts w:ascii="Wingdings" w:hAnsi="Wingdings" w:hint="default"/>
      </w:rPr>
    </w:lvl>
    <w:lvl w:ilvl="7" w:tplc="1B724EBE" w:tentative="1">
      <w:start w:val="1"/>
      <w:numFmt w:val="bullet"/>
      <w:lvlText w:val=""/>
      <w:lvlJc w:val="left"/>
      <w:pPr>
        <w:tabs>
          <w:tab w:val="num" w:pos="5760"/>
        </w:tabs>
        <w:ind w:left="5760" w:hanging="360"/>
      </w:pPr>
      <w:rPr>
        <w:rFonts w:ascii="Wingdings" w:hAnsi="Wingdings" w:hint="default"/>
      </w:rPr>
    </w:lvl>
    <w:lvl w:ilvl="8" w:tplc="1EA4CD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31C43"/>
    <w:multiLevelType w:val="hybridMultilevel"/>
    <w:tmpl w:val="348C595A"/>
    <w:lvl w:ilvl="0" w:tplc="55006E68">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15:restartNumberingAfterBreak="0">
    <w:nsid w:val="183B48F0"/>
    <w:multiLevelType w:val="hybridMultilevel"/>
    <w:tmpl w:val="F5D20E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C91F6E"/>
    <w:multiLevelType w:val="hybridMultilevel"/>
    <w:tmpl w:val="F98AD77E"/>
    <w:lvl w:ilvl="0" w:tplc="B57CF4D6">
      <w:start w:val="1"/>
      <w:numFmt w:val="lowerLetter"/>
      <w:lvlText w:val="%1."/>
      <w:lvlJc w:val="left"/>
      <w:pPr>
        <w:tabs>
          <w:tab w:val="num" w:pos="1080"/>
        </w:tabs>
        <w:ind w:left="1080" w:hanging="360"/>
      </w:pPr>
      <w:rPr>
        <w:rFonts w:ascii="Times New Roman" w:eastAsia="Times New Roman" w:hAnsi="Times New Roman" w:cs="Times New Roman"/>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66A60B7"/>
    <w:multiLevelType w:val="hybridMultilevel"/>
    <w:tmpl w:val="6CD256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7AA4FCB"/>
    <w:multiLevelType w:val="hybridMultilevel"/>
    <w:tmpl w:val="E9D89414"/>
    <w:lvl w:ilvl="0" w:tplc="6F407154">
      <w:start w:val="1"/>
      <w:numFmt w:val="bullet"/>
      <w:lvlText w:val=""/>
      <w:lvlJc w:val="left"/>
      <w:pPr>
        <w:tabs>
          <w:tab w:val="num" w:pos="720"/>
        </w:tabs>
        <w:ind w:left="720" w:hanging="360"/>
      </w:pPr>
      <w:rPr>
        <w:rFonts w:ascii="Wingdings" w:hAnsi="Wingdings" w:hint="default"/>
      </w:rPr>
    </w:lvl>
    <w:lvl w:ilvl="1" w:tplc="FFCE3960" w:tentative="1">
      <w:start w:val="1"/>
      <w:numFmt w:val="bullet"/>
      <w:lvlText w:val=""/>
      <w:lvlJc w:val="left"/>
      <w:pPr>
        <w:tabs>
          <w:tab w:val="num" w:pos="1440"/>
        </w:tabs>
        <w:ind w:left="1440" w:hanging="360"/>
      </w:pPr>
      <w:rPr>
        <w:rFonts w:ascii="Wingdings" w:hAnsi="Wingdings" w:hint="default"/>
      </w:rPr>
    </w:lvl>
    <w:lvl w:ilvl="2" w:tplc="9D72AD86" w:tentative="1">
      <w:start w:val="1"/>
      <w:numFmt w:val="bullet"/>
      <w:lvlText w:val=""/>
      <w:lvlJc w:val="left"/>
      <w:pPr>
        <w:tabs>
          <w:tab w:val="num" w:pos="2160"/>
        </w:tabs>
        <w:ind w:left="2160" w:hanging="360"/>
      </w:pPr>
      <w:rPr>
        <w:rFonts w:ascii="Wingdings" w:hAnsi="Wingdings" w:hint="default"/>
      </w:rPr>
    </w:lvl>
    <w:lvl w:ilvl="3" w:tplc="867259B0" w:tentative="1">
      <w:start w:val="1"/>
      <w:numFmt w:val="bullet"/>
      <w:lvlText w:val=""/>
      <w:lvlJc w:val="left"/>
      <w:pPr>
        <w:tabs>
          <w:tab w:val="num" w:pos="2880"/>
        </w:tabs>
        <w:ind w:left="2880" w:hanging="360"/>
      </w:pPr>
      <w:rPr>
        <w:rFonts w:ascii="Wingdings" w:hAnsi="Wingdings" w:hint="default"/>
      </w:rPr>
    </w:lvl>
    <w:lvl w:ilvl="4" w:tplc="3FC6F178" w:tentative="1">
      <w:start w:val="1"/>
      <w:numFmt w:val="bullet"/>
      <w:lvlText w:val=""/>
      <w:lvlJc w:val="left"/>
      <w:pPr>
        <w:tabs>
          <w:tab w:val="num" w:pos="3600"/>
        </w:tabs>
        <w:ind w:left="3600" w:hanging="360"/>
      </w:pPr>
      <w:rPr>
        <w:rFonts w:ascii="Wingdings" w:hAnsi="Wingdings" w:hint="default"/>
      </w:rPr>
    </w:lvl>
    <w:lvl w:ilvl="5" w:tplc="2F5058D0" w:tentative="1">
      <w:start w:val="1"/>
      <w:numFmt w:val="bullet"/>
      <w:lvlText w:val=""/>
      <w:lvlJc w:val="left"/>
      <w:pPr>
        <w:tabs>
          <w:tab w:val="num" w:pos="4320"/>
        </w:tabs>
        <w:ind w:left="4320" w:hanging="360"/>
      </w:pPr>
      <w:rPr>
        <w:rFonts w:ascii="Wingdings" w:hAnsi="Wingdings" w:hint="default"/>
      </w:rPr>
    </w:lvl>
    <w:lvl w:ilvl="6" w:tplc="90FC7CDC" w:tentative="1">
      <w:start w:val="1"/>
      <w:numFmt w:val="bullet"/>
      <w:lvlText w:val=""/>
      <w:lvlJc w:val="left"/>
      <w:pPr>
        <w:tabs>
          <w:tab w:val="num" w:pos="5040"/>
        </w:tabs>
        <w:ind w:left="5040" w:hanging="360"/>
      </w:pPr>
      <w:rPr>
        <w:rFonts w:ascii="Wingdings" w:hAnsi="Wingdings" w:hint="default"/>
      </w:rPr>
    </w:lvl>
    <w:lvl w:ilvl="7" w:tplc="653637A4" w:tentative="1">
      <w:start w:val="1"/>
      <w:numFmt w:val="bullet"/>
      <w:lvlText w:val=""/>
      <w:lvlJc w:val="left"/>
      <w:pPr>
        <w:tabs>
          <w:tab w:val="num" w:pos="5760"/>
        </w:tabs>
        <w:ind w:left="5760" w:hanging="360"/>
      </w:pPr>
      <w:rPr>
        <w:rFonts w:ascii="Wingdings" w:hAnsi="Wingdings" w:hint="default"/>
      </w:rPr>
    </w:lvl>
    <w:lvl w:ilvl="8" w:tplc="F6F008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121D7"/>
    <w:multiLevelType w:val="hybridMultilevel"/>
    <w:tmpl w:val="15164E38"/>
    <w:lvl w:ilvl="0" w:tplc="4E92C38A">
      <w:start w:val="6"/>
      <w:numFmt w:val="decimal"/>
      <w:lvlText w:val="%1)"/>
      <w:lvlJc w:val="left"/>
      <w:pPr>
        <w:tabs>
          <w:tab w:val="num" w:pos="360"/>
        </w:tabs>
        <w:ind w:left="360" w:hanging="360"/>
      </w:pPr>
      <w:rPr>
        <w:b/>
      </w:rPr>
    </w:lvl>
    <w:lvl w:ilvl="1" w:tplc="6802A790">
      <w:start w:val="1"/>
      <w:numFmt w:val="lowerLetter"/>
      <w:lvlText w:val="%2."/>
      <w:lvlJc w:val="left"/>
      <w:pPr>
        <w:tabs>
          <w:tab w:val="num" w:pos="1080"/>
        </w:tabs>
        <w:ind w:left="108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F255928"/>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5A4109C"/>
    <w:multiLevelType w:val="hybridMultilevel"/>
    <w:tmpl w:val="1F28C946"/>
    <w:lvl w:ilvl="0" w:tplc="1A323A9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15:restartNumberingAfterBreak="0">
    <w:nsid w:val="3C137808"/>
    <w:multiLevelType w:val="hybridMultilevel"/>
    <w:tmpl w:val="6CD4A336"/>
    <w:lvl w:ilvl="0" w:tplc="D1567AC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15:restartNumberingAfterBreak="0">
    <w:nsid w:val="4BDC030C"/>
    <w:multiLevelType w:val="hybridMultilevel"/>
    <w:tmpl w:val="1B061514"/>
    <w:lvl w:ilvl="0" w:tplc="1A50D5D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4CDD7A52"/>
    <w:multiLevelType w:val="hybridMultilevel"/>
    <w:tmpl w:val="1B96C3FE"/>
    <w:lvl w:ilvl="0" w:tplc="8EDCF1B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15:restartNumberingAfterBreak="0">
    <w:nsid w:val="53AA7919"/>
    <w:multiLevelType w:val="hybridMultilevel"/>
    <w:tmpl w:val="0A94116E"/>
    <w:lvl w:ilvl="0" w:tplc="2F7ADABE">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3" w15:restartNumberingAfterBreak="0">
    <w:nsid w:val="59BD00EE"/>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615244A5"/>
    <w:multiLevelType w:val="hybridMultilevel"/>
    <w:tmpl w:val="1744D37E"/>
    <w:lvl w:ilvl="0" w:tplc="40CAFB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5D57E1"/>
    <w:multiLevelType w:val="hybridMultilevel"/>
    <w:tmpl w:val="7A22DF58"/>
    <w:lvl w:ilvl="0" w:tplc="E836E1B2">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4"/>
  </w:num>
  <w:num w:numId="4">
    <w:abstractNumId w:val="14"/>
  </w:num>
  <w:num w:numId="5">
    <w:abstractNumId w:val="13"/>
  </w:num>
  <w:num w:numId="6">
    <w:abstractNumId w:val="7"/>
  </w:num>
  <w:num w:numId="7">
    <w:abstractNumId w:val="6"/>
  </w:num>
  <w:num w:numId="8">
    <w:abstractNumId w:val="12"/>
  </w:num>
  <w:num w:numId="9">
    <w:abstractNumId w:val="8"/>
  </w:num>
  <w:num w:numId="10">
    <w:abstractNumId w:val="3"/>
  </w:num>
  <w:num w:numId="11">
    <w:abstractNumId w:val="10"/>
  </w:num>
  <w:num w:numId="12">
    <w:abstractNumId w:val="9"/>
  </w:num>
  <w:num w:numId="13">
    <w:abstractNumId w:val="15"/>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04"/>
    <w:rsid w:val="0000069E"/>
    <w:rsid w:val="0000546C"/>
    <w:rsid w:val="000105B5"/>
    <w:rsid w:val="0002121F"/>
    <w:rsid w:val="00023551"/>
    <w:rsid w:val="00024047"/>
    <w:rsid w:val="00030619"/>
    <w:rsid w:val="00037B3D"/>
    <w:rsid w:val="00050CB6"/>
    <w:rsid w:val="0005456D"/>
    <w:rsid w:val="00055077"/>
    <w:rsid w:val="00055E8F"/>
    <w:rsid w:val="00057889"/>
    <w:rsid w:val="00061EA7"/>
    <w:rsid w:val="00064129"/>
    <w:rsid w:val="00065F2F"/>
    <w:rsid w:val="0008052E"/>
    <w:rsid w:val="00080BA6"/>
    <w:rsid w:val="0008655B"/>
    <w:rsid w:val="00087878"/>
    <w:rsid w:val="00094761"/>
    <w:rsid w:val="00095AA1"/>
    <w:rsid w:val="00096267"/>
    <w:rsid w:val="00097C7E"/>
    <w:rsid w:val="000A2730"/>
    <w:rsid w:val="000A45A1"/>
    <w:rsid w:val="000B0E9D"/>
    <w:rsid w:val="000B1F38"/>
    <w:rsid w:val="000B3ED4"/>
    <w:rsid w:val="000B7134"/>
    <w:rsid w:val="000C3930"/>
    <w:rsid w:val="000C55AB"/>
    <w:rsid w:val="000C749D"/>
    <w:rsid w:val="000D0739"/>
    <w:rsid w:val="000D0BF7"/>
    <w:rsid w:val="000D4527"/>
    <w:rsid w:val="000D539B"/>
    <w:rsid w:val="000E18C8"/>
    <w:rsid w:val="000E77DC"/>
    <w:rsid w:val="000F0C0C"/>
    <w:rsid w:val="000F20F7"/>
    <w:rsid w:val="000F36D0"/>
    <w:rsid w:val="000F5BA1"/>
    <w:rsid w:val="0010013A"/>
    <w:rsid w:val="00100E42"/>
    <w:rsid w:val="00111D56"/>
    <w:rsid w:val="00126CAE"/>
    <w:rsid w:val="0013413F"/>
    <w:rsid w:val="0013598F"/>
    <w:rsid w:val="001360AC"/>
    <w:rsid w:val="001408B1"/>
    <w:rsid w:val="00143BCE"/>
    <w:rsid w:val="00144B38"/>
    <w:rsid w:val="00147327"/>
    <w:rsid w:val="00151773"/>
    <w:rsid w:val="001531DE"/>
    <w:rsid w:val="00155D90"/>
    <w:rsid w:val="00160C0B"/>
    <w:rsid w:val="00162A41"/>
    <w:rsid w:val="00166AC2"/>
    <w:rsid w:val="0017186C"/>
    <w:rsid w:val="001740D4"/>
    <w:rsid w:val="001744D0"/>
    <w:rsid w:val="00175692"/>
    <w:rsid w:val="0018271A"/>
    <w:rsid w:val="00184F8C"/>
    <w:rsid w:val="00186D48"/>
    <w:rsid w:val="0018734F"/>
    <w:rsid w:val="00192B22"/>
    <w:rsid w:val="001A0300"/>
    <w:rsid w:val="001A40E8"/>
    <w:rsid w:val="001A5F12"/>
    <w:rsid w:val="001A7F82"/>
    <w:rsid w:val="001B75C0"/>
    <w:rsid w:val="001B7721"/>
    <w:rsid w:val="001C1735"/>
    <w:rsid w:val="001C2407"/>
    <w:rsid w:val="001C62C3"/>
    <w:rsid w:val="001D713C"/>
    <w:rsid w:val="001E0B44"/>
    <w:rsid w:val="001E1943"/>
    <w:rsid w:val="001E2B4F"/>
    <w:rsid w:val="001E4189"/>
    <w:rsid w:val="001E588A"/>
    <w:rsid w:val="001E6D1E"/>
    <w:rsid w:val="001E740F"/>
    <w:rsid w:val="001F12CD"/>
    <w:rsid w:val="001F4C8D"/>
    <w:rsid w:val="001F534B"/>
    <w:rsid w:val="002012D5"/>
    <w:rsid w:val="00205681"/>
    <w:rsid w:val="00207652"/>
    <w:rsid w:val="002130C9"/>
    <w:rsid w:val="002132EB"/>
    <w:rsid w:val="00220B46"/>
    <w:rsid w:val="002211E3"/>
    <w:rsid w:val="002314AB"/>
    <w:rsid w:val="002324A7"/>
    <w:rsid w:val="0023427A"/>
    <w:rsid w:val="00237CA1"/>
    <w:rsid w:val="00245148"/>
    <w:rsid w:val="002503E3"/>
    <w:rsid w:val="00250FF0"/>
    <w:rsid w:val="00251D35"/>
    <w:rsid w:val="00255B07"/>
    <w:rsid w:val="00255BAD"/>
    <w:rsid w:val="00255DBD"/>
    <w:rsid w:val="00255DF9"/>
    <w:rsid w:val="00256293"/>
    <w:rsid w:val="002572C3"/>
    <w:rsid w:val="002573AE"/>
    <w:rsid w:val="002641EB"/>
    <w:rsid w:val="00264946"/>
    <w:rsid w:val="0026501D"/>
    <w:rsid w:val="002669E6"/>
    <w:rsid w:val="002669F7"/>
    <w:rsid w:val="002710DA"/>
    <w:rsid w:val="002739E6"/>
    <w:rsid w:val="00275C5E"/>
    <w:rsid w:val="0028282C"/>
    <w:rsid w:val="00286EF1"/>
    <w:rsid w:val="0029465D"/>
    <w:rsid w:val="00294E19"/>
    <w:rsid w:val="002960BF"/>
    <w:rsid w:val="002A0279"/>
    <w:rsid w:val="002A19D2"/>
    <w:rsid w:val="002A5E60"/>
    <w:rsid w:val="002A6918"/>
    <w:rsid w:val="002B009C"/>
    <w:rsid w:val="002B3CDA"/>
    <w:rsid w:val="002C2A1F"/>
    <w:rsid w:val="002C38AB"/>
    <w:rsid w:val="002C3EC9"/>
    <w:rsid w:val="002C4847"/>
    <w:rsid w:val="002C60CD"/>
    <w:rsid w:val="002D1ECA"/>
    <w:rsid w:val="002D1EE8"/>
    <w:rsid w:val="002D3855"/>
    <w:rsid w:val="002D53F8"/>
    <w:rsid w:val="002D7BCD"/>
    <w:rsid w:val="002E6BE3"/>
    <w:rsid w:val="00303074"/>
    <w:rsid w:val="00303287"/>
    <w:rsid w:val="003070C1"/>
    <w:rsid w:val="003078F4"/>
    <w:rsid w:val="003127D6"/>
    <w:rsid w:val="003139D5"/>
    <w:rsid w:val="00322F7E"/>
    <w:rsid w:val="00330C45"/>
    <w:rsid w:val="00331FE0"/>
    <w:rsid w:val="00332A09"/>
    <w:rsid w:val="003365FD"/>
    <w:rsid w:val="00336873"/>
    <w:rsid w:val="00341348"/>
    <w:rsid w:val="00342BB6"/>
    <w:rsid w:val="00343C31"/>
    <w:rsid w:val="00353BA1"/>
    <w:rsid w:val="00355427"/>
    <w:rsid w:val="00362F7D"/>
    <w:rsid w:val="00365DF0"/>
    <w:rsid w:val="00366737"/>
    <w:rsid w:val="00366BD6"/>
    <w:rsid w:val="00370613"/>
    <w:rsid w:val="0037466E"/>
    <w:rsid w:val="003747ED"/>
    <w:rsid w:val="00376BEF"/>
    <w:rsid w:val="00387902"/>
    <w:rsid w:val="00391BE9"/>
    <w:rsid w:val="003939AA"/>
    <w:rsid w:val="00395AB2"/>
    <w:rsid w:val="003A40B2"/>
    <w:rsid w:val="003A6388"/>
    <w:rsid w:val="003B193F"/>
    <w:rsid w:val="003B1A71"/>
    <w:rsid w:val="003B2861"/>
    <w:rsid w:val="003B2B0D"/>
    <w:rsid w:val="003B5633"/>
    <w:rsid w:val="003C0E5F"/>
    <w:rsid w:val="003C49EF"/>
    <w:rsid w:val="003C58FE"/>
    <w:rsid w:val="003C6899"/>
    <w:rsid w:val="003C6DC7"/>
    <w:rsid w:val="003C73B2"/>
    <w:rsid w:val="003C772B"/>
    <w:rsid w:val="003D03A5"/>
    <w:rsid w:val="003D197B"/>
    <w:rsid w:val="003D5976"/>
    <w:rsid w:val="003D607E"/>
    <w:rsid w:val="003E2BE6"/>
    <w:rsid w:val="003E4E8B"/>
    <w:rsid w:val="003E5490"/>
    <w:rsid w:val="003E7E33"/>
    <w:rsid w:val="003E7F5D"/>
    <w:rsid w:val="003F0C40"/>
    <w:rsid w:val="003F1196"/>
    <w:rsid w:val="003F2756"/>
    <w:rsid w:val="003F34A0"/>
    <w:rsid w:val="003F5F14"/>
    <w:rsid w:val="0040186A"/>
    <w:rsid w:val="00403A14"/>
    <w:rsid w:val="00405AFB"/>
    <w:rsid w:val="00405B1D"/>
    <w:rsid w:val="00411491"/>
    <w:rsid w:val="004145CD"/>
    <w:rsid w:val="00415AE0"/>
    <w:rsid w:val="00415EA0"/>
    <w:rsid w:val="00417A62"/>
    <w:rsid w:val="004237C9"/>
    <w:rsid w:val="0042423B"/>
    <w:rsid w:val="00427EB2"/>
    <w:rsid w:val="0043092C"/>
    <w:rsid w:val="0043093F"/>
    <w:rsid w:val="00435466"/>
    <w:rsid w:val="004369EA"/>
    <w:rsid w:val="004373AD"/>
    <w:rsid w:val="00437A9F"/>
    <w:rsid w:val="0045494B"/>
    <w:rsid w:val="0045501C"/>
    <w:rsid w:val="0046348D"/>
    <w:rsid w:val="00464255"/>
    <w:rsid w:val="00464BB1"/>
    <w:rsid w:val="0047065B"/>
    <w:rsid w:val="00474ADC"/>
    <w:rsid w:val="00477A55"/>
    <w:rsid w:val="00480A09"/>
    <w:rsid w:val="004815B9"/>
    <w:rsid w:val="00481CCF"/>
    <w:rsid w:val="0049095E"/>
    <w:rsid w:val="004A3460"/>
    <w:rsid w:val="004A6B20"/>
    <w:rsid w:val="004B0D28"/>
    <w:rsid w:val="004B15FA"/>
    <w:rsid w:val="004B2BF2"/>
    <w:rsid w:val="004B2C44"/>
    <w:rsid w:val="004B6F74"/>
    <w:rsid w:val="004C0161"/>
    <w:rsid w:val="004C0228"/>
    <w:rsid w:val="004C540D"/>
    <w:rsid w:val="004C5CF6"/>
    <w:rsid w:val="004C7631"/>
    <w:rsid w:val="004D1E9F"/>
    <w:rsid w:val="004D3B0A"/>
    <w:rsid w:val="004D5B05"/>
    <w:rsid w:val="004E7B72"/>
    <w:rsid w:val="0050323D"/>
    <w:rsid w:val="00506A17"/>
    <w:rsid w:val="005116FE"/>
    <w:rsid w:val="00512D36"/>
    <w:rsid w:val="005143A3"/>
    <w:rsid w:val="00516411"/>
    <w:rsid w:val="005178D2"/>
    <w:rsid w:val="0052194E"/>
    <w:rsid w:val="00521959"/>
    <w:rsid w:val="005231D7"/>
    <w:rsid w:val="0052362C"/>
    <w:rsid w:val="0053139C"/>
    <w:rsid w:val="00533A1A"/>
    <w:rsid w:val="00534FAA"/>
    <w:rsid w:val="00536A03"/>
    <w:rsid w:val="00537C0E"/>
    <w:rsid w:val="00540D99"/>
    <w:rsid w:val="00544270"/>
    <w:rsid w:val="0054429C"/>
    <w:rsid w:val="00546EE8"/>
    <w:rsid w:val="00550355"/>
    <w:rsid w:val="0055217B"/>
    <w:rsid w:val="005561FD"/>
    <w:rsid w:val="00556442"/>
    <w:rsid w:val="00556F79"/>
    <w:rsid w:val="005611C3"/>
    <w:rsid w:val="00562263"/>
    <w:rsid w:val="005625AB"/>
    <w:rsid w:val="005636EB"/>
    <w:rsid w:val="0056413C"/>
    <w:rsid w:val="005708EF"/>
    <w:rsid w:val="0057621E"/>
    <w:rsid w:val="00577270"/>
    <w:rsid w:val="00577E77"/>
    <w:rsid w:val="00583868"/>
    <w:rsid w:val="0058590F"/>
    <w:rsid w:val="00591306"/>
    <w:rsid w:val="005A03F8"/>
    <w:rsid w:val="005A3959"/>
    <w:rsid w:val="005B2A99"/>
    <w:rsid w:val="005C0555"/>
    <w:rsid w:val="005C150C"/>
    <w:rsid w:val="005C3B58"/>
    <w:rsid w:val="005C53E9"/>
    <w:rsid w:val="005D027E"/>
    <w:rsid w:val="005D1BEF"/>
    <w:rsid w:val="005D1F91"/>
    <w:rsid w:val="005D772D"/>
    <w:rsid w:val="005D7C07"/>
    <w:rsid w:val="005E1881"/>
    <w:rsid w:val="005E7EB5"/>
    <w:rsid w:val="005F089D"/>
    <w:rsid w:val="005F1447"/>
    <w:rsid w:val="005F153E"/>
    <w:rsid w:val="005F655A"/>
    <w:rsid w:val="005F74BD"/>
    <w:rsid w:val="0060104E"/>
    <w:rsid w:val="0060126F"/>
    <w:rsid w:val="006016C5"/>
    <w:rsid w:val="0060231E"/>
    <w:rsid w:val="0060336E"/>
    <w:rsid w:val="00604977"/>
    <w:rsid w:val="006070AB"/>
    <w:rsid w:val="00607719"/>
    <w:rsid w:val="006114C3"/>
    <w:rsid w:val="00613609"/>
    <w:rsid w:val="00616180"/>
    <w:rsid w:val="00640A93"/>
    <w:rsid w:val="00642E38"/>
    <w:rsid w:val="00646550"/>
    <w:rsid w:val="006520BD"/>
    <w:rsid w:val="00652ACC"/>
    <w:rsid w:val="00654388"/>
    <w:rsid w:val="00654D82"/>
    <w:rsid w:val="00656135"/>
    <w:rsid w:val="00656623"/>
    <w:rsid w:val="00657FD4"/>
    <w:rsid w:val="00660D0E"/>
    <w:rsid w:val="00661B1D"/>
    <w:rsid w:val="00664A9D"/>
    <w:rsid w:val="006660B1"/>
    <w:rsid w:val="00670743"/>
    <w:rsid w:val="00680109"/>
    <w:rsid w:val="006815BD"/>
    <w:rsid w:val="0068414E"/>
    <w:rsid w:val="00690F73"/>
    <w:rsid w:val="0069345D"/>
    <w:rsid w:val="006957DC"/>
    <w:rsid w:val="00696975"/>
    <w:rsid w:val="006A2EE7"/>
    <w:rsid w:val="006A3C24"/>
    <w:rsid w:val="006B1330"/>
    <w:rsid w:val="006C1558"/>
    <w:rsid w:val="006C44D7"/>
    <w:rsid w:val="006C6FEC"/>
    <w:rsid w:val="006C7905"/>
    <w:rsid w:val="006D5B31"/>
    <w:rsid w:val="006D5C8A"/>
    <w:rsid w:val="006E098C"/>
    <w:rsid w:val="006F1314"/>
    <w:rsid w:val="006F26A8"/>
    <w:rsid w:val="006F4652"/>
    <w:rsid w:val="006F4A7D"/>
    <w:rsid w:val="006F4D3E"/>
    <w:rsid w:val="006F4D8E"/>
    <w:rsid w:val="007107EB"/>
    <w:rsid w:val="00710AD5"/>
    <w:rsid w:val="007123A0"/>
    <w:rsid w:val="00713C15"/>
    <w:rsid w:val="00715B40"/>
    <w:rsid w:val="0072552C"/>
    <w:rsid w:val="007259DF"/>
    <w:rsid w:val="00725DC0"/>
    <w:rsid w:val="00725FC9"/>
    <w:rsid w:val="00725FD1"/>
    <w:rsid w:val="007264F6"/>
    <w:rsid w:val="00734875"/>
    <w:rsid w:val="007372FB"/>
    <w:rsid w:val="007377DA"/>
    <w:rsid w:val="007419B4"/>
    <w:rsid w:val="00744A80"/>
    <w:rsid w:val="00744A98"/>
    <w:rsid w:val="00746630"/>
    <w:rsid w:val="007470B9"/>
    <w:rsid w:val="007509FA"/>
    <w:rsid w:val="007550FD"/>
    <w:rsid w:val="00764E70"/>
    <w:rsid w:val="00764F08"/>
    <w:rsid w:val="00766542"/>
    <w:rsid w:val="007670AE"/>
    <w:rsid w:val="00770C99"/>
    <w:rsid w:val="00772B6C"/>
    <w:rsid w:val="00776233"/>
    <w:rsid w:val="007763FA"/>
    <w:rsid w:val="00776756"/>
    <w:rsid w:val="007810DC"/>
    <w:rsid w:val="0078124A"/>
    <w:rsid w:val="007862E5"/>
    <w:rsid w:val="00790EEC"/>
    <w:rsid w:val="007928ED"/>
    <w:rsid w:val="00793592"/>
    <w:rsid w:val="007948D2"/>
    <w:rsid w:val="007A0BCB"/>
    <w:rsid w:val="007A5B87"/>
    <w:rsid w:val="007B13C5"/>
    <w:rsid w:val="007B5F95"/>
    <w:rsid w:val="007B683A"/>
    <w:rsid w:val="007C0409"/>
    <w:rsid w:val="007C33AA"/>
    <w:rsid w:val="007C549F"/>
    <w:rsid w:val="007D0E65"/>
    <w:rsid w:val="007D3B2E"/>
    <w:rsid w:val="007E0CBD"/>
    <w:rsid w:val="007E1199"/>
    <w:rsid w:val="007E5435"/>
    <w:rsid w:val="007E7CBF"/>
    <w:rsid w:val="007E7F63"/>
    <w:rsid w:val="007F246C"/>
    <w:rsid w:val="007F4187"/>
    <w:rsid w:val="007F4D9B"/>
    <w:rsid w:val="00802985"/>
    <w:rsid w:val="0080408D"/>
    <w:rsid w:val="008058B5"/>
    <w:rsid w:val="00807AA5"/>
    <w:rsid w:val="00810890"/>
    <w:rsid w:val="00812BA0"/>
    <w:rsid w:val="00812C9E"/>
    <w:rsid w:val="00814C1B"/>
    <w:rsid w:val="00815D80"/>
    <w:rsid w:val="0082115C"/>
    <w:rsid w:val="00821D55"/>
    <w:rsid w:val="0082232F"/>
    <w:rsid w:val="00823B95"/>
    <w:rsid w:val="00826BD1"/>
    <w:rsid w:val="00827AB6"/>
    <w:rsid w:val="00831979"/>
    <w:rsid w:val="0083456F"/>
    <w:rsid w:val="008409CF"/>
    <w:rsid w:val="00844983"/>
    <w:rsid w:val="00857FF2"/>
    <w:rsid w:val="008625EC"/>
    <w:rsid w:val="0086629A"/>
    <w:rsid w:val="008851A1"/>
    <w:rsid w:val="00885387"/>
    <w:rsid w:val="00885726"/>
    <w:rsid w:val="008867A3"/>
    <w:rsid w:val="008867DC"/>
    <w:rsid w:val="00892BC5"/>
    <w:rsid w:val="00892EB5"/>
    <w:rsid w:val="00894647"/>
    <w:rsid w:val="008A0BD4"/>
    <w:rsid w:val="008A0D12"/>
    <w:rsid w:val="008A3292"/>
    <w:rsid w:val="008A4AB3"/>
    <w:rsid w:val="008B330F"/>
    <w:rsid w:val="008B4199"/>
    <w:rsid w:val="008B4B19"/>
    <w:rsid w:val="008B4ECE"/>
    <w:rsid w:val="008B7930"/>
    <w:rsid w:val="008C6274"/>
    <w:rsid w:val="008C6783"/>
    <w:rsid w:val="008D5F88"/>
    <w:rsid w:val="008E1CE9"/>
    <w:rsid w:val="008E3675"/>
    <w:rsid w:val="008E4494"/>
    <w:rsid w:val="008E4868"/>
    <w:rsid w:val="008E4A77"/>
    <w:rsid w:val="008F4900"/>
    <w:rsid w:val="008F78BF"/>
    <w:rsid w:val="009000BD"/>
    <w:rsid w:val="009043D9"/>
    <w:rsid w:val="00904B5B"/>
    <w:rsid w:val="00905397"/>
    <w:rsid w:val="00914F03"/>
    <w:rsid w:val="00920D76"/>
    <w:rsid w:val="00922358"/>
    <w:rsid w:val="00924472"/>
    <w:rsid w:val="00925747"/>
    <w:rsid w:val="00930672"/>
    <w:rsid w:val="0093133A"/>
    <w:rsid w:val="00941AED"/>
    <w:rsid w:val="009444CD"/>
    <w:rsid w:val="00944AD7"/>
    <w:rsid w:val="0094656A"/>
    <w:rsid w:val="009477F1"/>
    <w:rsid w:val="009520B8"/>
    <w:rsid w:val="00952C11"/>
    <w:rsid w:val="00952F46"/>
    <w:rsid w:val="00953758"/>
    <w:rsid w:val="009539A8"/>
    <w:rsid w:val="00955436"/>
    <w:rsid w:val="00955B23"/>
    <w:rsid w:val="0095742B"/>
    <w:rsid w:val="00961BBA"/>
    <w:rsid w:val="00961D34"/>
    <w:rsid w:val="009624A6"/>
    <w:rsid w:val="009629F8"/>
    <w:rsid w:val="00962B79"/>
    <w:rsid w:val="00964C65"/>
    <w:rsid w:val="00976997"/>
    <w:rsid w:val="00977182"/>
    <w:rsid w:val="00977671"/>
    <w:rsid w:val="009808A1"/>
    <w:rsid w:val="00981BBB"/>
    <w:rsid w:val="009836C7"/>
    <w:rsid w:val="009853F8"/>
    <w:rsid w:val="0098599B"/>
    <w:rsid w:val="00986689"/>
    <w:rsid w:val="00990537"/>
    <w:rsid w:val="00991CED"/>
    <w:rsid w:val="00996202"/>
    <w:rsid w:val="00997810"/>
    <w:rsid w:val="009A16BD"/>
    <w:rsid w:val="009A2624"/>
    <w:rsid w:val="009A2776"/>
    <w:rsid w:val="009A36C6"/>
    <w:rsid w:val="009A40CC"/>
    <w:rsid w:val="009A4166"/>
    <w:rsid w:val="009A5E6C"/>
    <w:rsid w:val="009A7E18"/>
    <w:rsid w:val="009B162A"/>
    <w:rsid w:val="009B620D"/>
    <w:rsid w:val="009B6298"/>
    <w:rsid w:val="009B7CCF"/>
    <w:rsid w:val="009C166A"/>
    <w:rsid w:val="009C1922"/>
    <w:rsid w:val="009C38F6"/>
    <w:rsid w:val="009D456B"/>
    <w:rsid w:val="009D5E17"/>
    <w:rsid w:val="009D6C95"/>
    <w:rsid w:val="009E2D0D"/>
    <w:rsid w:val="009E3E09"/>
    <w:rsid w:val="009E7D36"/>
    <w:rsid w:val="009F31B1"/>
    <w:rsid w:val="009F3DC6"/>
    <w:rsid w:val="009F42EE"/>
    <w:rsid w:val="009F43D0"/>
    <w:rsid w:val="009F4400"/>
    <w:rsid w:val="009F5930"/>
    <w:rsid w:val="009F6B2F"/>
    <w:rsid w:val="00A00EA6"/>
    <w:rsid w:val="00A037E8"/>
    <w:rsid w:val="00A037FE"/>
    <w:rsid w:val="00A057FB"/>
    <w:rsid w:val="00A11FA0"/>
    <w:rsid w:val="00A269A4"/>
    <w:rsid w:val="00A27BD7"/>
    <w:rsid w:val="00A308CF"/>
    <w:rsid w:val="00A30A2F"/>
    <w:rsid w:val="00A34CC9"/>
    <w:rsid w:val="00A40C6E"/>
    <w:rsid w:val="00A40F98"/>
    <w:rsid w:val="00A45419"/>
    <w:rsid w:val="00A640CB"/>
    <w:rsid w:val="00A6589F"/>
    <w:rsid w:val="00A66881"/>
    <w:rsid w:val="00A66C3D"/>
    <w:rsid w:val="00A673A8"/>
    <w:rsid w:val="00A801CA"/>
    <w:rsid w:val="00A805D3"/>
    <w:rsid w:val="00A82074"/>
    <w:rsid w:val="00A82FA7"/>
    <w:rsid w:val="00A86FD7"/>
    <w:rsid w:val="00A92A47"/>
    <w:rsid w:val="00A95113"/>
    <w:rsid w:val="00A96FF8"/>
    <w:rsid w:val="00A973D5"/>
    <w:rsid w:val="00AA4DB7"/>
    <w:rsid w:val="00AA72E4"/>
    <w:rsid w:val="00AB0F0A"/>
    <w:rsid w:val="00AB16DA"/>
    <w:rsid w:val="00AB3A5C"/>
    <w:rsid w:val="00AB4F51"/>
    <w:rsid w:val="00AB5A29"/>
    <w:rsid w:val="00AB72A9"/>
    <w:rsid w:val="00AC13E8"/>
    <w:rsid w:val="00AC447D"/>
    <w:rsid w:val="00AD49AE"/>
    <w:rsid w:val="00AD49BC"/>
    <w:rsid w:val="00AD5376"/>
    <w:rsid w:val="00AD5941"/>
    <w:rsid w:val="00AE21AF"/>
    <w:rsid w:val="00AE5D77"/>
    <w:rsid w:val="00AE72C3"/>
    <w:rsid w:val="00AF0EDD"/>
    <w:rsid w:val="00AF459A"/>
    <w:rsid w:val="00B11805"/>
    <w:rsid w:val="00B13C51"/>
    <w:rsid w:val="00B16431"/>
    <w:rsid w:val="00B205D7"/>
    <w:rsid w:val="00B25D99"/>
    <w:rsid w:val="00B2602C"/>
    <w:rsid w:val="00B328BF"/>
    <w:rsid w:val="00B35646"/>
    <w:rsid w:val="00B35999"/>
    <w:rsid w:val="00B359AF"/>
    <w:rsid w:val="00B37181"/>
    <w:rsid w:val="00B37D9A"/>
    <w:rsid w:val="00B41D27"/>
    <w:rsid w:val="00B45A95"/>
    <w:rsid w:val="00B474EE"/>
    <w:rsid w:val="00B54045"/>
    <w:rsid w:val="00B60943"/>
    <w:rsid w:val="00B61985"/>
    <w:rsid w:val="00B63E4A"/>
    <w:rsid w:val="00B803E9"/>
    <w:rsid w:val="00B820AB"/>
    <w:rsid w:val="00B84CC7"/>
    <w:rsid w:val="00B85378"/>
    <w:rsid w:val="00B864BF"/>
    <w:rsid w:val="00B86B70"/>
    <w:rsid w:val="00B93995"/>
    <w:rsid w:val="00B95274"/>
    <w:rsid w:val="00B9606E"/>
    <w:rsid w:val="00B97DD8"/>
    <w:rsid w:val="00BA06DF"/>
    <w:rsid w:val="00BA4FE5"/>
    <w:rsid w:val="00BA7535"/>
    <w:rsid w:val="00BB0A5C"/>
    <w:rsid w:val="00BB0DC7"/>
    <w:rsid w:val="00BB1D89"/>
    <w:rsid w:val="00BB277C"/>
    <w:rsid w:val="00BB3663"/>
    <w:rsid w:val="00BC30C5"/>
    <w:rsid w:val="00BC31E8"/>
    <w:rsid w:val="00BC3F17"/>
    <w:rsid w:val="00BC42D1"/>
    <w:rsid w:val="00BC6B81"/>
    <w:rsid w:val="00BD03BB"/>
    <w:rsid w:val="00BD56B3"/>
    <w:rsid w:val="00BE3AF3"/>
    <w:rsid w:val="00BE5984"/>
    <w:rsid w:val="00BF01BF"/>
    <w:rsid w:val="00BF1F87"/>
    <w:rsid w:val="00BF35F8"/>
    <w:rsid w:val="00BF3852"/>
    <w:rsid w:val="00BF435E"/>
    <w:rsid w:val="00BF520A"/>
    <w:rsid w:val="00BF5EDE"/>
    <w:rsid w:val="00C00812"/>
    <w:rsid w:val="00C01FF7"/>
    <w:rsid w:val="00C02BA8"/>
    <w:rsid w:val="00C04421"/>
    <w:rsid w:val="00C064F1"/>
    <w:rsid w:val="00C11572"/>
    <w:rsid w:val="00C154A8"/>
    <w:rsid w:val="00C2333D"/>
    <w:rsid w:val="00C257F8"/>
    <w:rsid w:val="00C353BB"/>
    <w:rsid w:val="00C4016F"/>
    <w:rsid w:val="00C426B0"/>
    <w:rsid w:val="00C45F01"/>
    <w:rsid w:val="00C46D2C"/>
    <w:rsid w:val="00C60FF9"/>
    <w:rsid w:val="00C62C82"/>
    <w:rsid w:val="00C63D1C"/>
    <w:rsid w:val="00C7596C"/>
    <w:rsid w:val="00C766DA"/>
    <w:rsid w:val="00C77AA7"/>
    <w:rsid w:val="00C82AFD"/>
    <w:rsid w:val="00C82DDD"/>
    <w:rsid w:val="00C85940"/>
    <w:rsid w:val="00C90E7D"/>
    <w:rsid w:val="00CA4695"/>
    <w:rsid w:val="00CA5B86"/>
    <w:rsid w:val="00CB38C8"/>
    <w:rsid w:val="00CB3A8D"/>
    <w:rsid w:val="00CB4729"/>
    <w:rsid w:val="00CB500D"/>
    <w:rsid w:val="00CC2040"/>
    <w:rsid w:val="00CC23CE"/>
    <w:rsid w:val="00CC755E"/>
    <w:rsid w:val="00CD33C0"/>
    <w:rsid w:val="00CD4BC9"/>
    <w:rsid w:val="00CD7768"/>
    <w:rsid w:val="00CE3310"/>
    <w:rsid w:val="00CF23A5"/>
    <w:rsid w:val="00CF3305"/>
    <w:rsid w:val="00CF3404"/>
    <w:rsid w:val="00D00E0F"/>
    <w:rsid w:val="00D01EB4"/>
    <w:rsid w:val="00D03524"/>
    <w:rsid w:val="00D077F1"/>
    <w:rsid w:val="00D07EED"/>
    <w:rsid w:val="00D11349"/>
    <w:rsid w:val="00D244A8"/>
    <w:rsid w:val="00D25E8C"/>
    <w:rsid w:val="00D321C0"/>
    <w:rsid w:val="00D354E6"/>
    <w:rsid w:val="00D35C44"/>
    <w:rsid w:val="00D434F4"/>
    <w:rsid w:val="00D448BD"/>
    <w:rsid w:val="00D45DD0"/>
    <w:rsid w:val="00D4756D"/>
    <w:rsid w:val="00D50286"/>
    <w:rsid w:val="00D53B6A"/>
    <w:rsid w:val="00D559A9"/>
    <w:rsid w:val="00D60504"/>
    <w:rsid w:val="00D64B7D"/>
    <w:rsid w:val="00D64F33"/>
    <w:rsid w:val="00D66E2E"/>
    <w:rsid w:val="00D67958"/>
    <w:rsid w:val="00D700FF"/>
    <w:rsid w:val="00D7289E"/>
    <w:rsid w:val="00D74C1D"/>
    <w:rsid w:val="00D752A2"/>
    <w:rsid w:val="00D80E3D"/>
    <w:rsid w:val="00D842B7"/>
    <w:rsid w:val="00D84F1C"/>
    <w:rsid w:val="00D8534C"/>
    <w:rsid w:val="00D94E15"/>
    <w:rsid w:val="00DA2152"/>
    <w:rsid w:val="00DA2A2C"/>
    <w:rsid w:val="00DA4CC2"/>
    <w:rsid w:val="00DB3BB5"/>
    <w:rsid w:val="00DB401E"/>
    <w:rsid w:val="00DB4DC5"/>
    <w:rsid w:val="00DC3B0B"/>
    <w:rsid w:val="00DC4E04"/>
    <w:rsid w:val="00DC5410"/>
    <w:rsid w:val="00DD31C5"/>
    <w:rsid w:val="00DD4410"/>
    <w:rsid w:val="00DE1D8E"/>
    <w:rsid w:val="00DE2AC0"/>
    <w:rsid w:val="00DE2F38"/>
    <w:rsid w:val="00DE4615"/>
    <w:rsid w:val="00DF1727"/>
    <w:rsid w:val="00DF5DFB"/>
    <w:rsid w:val="00DF6116"/>
    <w:rsid w:val="00DF7A9A"/>
    <w:rsid w:val="00E071BA"/>
    <w:rsid w:val="00E1439C"/>
    <w:rsid w:val="00E1598A"/>
    <w:rsid w:val="00E20178"/>
    <w:rsid w:val="00E23CE5"/>
    <w:rsid w:val="00E26C14"/>
    <w:rsid w:val="00E26CC9"/>
    <w:rsid w:val="00E31B50"/>
    <w:rsid w:val="00E32632"/>
    <w:rsid w:val="00E36F70"/>
    <w:rsid w:val="00E405F5"/>
    <w:rsid w:val="00E43157"/>
    <w:rsid w:val="00E43957"/>
    <w:rsid w:val="00E4469A"/>
    <w:rsid w:val="00E47909"/>
    <w:rsid w:val="00E555B5"/>
    <w:rsid w:val="00E70128"/>
    <w:rsid w:val="00E703A8"/>
    <w:rsid w:val="00E709C2"/>
    <w:rsid w:val="00E70DBE"/>
    <w:rsid w:val="00E71EC0"/>
    <w:rsid w:val="00E82891"/>
    <w:rsid w:val="00E920F8"/>
    <w:rsid w:val="00E954E6"/>
    <w:rsid w:val="00E95E8A"/>
    <w:rsid w:val="00E97941"/>
    <w:rsid w:val="00EA274F"/>
    <w:rsid w:val="00EA2C6B"/>
    <w:rsid w:val="00EA60CE"/>
    <w:rsid w:val="00EA69E4"/>
    <w:rsid w:val="00EA731D"/>
    <w:rsid w:val="00EB0393"/>
    <w:rsid w:val="00EC3109"/>
    <w:rsid w:val="00EC75A3"/>
    <w:rsid w:val="00ED267F"/>
    <w:rsid w:val="00ED5E27"/>
    <w:rsid w:val="00EE60B9"/>
    <w:rsid w:val="00EE7B1E"/>
    <w:rsid w:val="00EF0628"/>
    <w:rsid w:val="00F02CC3"/>
    <w:rsid w:val="00F04435"/>
    <w:rsid w:val="00F10088"/>
    <w:rsid w:val="00F108D0"/>
    <w:rsid w:val="00F15F05"/>
    <w:rsid w:val="00F1695D"/>
    <w:rsid w:val="00F30F1D"/>
    <w:rsid w:val="00F3491C"/>
    <w:rsid w:val="00F35AC3"/>
    <w:rsid w:val="00F41C4D"/>
    <w:rsid w:val="00F4334D"/>
    <w:rsid w:val="00F4493F"/>
    <w:rsid w:val="00F47DAB"/>
    <w:rsid w:val="00F51502"/>
    <w:rsid w:val="00F51E53"/>
    <w:rsid w:val="00F52EDB"/>
    <w:rsid w:val="00F531D3"/>
    <w:rsid w:val="00F53E85"/>
    <w:rsid w:val="00F562C3"/>
    <w:rsid w:val="00F6027A"/>
    <w:rsid w:val="00F603DF"/>
    <w:rsid w:val="00F60451"/>
    <w:rsid w:val="00F64BEE"/>
    <w:rsid w:val="00F66BB3"/>
    <w:rsid w:val="00F7048B"/>
    <w:rsid w:val="00F75B47"/>
    <w:rsid w:val="00F75D9B"/>
    <w:rsid w:val="00F765B9"/>
    <w:rsid w:val="00F774DB"/>
    <w:rsid w:val="00F82333"/>
    <w:rsid w:val="00F833D0"/>
    <w:rsid w:val="00F864FD"/>
    <w:rsid w:val="00F904BC"/>
    <w:rsid w:val="00F90A89"/>
    <w:rsid w:val="00F90D0F"/>
    <w:rsid w:val="00F92DAE"/>
    <w:rsid w:val="00F969A1"/>
    <w:rsid w:val="00F9703D"/>
    <w:rsid w:val="00F97754"/>
    <w:rsid w:val="00FA05EE"/>
    <w:rsid w:val="00FA4547"/>
    <w:rsid w:val="00FA6F74"/>
    <w:rsid w:val="00FA7D5F"/>
    <w:rsid w:val="00FB5EF2"/>
    <w:rsid w:val="00FC30D3"/>
    <w:rsid w:val="00FD2A1E"/>
    <w:rsid w:val="00FD5A26"/>
    <w:rsid w:val="00FD650E"/>
    <w:rsid w:val="00FD661E"/>
    <w:rsid w:val="00FE28BB"/>
    <w:rsid w:val="00FF1F18"/>
    <w:rsid w:val="00FF34E4"/>
    <w:rsid w:val="00FF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D04C"/>
  <w15:docId w15:val="{0582EE7B-0088-45C5-A448-4CCD45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C7"/>
  </w:style>
  <w:style w:type="paragraph" w:styleId="Balk1">
    <w:name w:val="heading 1"/>
    <w:basedOn w:val="Normal"/>
    <w:next w:val="Normal"/>
    <w:link w:val="Balk1Char"/>
    <w:uiPriority w:val="9"/>
    <w:qFormat/>
    <w:rsid w:val="00B84CC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semiHidden/>
    <w:unhideWhenUsed/>
    <w:qFormat/>
    <w:rsid w:val="00B84CC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semiHidden/>
    <w:unhideWhenUsed/>
    <w:qFormat/>
    <w:rsid w:val="00B84CC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B84CC7"/>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B84CC7"/>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B84CC7"/>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84CC7"/>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84CC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84CC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2C3"/>
    <w:pPr>
      <w:ind w:left="720"/>
      <w:contextualSpacing/>
    </w:pPr>
  </w:style>
  <w:style w:type="paragraph" w:styleId="BalonMetni">
    <w:name w:val="Balloon Text"/>
    <w:basedOn w:val="Normal"/>
    <w:link w:val="BalonMetniChar"/>
    <w:uiPriority w:val="99"/>
    <w:semiHidden/>
    <w:unhideWhenUsed/>
    <w:rsid w:val="00656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135"/>
    <w:rPr>
      <w:rFonts w:ascii="Tahoma" w:hAnsi="Tahoma" w:cs="Tahoma"/>
      <w:sz w:val="16"/>
      <w:szCs w:val="16"/>
    </w:rPr>
  </w:style>
  <w:style w:type="table" w:styleId="TabloKlavuzu">
    <w:name w:val="Table Grid"/>
    <w:basedOn w:val="NormalTablo"/>
    <w:rsid w:val="00F51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613609"/>
    <w:rPr>
      <w:color w:val="808080"/>
    </w:rPr>
  </w:style>
  <w:style w:type="character" w:styleId="AklamaBavurusu">
    <w:name w:val="annotation reference"/>
    <w:basedOn w:val="VarsaylanParagrafYazTipi"/>
    <w:uiPriority w:val="99"/>
    <w:semiHidden/>
    <w:unhideWhenUsed/>
    <w:rsid w:val="00F774DB"/>
    <w:rPr>
      <w:sz w:val="16"/>
      <w:szCs w:val="16"/>
    </w:rPr>
  </w:style>
  <w:style w:type="paragraph" w:styleId="AklamaMetni">
    <w:name w:val="annotation text"/>
    <w:basedOn w:val="Normal"/>
    <w:link w:val="AklamaMetniChar"/>
    <w:uiPriority w:val="99"/>
    <w:semiHidden/>
    <w:unhideWhenUsed/>
    <w:rsid w:val="00F774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74DB"/>
    <w:rPr>
      <w:sz w:val="20"/>
      <w:szCs w:val="20"/>
    </w:rPr>
  </w:style>
  <w:style w:type="paragraph" w:styleId="AklamaKonusu">
    <w:name w:val="annotation subject"/>
    <w:basedOn w:val="AklamaMetni"/>
    <w:next w:val="AklamaMetni"/>
    <w:link w:val="AklamaKonusuChar"/>
    <w:uiPriority w:val="99"/>
    <w:semiHidden/>
    <w:unhideWhenUsed/>
    <w:rsid w:val="00F774DB"/>
    <w:rPr>
      <w:b/>
      <w:bCs/>
    </w:rPr>
  </w:style>
  <w:style w:type="character" w:customStyle="1" w:styleId="AklamaKonusuChar">
    <w:name w:val="Açıklama Konusu Char"/>
    <w:basedOn w:val="AklamaMetniChar"/>
    <w:link w:val="AklamaKonusu"/>
    <w:uiPriority w:val="99"/>
    <w:semiHidden/>
    <w:rsid w:val="00F774DB"/>
    <w:rPr>
      <w:b/>
      <w:bCs/>
      <w:sz w:val="20"/>
      <w:szCs w:val="20"/>
    </w:rPr>
  </w:style>
  <w:style w:type="paragraph" w:styleId="stBilgi">
    <w:name w:val="header"/>
    <w:basedOn w:val="Normal"/>
    <w:link w:val="stBilgiChar"/>
    <w:uiPriority w:val="99"/>
    <w:unhideWhenUsed/>
    <w:rsid w:val="00CD3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3C0"/>
  </w:style>
  <w:style w:type="paragraph" w:styleId="AltBilgi">
    <w:name w:val="footer"/>
    <w:basedOn w:val="Normal"/>
    <w:link w:val="AltBilgiChar"/>
    <w:uiPriority w:val="99"/>
    <w:unhideWhenUsed/>
    <w:rsid w:val="00CD3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3C0"/>
  </w:style>
  <w:style w:type="paragraph" w:styleId="DipnotMetni">
    <w:name w:val="footnote text"/>
    <w:aliases w:val="Dipnot Metni Char Char Char"/>
    <w:basedOn w:val="Normal"/>
    <w:link w:val="DipnotMetniChar"/>
    <w:uiPriority w:val="99"/>
    <w:unhideWhenUsed/>
    <w:rsid w:val="00BD56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D56B3"/>
    <w:rPr>
      <w:sz w:val="20"/>
      <w:szCs w:val="20"/>
    </w:rPr>
  </w:style>
  <w:style w:type="character" w:styleId="DipnotBavurusu">
    <w:name w:val="footnote reference"/>
    <w:basedOn w:val="VarsaylanParagrafYazTipi"/>
    <w:uiPriority w:val="99"/>
    <w:semiHidden/>
    <w:unhideWhenUsed/>
    <w:rsid w:val="00BD56B3"/>
    <w:rPr>
      <w:vertAlign w:val="superscript"/>
    </w:rPr>
  </w:style>
  <w:style w:type="character" w:styleId="Kpr">
    <w:name w:val="Hyperlink"/>
    <w:basedOn w:val="VarsaylanParagrafYazTipi"/>
    <w:uiPriority w:val="99"/>
    <w:unhideWhenUsed/>
    <w:rsid w:val="00DF1727"/>
    <w:rPr>
      <w:color w:val="0000FF" w:themeColor="hyperlink"/>
      <w:u w:val="single"/>
    </w:rPr>
  </w:style>
  <w:style w:type="table" w:styleId="DzTablo2">
    <w:name w:val="Plain Table 2"/>
    <w:basedOn w:val="NormalTablo"/>
    <w:uiPriority w:val="42"/>
    <w:rsid w:val="00BB0D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B84CC7"/>
    <w:rPr>
      <w:rFonts w:asciiTheme="majorHAnsi" w:eastAsiaTheme="majorEastAsia" w:hAnsiTheme="majorHAnsi" w:cstheme="majorBidi"/>
      <w:color w:val="365F91" w:themeColor="accent1" w:themeShade="BF"/>
      <w:sz w:val="28"/>
      <w:szCs w:val="28"/>
    </w:rPr>
  </w:style>
  <w:style w:type="character" w:customStyle="1" w:styleId="Balk1Char">
    <w:name w:val="Başlık 1 Char"/>
    <w:basedOn w:val="VarsaylanParagrafYazTipi"/>
    <w:link w:val="Balk1"/>
    <w:uiPriority w:val="9"/>
    <w:rsid w:val="00B84CC7"/>
    <w:rPr>
      <w:rFonts w:asciiTheme="majorHAnsi" w:eastAsiaTheme="majorEastAsia" w:hAnsiTheme="majorHAnsi" w:cstheme="majorBidi"/>
      <w:color w:val="365F91" w:themeColor="accent1" w:themeShade="BF"/>
      <w:sz w:val="36"/>
      <w:szCs w:val="36"/>
    </w:rPr>
  </w:style>
  <w:style w:type="character" w:customStyle="1" w:styleId="Balk3Char">
    <w:name w:val="Başlık 3 Char"/>
    <w:basedOn w:val="VarsaylanParagrafYazTipi"/>
    <w:link w:val="Balk3"/>
    <w:uiPriority w:val="9"/>
    <w:semiHidden/>
    <w:rsid w:val="00B84CC7"/>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B84CC7"/>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B84CC7"/>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B84CC7"/>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84CC7"/>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84CC7"/>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84CC7"/>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B84CC7"/>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B84CC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B84CC7"/>
    <w:rPr>
      <w:rFonts w:asciiTheme="majorHAnsi" w:eastAsiaTheme="majorEastAsia" w:hAnsiTheme="majorHAnsi" w:cstheme="majorBidi"/>
      <w:color w:val="365F91" w:themeColor="accent1" w:themeShade="BF"/>
      <w:spacing w:val="-7"/>
      <w:sz w:val="80"/>
      <w:szCs w:val="80"/>
    </w:rPr>
  </w:style>
  <w:style w:type="paragraph" w:styleId="Altyaz">
    <w:name w:val="Subtitle"/>
    <w:basedOn w:val="Normal"/>
    <w:next w:val="Normal"/>
    <w:link w:val="AltyazChar"/>
    <w:uiPriority w:val="11"/>
    <w:qFormat/>
    <w:rsid w:val="00B84CC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B84CC7"/>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84CC7"/>
    <w:rPr>
      <w:b/>
      <w:bCs/>
    </w:rPr>
  </w:style>
  <w:style w:type="character" w:styleId="Vurgu">
    <w:name w:val="Emphasis"/>
    <w:basedOn w:val="VarsaylanParagrafYazTipi"/>
    <w:uiPriority w:val="20"/>
    <w:qFormat/>
    <w:rsid w:val="00B84CC7"/>
    <w:rPr>
      <w:i/>
      <w:iCs/>
    </w:rPr>
  </w:style>
  <w:style w:type="paragraph" w:styleId="AralkYok">
    <w:name w:val="No Spacing"/>
    <w:uiPriority w:val="1"/>
    <w:qFormat/>
    <w:rsid w:val="00B84CC7"/>
    <w:pPr>
      <w:spacing w:after="0" w:line="240" w:lineRule="auto"/>
    </w:pPr>
  </w:style>
  <w:style w:type="paragraph" w:styleId="Alnt">
    <w:name w:val="Quote"/>
    <w:basedOn w:val="Normal"/>
    <w:next w:val="Normal"/>
    <w:link w:val="AlntChar"/>
    <w:uiPriority w:val="29"/>
    <w:qFormat/>
    <w:rsid w:val="00B84CC7"/>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B84CC7"/>
    <w:rPr>
      <w:i/>
      <w:iCs/>
    </w:rPr>
  </w:style>
  <w:style w:type="paragraph" w:styleId="GlAlnt">
    <w:name w:val="Intense Quote"/>
    <w:basedOn w:val="Normal"/>
    <w:next w:val="Normal"/>
    <w:link w:val="GlAlntChar"/>
    <w:uiPriority w:val="30"/>
    <w:qFormat/>
    <w:rsid w:val="00B84CC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B84CC7"/>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B84CC7"/>
    <w:rPr>
      <w:i/>
      <w:iCs/>
      <w:color w:val="595959" w:themeColor="text1" w:themeTint="A6"/>
    </w:rPr>
  </w:style>
  <w:style w:type="character" w:styleId="GlVurgulama">
    <w:name w:val="Intense Emphasis"/>
    <w:basedOn w:val="VarsaylanParagrafYazTipi"/>
    <w:uiPriority w:val="21"/>
    <w:qFormat/>
    <w:rsid w:val="00B84CC7"/>
    <w:rPr>
      <w:b/>
      <w:bCs/>
      <w:i/>
      <w:iCs/>
    </w:rPr>
  </w:style>
  <w:style w:type="character" w:styleId="HafifBavuru">
    <w:name w:val="Subtle Reference"/>
    <w:basedOn w:val="VarsaylanParagrafYazTipi"/>
    <w:uiPriority w:val="31"/>
    <w:qFormat/>
    <w:rsid w:val="00B84CC7"/>
    <w:rPr>
      <w:smallCaps/>
      <w:color w:val="404040" w:themeColor="text1" w:themeTint="BF"/>
    </w:rPr>
  </w:style>
  <w:style w:type="character" w:styleId="GlBavuru">
    <w:name w:val="Intense Reference"/>
    <w:basedOn w:val="VarsaylanParagrafYazTipi"/>
    <w:uiPriority w:val="32"/>
    <w:qFormat/>
    <w:rsid w:val="00B84CC7"/>
    <w:rPr>
      <w:b/>
      <w:bCs/>
      <w:smallCaps/>
      <w:u w:val="single"/>
    </w:rPr>
  </w:style>
  <w:style w:type="character" w:styleId="KitapBal">
    <w:name w:val="Book Title"/>
    <w:basedOn w:val="VarsaylanParagrafYazTipi"/>
    <w:uiPriority w:val="33"/>
    <w:qFormat/>
    <w:rsid w:val="00B84CC7"/>
    <w:rPr>
      <w:b/>
      <w:bCs/>
      <w:smallCaps/>
    </w:rPr>
  </w:style>
  <w:style w:type="paragraph" w:styleId="TBal">
    <w:name w:val="TOC Heading"/>
    <w:basedOn w:val="Balk1"/>
    <w:next w:val="Normal"/>
    <w:uiPriority w:val="39"/>
    <w:semiHidden/>
    <w:unhideWhenUsed/>
    <w:qFormat/>
    <w:rsid w:val="00B84CC7"/>
    <w:pPr>
      <w:outlineLvl w:val="9"/>
    </w:pPr>
  </w:style>
  <w:style w:type="table" w:customStyle="1" w:styleId="TabloKlavuzu1">
    <w:name w:val="Tablo Kılavuzu1"/>
    <w:basedOn w:val="NormalTablo"/>
    <w:next w:val="TabloKlavuzu"/>
    <w:uiPriority w:val="59"/>
    <w:rsid w:val="00B84C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B359AF"/>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B359AF"/>
    <w:rPr>
      <w:rFonts w:ascii="Times New Roman" w:eastAsia="Times New Roman" w:hAnsi="Times New Roman" w:cs="Times New Roman"/>
      <w:b/>
      <w:bCs/>
      <w:iCs/>
      <w:w w:val="90"/>
      <w:sz w:val="20"/>
      <w:szCs w:val="24"/>
    </w:rPr>
  </w:style>
  <w:style w:type="table" w:customStyle="1" w:styleId="TabloKlavuzu2">
    <w:name w:val="Tablo Kılavuzu2"/>
    <w:basedOn w:val="NormalTablo"/>
    <w:next w:val="TabloKlavuzu"/>
    <w:uiPriority w:val="59"/>
    <w:rsid w:val="002132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A2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590F"/>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518">
      <w:bodyDiv w:val="1"/>
      <w:marLeft w:val="0"/>
      <w:marRight w:val="0"/>
      <w:marTop w:val="0"/>
      <w:marBottom w:val="0"/>
      <w:divBdr>
        <w:top w:val="none" w:sz="0" w:space="0" w:color="auto"/>
        <w:left w:val="none" w:sz="0" w:space="0" w:color="auto"/>
        <w:bottom w:val="none" w:sz="0" w:space="0" w:color="auto"/>
        <w:right w:val="none" w:sz="0" w:space="0" w:color="auto"/>
      </w:divBdr>
    </w:div>
    <w:div w:id="253363502">
      <w:bodyDiv w:val="1"/>
      <w:marLeft w:val="0"/>
      <w:marRight w:val="0"/>
      <w:marTop w:val="0"/>
      <w:marBottom w:val="0"/>
      <w:divBdr>
        <w:top w:val="none" w:sz="0" w:space="0" w:color="auto"/>
        <w:left w:val="none" w:sz="0" w:space="0" w:color="auto"/>
        <w:bottom w:val="none" w:sz="0" w:space="0" w:color="auto"/>
        <w:right w:val="none" w:sz="0" w:space="0" w:color="auto"/>
      </w:divBdr>
    </w:div>
    <w:div w:id="316493391">
      <w:bodyDiv w:val="1"/>
      <w:marLeft w:val="0"/>
      <w:marRight w:val="0"/>
      <w:marTop w:val="0"/>
      <w:marBottom w:val="0"/>
      <w:divBdr>
        <w:top w:val="none" w:sz="0" w:space="0" w:color="auto"/>
        <w:left w:val="none" w:sz="0" w:space="0" w:color="auto"/>
        <w:bottom w:val="none" w:sz="0" w:space="0" w:color="auto"/>
        <w:right w:val="none" w:sz="0" w:space="0" w:color="auto"/>
      </w:divBdr>
    </w:div>
    <w:div w:id="371541950">
      <w:bodyDiv w:val="1"/>
      <w:marLeft w:val="0"/>
      <w:marRight w:val="0"/>
      <w:marTop w:val="0"/>
      <w:marBottom w:val="0"/>
      <w:divBdr>
        <w:top w:val="none" w:sz="0" w:space="0" w:color="auto"/>
        <w:left w:val="none" w:sz="0" w:space="0" w:color="auto"/>
        <w:bottom w:val="none" w:sz="0" w:space="0" w:color="auto"/>
        <w:right w:val="none" w:sz="0" w:space="0" w:color="auto"/>
      </w:divBdr>
    </w:div>
    <w:div w:id="419570484">
      <w:bodyDiv w:val="1"/>
      <w:marLeft w:val="0"/>
      <w:marRight w:val="0"/>
      <w:marTop w:val="0"/>
      <w:marBottom w:val="0"/>
      <w:divBdr>
        <w:top w:val="none" w:sz="0" w:space="0" w:color="auto"/>
        <w:left w:val="none" w:sz="0" w:space="0" w:color="auto"/>
        <w:bottom w:val="none" w:sz="0" w:space="0" w:color="auto"/>
        <w:right w:val="none" w:sz="0" w:space="0" w:color="auto"/>
      </w:divBdr>
    </w:div>
    <w:div w:id="474687216">
      <w:bodyDiv w:val="1"/>
      <w:marLeft w:val="0"/>
      <w:marRight w:val="0"/>
      <w:marTop w:val="0"/>
      <w:marBottom w:val="0"/>
      <w:divBdr>
        <w:top w:val="none" w:sz="0" w:space="0" w:color="auto"/>
        <w:left w:val="none" w:sz="0" w:space="0" w:color="auto"/>
        <w:bottom w:val="none" w:sz="0" w:space="0" w:color="auto"/>
        <w:right w:val="none" w:sz="0" w:space="0" w:color="auto"/>
      </w:divBdr>
      <w:divsChild>
        <w:div w:id="1191187896">
          <w:marLeft w:val="547"/>
          <w:marRight w:val="0"/>
          <w:marTop w:val="200"/>
          <w:marBottom w:val="0"/>
          <w:divBdr>
            <w:top w:val="none" w:sz="0" w:space="0" w:color="auto"/>
            <w:left w:val="none" w:sz="0" w:space="0" w:color="auto"/>
            <w:bottom w:val="none" w:sz="0" w:space="0" w:color="auto"/>
            <w:right w:val="none" w:sz="0" w:space="0" w:color="auto"/>
          </w:divBdr>
        </w:div>
        <w:div w:id="860122130">
          <w:marLeft w:val="547"/>
          <w:marRight w:val="0"/>
          <w:marTop w:val="200"/>
          <w:marBottom w:val="0"/>
          <w:divBdr>
            <w:top w:val="none" w:sz="0" w:space="0" w:color="auto"/>
            <w:left w:val="none" w:sz="0" w:space="0" w:color="auto"/>
            <w:bottom w:val="none" w:sz="0" w:space="0" w:color="auto"/>
            <w:right w:val="none" w:sz="0" w:space="0" w:color="auto"/>
          </w:divBdr>
        </w:div>
        <w:div w:id="604045446">
          <w:marLeft w:val="547"/>
          <w:marRight w:val="0"/>
          <w:marTop w:val="200"/>
          <w:marBottom w:val="0"/>
          <w:divBdr>
            <w:top w:val="none" w:sz="0" w:space="0" w:color="auto"/>
            <w:left w:val="none" w:sz="0" w:space="0" w:color="auto"/>
            <w:bottom w:val="none" w:sz="0" w:space="0" w:color="auto"/>
            <w:right w:val="none" w:sz="0" w:space="0" w:color="auto"/>
          </w:divBdr>
        </w:div>
      </w:divsChild>
    </w:div>
    <w:div w:id="508640185">
      <w:bodyDiv w:val="1"/>
      <w:marLeft w:val="0"/>
      <w:marRight w:val="0"/>
      <w:marTop w:val="0"/>
      <w:marBottom w:val="0"/>
      <w:divBdr>
        <w:top w:val="none" w:sz="0" w:space="0" w:color="auto"/>
        <w:left w:val="none" w:sz="0" w:space="0" w:color="auto"/>
        <w:bottom w:val="none" w:sz="0" w:space="0" w:color="auto"/>
        <w:right w:val="none" w:sz="0" w:space="0" w:color="auto"/>
      </w:divBdr>
      <w:divsChild>
        <w:div w:id="1264916828">
          <w:marLeft w:val="547"/>
          <w:marRight w:val="0"/>
          <w:marTop w:val="200"/>
          <w:marBottom w:val="0"/>
          <w:divBdr>
            <w:top w:val="none" w:sz="0" w:space="0" w:color="auto"/>
            <w:left w:val="none" w:sz="0" w:space="0" w:color="auto"/>
            <w:bottom w:val="none" w:sz="0" w:space="0" w:color="auto"/>
            <w:right w:val="none" w:sz="0" w:space="0" w:color="auto"/>
          </w:divBdr>
        </w:div>
        <w:div w:id="1726443392">
          <w:marLeft w:val="547"/>
          <w:marRight w:val="0"/>
          <w:marTop w:val="200"/>
          <w:marBottom w:val="0"/>
          <w:divBdr>
            <w:top w:val="none" w:sz="0" w:space="0" w:color="auto"/>
            <w:left w:val="none" w:sz="0" w:space="0" w:color="auto"/>
            <w:bottom w:val="none" w:sz="0" w:space="0" w:color="auto"/>
            <w:right w:val="none" w:sz="0" w:space="0" w:color="auto"/>
          </w:divBdr>
        </w:div>
      </w:divsChild>
    </w:div>
    <w:div w:id="522597391">
      <w:bodyDiv w:val="1"/>
      <w:marLeft w:val="0"/>
      <w:marRight w:val="0"/>
      <w:marTop w:val="0"/>
      <w:marBottom w:val="0"/>
      <w:divBdr>
        <w:top w:val="none" w:sz="0" w:space="0" w:color="auto"/>
        <w:left w:val="none" w:sz="0" w:space="0" w:color="auto"/>
        <w:bottom w:val="none" w:sz="0" w:space="0" w:color="auto"/>
        <w:right w:val="none" w:sz="0" w:space="0" w:color="auto"/>
      </w:divBdr>
    </w:div>
    <w:div w:id="642662100">
      <w:bodyDiv w:val="1"/>
      <w:marLeft w:val="0"/>
      <w:marRight w:val="0"/>
      <w:marTop w:val="0"/>
      <w:marBottom w:val="0"/>
      <w:divBdr>
        <w:top w:val="none" w:sz="0" w:space="0" w:color="auto"/>
        <w:left w:val="none" w:sz="0" w:space="0" w:color="auto"/>
        <w:bottom w:val="none" w:sz="0" w:space="0" w:color="auto"/>
        <w:right w:val="none" w:sz="0" w:space="0" w:color="auto"/>
      </w:divBdr>
    </w:div>
    <w:div w:id="750199194">
      <w:bodyDiv w:val="1"/>
      <w:marLeft w:val="0"/>
      <w:marRight w:val="0"/>
      <w:marTop w:val="0"/>
      <w:marBottom w:val="0"/>
      <w:divBdr>
        <w:top w:val="none" w:sz="0" w:space="0" w:color="auto"/>
        <w:left w:val="none" w:sz="0" w:space="0" w:color="auto"/>
        <w:bottom w:val="none" w:sz="0" w:space="0" w:color="auto"/>
        <w:right w:val="none" w:sz="0" w:space="0" w:color="auto"/>
      </w:divBdr>
    </w:div>
    <w:div w:id="964114820">
      <w:bodyDiv w:val="1"/>
      <w:marLeft w:val="0"/>
      <w:marRight w:val="0"/>
      <w:marTop w:val="0"/>
      <w:marBottom w:val="0"/>
      <w:divBdr>
        <w:top w:val="none" w:sz="0" w:space="0" w:color="auto"/>
        <w:left w:val="none" w:sz="0" w:space="0" w:color="auto"/>
        <w:bottom w:val="none" w:sz="0" w:space="0" w:color="auto"/>
        <w:right w:val="none" w:sz="0" w:space="0" w:color="auto"/>
      </w:divBdr>
      <w:divsChild>
        <w:div w:id="214777566">
          <w:marLeft w:val="0"/>
          <w:marRight w:val="0"/>
          <w:marTop w:val="0"/>
          <w:marBottom w:val="0"/>
          <w:divBdr>
            <w:top w:val="none" w:sz="0" w:space="0" w:color="auto"/>
            <w:left w:val="none" w:sz="0" w:space="0" w:color="auto"/>
            <w:bottom w:val="none" w:sz="0" w:space="0" w:color="auto"/>
            <w:right w:val="none" w:sz="0" w:space="0" w:color="auto"/>
          </w:divBdr>
          <w:divsChild>
            <w:div w:id="840509156">
              <w:marLeft w:val="0"/>
              <w:marRight w:val="60"/>
              <w:marTop w:val="0"/>
              <w:marBottom w:val="0"/>
              <w:divBdr>
                <w:top w:val="none" w:sz="0" w:space="0" w:color="auto"/>
                <w:left w:val="none" w:sz="0" w:space="0" w:color="auto"/>
                <w:bottom w:val="none" w:sz="0" w:space="0" w:color="auto"/>
                <w:right w:val="none" w:sz="0" w:space="0" w:color="auto"/>
              </w:divBdr>
              <w:divsChild>
                <w:div w:id="1683511520">
                  <w:marLeft w:val="0"/>
                  <w:marRight w:val="0"/>
                  <w:marTop w:val="0"/>
                  <w:marBottom w:val="120"/>
                  <w:divBdr>
                    <w:top w:val="single" w:sz="6" w:space="0" w:color="C0C0C0"/>
                    <w:left w:val="single" w:sz="6" w:space="0" w:color="D9D9D9"/>
                    <w:bottom w:val="single" w:sz="6" w:space="0" w:color="D9D9D9"/>
                    <w:right w:val="single" w:sz="6" w:space="0" w:color="D9D9D9"/>
                  </w:divBdr>
                  <w:divsChild>
                    <w:div w:id="900214282">
                      <w:marLeft w:val="0"/>
                      <w:marRight w:val="0"/>
                      <w:marTop w:val="0"/>
                      <w:marBottom w:val="0"/>
                      <w:divBdr>
                        <w:top w:val="none" w:sz="0" w:space="0" w:color="auto"/>
                        <w:left w:val="none" w:sz="0" w:space="0" w:color="auto"/>
                        <w:bottom w:val="none" w:sz="0" w:space="0" w:color="auto"/>
                        <w:right w:val="none" w:sz="0" w:space="0" w:color="auto"/>
                      </w:divBdr>
                    </w:div>
                    <w:div w:id="1156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269">
          <w:marLeft w:val="0"/>
          <w:marRight w:val="0"/>
          <w:marTop w:val="0"/>
          <w:marBottom w:val="0"/>
          <w:divBdr>
            <w:top w:val="none" w:sz="0" w:space="0" w:color="auto"/>
            <w:left w:val="none" w:sz="0" w:space="0" w:color="auto"/>
            <w:bottom w:val="none" w:sz="0" w:space="0" w:color="auto"/>
            <w:right w:val="none" w:sz="0" w:space="0" w:color="auto"/>
          </w:divBdr>
          <w:divsChild>
            <w:div w:id="1333869378">
              <w:marLeft w:val="6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739909086">
                      <w:marLeft w:val="0"/>
                      <w:marRight w:val="0"/>
                      <w:marTop w:val="0"/>
                      <w:marBottom w:val="120"/>
                      <w:divBdr>
                        <w:top w:val="single" w:sz="6" w:space="0" w:color="F5F5F5"/>
                        <w:left w:val="single" w:sz="6" w:space="0" w:color="F5F5F5"/>
                        <w:bottom w:val="single" w:sz="6" w:space="0" w:color="F5F5F5"/>
                        <w:right w:val="single" w:sz="6" w:space="0" w:color="F5F5F5"/>
                      </w:divBdr>
                      <w:divsChild>
                        <w:div w:id="112095725">
                          <w:marLeft w:val="0"/>
                          <w:marRight w:val="0"/>
                          <w:marTop w:val="0"/>
                          <w:marBottom w:val="0"/>
                          <w:divBdr>
                            <w:top w:val="none" w:sz="0" w:space="0" w:color="auto"/>
                            <w:left w:val="none" w:sz="0" w:space="0" w:color="auto"/>
                            <w:bottom w:val="none" w:sz="0" w:space="0" w:color="auto"/>
                            <w:right w:val="none" w:sz="0" w:space="0" w:color="auto"/>
                          </w:divBdr>
                          <w:divsChild>
                            <w:div w:id="1658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5948">
      <w:bodyDiv w:val="1"/>
      <w:marLeft w:val="0"/>
      <w:marRight w:val="0"/>
      <w:marTop w:val="0"/>
      <w:marBottom w:val="0"/>
      <w:divBdr>
        <w:top w:val="none" w:sz="0" w:space="0" w:color="auto"/>
        <w:left w:val="none" w:sz="0" w:space="0" w:color="auto"/>
        <w:bottom w:val="none" w:sz="0" w:space="0" w:color="auto"/>
        <w:right w:val="none" w:sz="0" w:space="0" w:color="auto"/>
      </w:divBdr>
    </w:div>
    <w:div w:id="1347366471">
      <w:bodyDiv w:val="1"/>
      <w:marLeft w:val="0"/>
      <w:marRight w:val="0"/>
      <w:marTop w:val="0"/>
      <w:marBottom w:val="0"/>
      <w:divBdr>
        <w:top w:val="none" w:sz="0" w:space="0" w:color="auto"/>
        <w:left w:val="none" w:sz="0" w:space="0" w:color="auto"/>
        <w:bottom w:val="none" w:sz="0" w:space="0" w:color="auto"/>
        <w:right w:val="none" w:sz="0" w:space="0" w:color="auto"/>
      </w:divBdr>
    </w:div>
    <w:div w:id="1350719793">
      <w:bodyDiv w:val="1"/>
      <w:marLeft w:val="0"/>
      <w:marRight w:val="0"/>
      <w:marTop w:val="0"/>
      <w:marBottom w:val="0"/>
      <w:divBdr>
        <w:top w:val="none" w:sz="0" w:space="0" w:color="auto"/>
        <w:left w:val="none" w:sz="0" w:space="0" w:color="auto"/>
        <w:bottom w:val="none" w:sz="0" w:space="0" w:color="auto"/>
        <w:right w:val="none" w:sz="0" w:space="0" w:color="auto"/>
      </w:divBdr>
    </w:div>
    <w:div w:id="1361859009">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63034488">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518807784">
      <w:bodyDiv w:val="1"/>
      <w:marLeft w:val="0"/>
      <w:marRight w:val="0"/>
      <w:marTop w:val="0"/>
      <w:marBottom w:val="0"/>
      <w:divBdr>
        <w:top w:val="none" w:sz="0" w:space="0" w:color="auto"/>
        <w:left w:val="none" w:sz="0" w:space="0" w:color="auto"/>
        <w:bottom w:val="none" w:sz="0" w:space="0" w:color="auto"/>
        <w:right w:val="none" w:sz="0" w:space="0" w:color="auto"/>
      </w:divBdr>
      <w:divsChild>
        <w:div w:id="339426791">
          <w:marLeft w:val="547"/>
          <w:marRight w:val="0"/>
          <w:marTop w:val="0"/>
          <w:marBottom w:val="0"/>
          <w:divBdr>
            <w:top w:val="none" w:sz="0" w:space="0" w:color="auto"/>
            <w:left w:val="none" w:sz="0" w:space="0" w:color="auto"/>
            <w:bottom w:val="none" w:sz="0" w:space="0" w:color="auto"/>
            <w:right w:val="none" w:sz="0" w:space="0" w:color="auto"/>
          </w:divBdr>
        </w:div>
      </w:divsChild>
    </w:div>
    <w:div w:id="1585989682">
      <w:bodyDiv w:val="1"/>
      <w:marLeft w:val="0"/>
      <w:marRight w:val="0"/>
      <w:marTop w:val="0"/>
      <w:marBottom w:val="0"/>
      <w:divBdr>
        <w:top w:val="none" w:sz="0" w:space="0" w:color="auto"/>
        <w:left w:val="none" w:sz="0" w:space="0" w:color="auto"/>
        <w:bottom w:val="none" w:sz="0" w:space="0" w:color="auto"/>
        <w:right w:val="none" w:sz="0" w:space="0" w:color="auto"/>
      </w:divBdr>
    </w:div>
    <w:div w:id="1661159319">
      <w:bodyDiv w:val="1"/>
      <w:marLeft w:val="0"/>
      <w:marRight w:val="0"/>
      <w:marTop w:val="0"/>
      <w:marBottom w:val="0"/>
      <w:divBdr>
        <w:top w:val="none" w:sz="0" w:space="0" w:color="auto"/>
        <w:left w:val="none" w:sz="0" w:space="0" w:color="auto"/>
        <w:bottom w:val="none" w:sz="0" w:space="0" w:color="auto"/>
        <w:right w:val="none" w:sz="0" w:space="0" w:color="auto"/>
      </w:divBdr>
    </w:div>
    <w:div w:id="1872526335">
      <w:bodyDiv w:val="1"/>
      <w:marLeft w:val="0"/>
      <w:marRight w:val="0"/>
      <w:marTop w:val="0"/>
      <w:marBottom w:val="0"/>
      <w:divBdr>
        <w:top w:val="none" w:sz="0" w:space="0" w:color="auto"/>
        <w:left w:val="none" w:sz="0" w:space="0" w:color="auto"/>
        <w:bottom w:val="none" w:sz="0" w:space="0" w:color="auto"/>
        <w:right w:val="none" w:sz="0" w:space="0" w:color="auto"/>
      </w:divBdr>
    </w:div>
    <w:div w:id="1919821040">
      <w:bodyDiv w:val="1"/>
      <w:marLeft w:val="0"/>
      <w:marRight w:val="0"/>
      <w:marTop w:val="0"/>
      <w:marBottom w:val="0"/>
      <w:divBdr>
        <w:top w:val="none" w:sz="0" w:space="0" w:color="auto"/>
        <w:left w:val="none" w:sz="0" w:space="0" w:color="auto"/>
        <w:bottom w:val="none" w:sz="0" w:space="0" w:color="auto"/>
        <w:right w:val="none" w:sz="0" w:space="0" w:color="auto"/>
      </w:divBdr>
    </w:div>
    <w:div w:id="2067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ustafagok@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5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2015-EE9A-438E-B60A-FA102CDE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9051</Words>
  <Characters>51596</Characters>
  <Application>Microsoft Office Word</Application>
  <DocSecurity>0</DocSecurity>
  <Lines>429</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Nasip DEMİRKUŞ</cp:lastModifiedBy>
  <cp:revision>20</cp:revision>
  <cp:lastPrinted>2018-12-04T13:56:00Z</cp:lastPrinted>
  <dcterms:created xsi:type="dcterms:W3CDTF">2019-08-31T19:33:00Z</dcterms:created>
  <dcterms:modified xsi:type="dcterms:W3CDTF">2019-09-08T09:20:00Z</dcterms:modified>
</cp:coreProperties>
</file>