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58" w:rsidRDefault="00DB3158">
      <w:pPr>
        <w:rPr>
          <w:rFonts w:ascii="Caladea" w:hAnsi="Caladea"/>
          <w:color w:val="000000"/>
          <w:sz w:val="24"/>
          <w:szCs w:val="24"/>
        </w:rPr>
      </w:pPr>
    </w:p>
    <w:p w:rsidR="00DB3158" w:rsidRDefault="00F61F0A">
      <w:pPr>
        <w:jc w:val="center"/>
        <w:rPr>
          <w:b/>
          <w:color w:val="C00000"/>
          <w:sz w:val="28"/>
          <w:szCs w:val="28"/>
        </w:rPr>
      </w:pPr>
      <w:r>
        <w:rPr>
          <w:rFonts w:ascii="Caladea" w:hAnsi="Caladea"/>
          <w:b/>
          <w:color w:val="000000"/>
          <w:sz w:val="24"/>
          <w:szCs w:val="24"/>
        </w:rPr>
        <w:t xml:space="preserve">ÖZGEÇMİŞ </w:t>
      </w:r>
    </w:p>
    <w:p w:rsidR="00DB3158" w:rsidRDefault="00F61F0A">
      <w:pPr>
        <w:jc w:val="both"/>
        <w:rPr>
          <w:b/>
          <w:color w:val="0070C0"/>
          <w:sz w:val="24"/>
          <w:szCs w:val="24"/>
        </w:rPr>
      </w:pPr>
      <w:r>
        <w:rPr>
          <w:rFonts w:ascii="Caladea" w:hAnsi="Caladea"/>
          <w:b/>
          <w:color w:val="000000"/>
          <w:sz w:val="24"/>
          <w:szCs w:val="24"/>
        </w:rPr>
        <w:t>PROFİL</w:t>
      </w:r>
    </w:p>
    <w:p w:rsidR="00DB3158" w:rsidRDefault="00DB3158">
      <w:pPr>
        <w:jc w:val="center"/>
        <w:rPr>
          <w:rFonts w:ascii="Caladea" w:hAnsi="Caladea"/>
          <w:color w:val="000000"/>
          <w:sz w:val="24"/>
          <w:szCs w:val="24"/>
        </w:rPr>
      </w:pPr>
    </w:p>
    <w:tbl>
      <w:tblPr>
        <w:tblStyle w:val="TabloKlavuzu"/>
        <w:tblW w:w="9016" w:type="dxa"/>
        <w:tblLook w:val="04A0" w:firstRow="1" w:lastRow="0" w:firstColumn="1" w:lastColumn="0" w:noHBand="0" w:noVBand="1"/>
      </w:tblPr>
      <w:tblGrid>
        <w:gridCol w:w="1885"/>
        <w:gridCol w:w="7131"/>
      </w:tblGrid>
      <w:tr w:rsidR="00DB3158">
        <w:tc>
          <w:tcPr>
            <w:tcW w:w="1885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</w:rPr>
            </w:pP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Adı</w:t>
            </w:r>
            <w:proofErr w:type="spellEnd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130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Ersin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TOPÇUI</w:t>
            </w:r>
          </w:p>
        </w:tc>
      </w:tr>
      <w:tr w:rsidR="00DB3158">
        <w:tc>
          <w:tcPr>
            <w:tcW w:w="1885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</w:rPr>
            </w:pP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7130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Kastamonu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Üniversitesi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Eğitim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Fakültesi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A-Blok 37200 KASTAMONU</w:t>
            </w:r>
          </w:p>
        </w:tc>
      </w:tr>
      <w:tr w:rsidR="00DB3158">
        <w:tc>
          <w:tcPr>
            <w:tcW w:w="1885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</w:rPr>
            </w:pPr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7130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ertopcu@gmail.com</w:t>
            </w:r>
          </w:p>
        </w:tc>
      </w:tr>
    </w:tbl>
    <w:p w:rsidR="00DB3158" w:rsidRDefault="00DB3158">
      <w:pPr>
        <w:jc w:val="both"/>
        <w:rPr>
          <w:rFonts w:ascii="Caladea" w:hAnsi="Caladea"/>
          <w:b/>
          <w:color w:val="000000"/>
          <w:sz w:val="24"/>
          <w:szCs w:val="24"/>
        </w:rPr>
      </w:pPr>
    </w:p>
    <w:p w:rsidR="00DB3158" w:rsidRDefault="00F61F0A">
      <w:pPr>
        <w:jc w:val="both"/>
        <w:rPr>
          <w:b/>
          <w:color w:val="0070C0"/>
          <w:sz w:val="24"/>
          <w:szCs w:val="24"/>
        </w:rPr>
      </w:pPr>
      <w:r>
        <w:rPr>
          <w:rFonts w:ascii="Caladea" w:hAnsi="Caladea"/>
          <w:b/>
          <w:color w:val="000000"/>
          <w:sz w:val="24"/>
          <w:szCs w:val="24"/>
        </w:rPr>
        <w:t>EĞİTİM</w:t>
      </w:r>
    </w:p>
    <w:p w:rsidR="00DB3158" w:rsidRDefault="00DB3158">
      <w:pPr>
        <w:jc w:val="both"/>
        <w:rPr>
          <w:rFonts w:ascii="Caladea" w:hAnsi="Caladea"/>
          <w:color w:val="000000"/>
          <w:sz w:val="24"/>
          <w:szCs w:val="24"/>
        </w:rPr>
      </w:pPr>
    </w:p>
    <w:tbl>
      <w:tblPr>
        <w:tblStyle w:val="TabloKlavuzu"/>
        <w:tblW w:w="9016" w:type="dxa"/>
        <w:tblLook w:val="04A0" w:firstRow="1" w:lastRow="0" w:firstColumn="1" w:lastColumn="0" w:noHBand="0" w:noVBand="1"/>
      </w:tblPr>
      <w:tblGrid>
        <w:gridCol w:w="1590"/>
        <w:gridCol w:w="2956"/>
        <w:gridCol w:w="3102"/>
        <w:gridCol w:w="1368"/>
      </w:tblGrid>
      <w:tr w:rsidR="00DB3158">
        <w:trPr>
          <w:trHeight w:val="368"/>
        </w:trPr>
        <w:tc>
          <w:tcPr>
            <w:tcW w:w="1612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jc w:val="center"/>
              <w:rPr>
                <w:b/>
              </w:rPr>
            </w:pPr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3032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jc w:val="center"/>
              <w:rPr>
                <w:b/>
              </w:rPr>
            </w:pP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3180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jc w:val="center"/>
              <w:rPr>
                <w:b/>
              </w:rPr>
            </w:pPr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Alan</w:t>
            </w:r>
          </w:p>
        </w:tc>
        <w:tc>
          <w:tcPr>
            <w:tcW w:w="1191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jc w:val="center"/>
              <w:rPr>
                <w:b/>
              </w:rPr>
            </w:pP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Mezuniyet</w:t>
            </w:r>
            <w:proofErr w:type="spellEnd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Yılı</w:t>
            </w:r>
            <w:proofErr w:type="spellEnd"/>
          </w:p>
        </w:tc>
      </w:tr>
      <w:tr w:rsidR="00DB3158">
        <w:tc>
          <w:tcPr>
            <w:tcW w:w="1612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Marmara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Sosyal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Bilgiler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Eğitimi</w:t>
            </w:r>
            <w:bookmarkEnd w:id="0"/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2010</w:t>
            </w:r>
          </w:p>
        </w:tc>
      </w:tr>
      <w:tr w:rsidR="00DB3158">
        <w:tc>
          <w:tcPr>
            <w:tcW w:w="1612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Yüksek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Lisans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Marmara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Cumhuriyet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2002</w:t>
            </w:r>
          </w:p>
        </w:tc>
      </w:tr>
      <w:tr w:rsidR="00DB3158">
        <w:tc>
          <w:tcPr>
            <w:tcW w:w="1612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Marmara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Tarih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</w:rPr>
              <w:t>Öğretmenliği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2000</w:t>
            </w:r>
          </w:p>
        </w:tc>
      </w:tr>
    </w:tbl>
    <w:p w:rsidR="00DB3158" w:rsidRDefault="00DB3158">
      <w:pPr>
        <w:jc w:val="both"/>
        <w:rPr>
          <w:rFonts w:ascii="Caladea" w:hAnsi="Caladea"/>
          <w:color w:val="000000"/>
          <w:sz w:val="24"/>
          <w:szCs w:val="24"/>
        </w:rPr>
      </w:pPr>
    </w:p>
    <w:p w:rsidR="00DB3158" w:rsidRDefault="00F61F0A">
      <w:pPr>
        <w:jc w:val="both"/>
        <w:rPr>
          <w:b/>
          <w:color w:val="0070C0"/>
          <w:sz w:val="24"/>
          <w:szCs w:val="24"/>
        </w:rPr>
      </w:pPr>
      <w:r>
        <w:rPr>
          <w:rFonts w:ascii="Caladea" w:hAnsi="Caladea"/>
          <w:b/>
          <w:color w:val="000000"/>
          <w:sz w:val="24"/>
          <w:szCs w:val="24"/>
        </w:rPr>
        <w:t>PROFESYONEL DENEYİM</w:t>
      </w:r>
    </w:p>
    <w:p w:rsidR="00DB3158" w:rsidRDefault="00DB3158">
      <w:pPr>
        <w:jc w:val="both"/>
        <w:rPr>
          <w:rFonts w:ascii="Caladea" w:hAnsi="Caladea"/>
          <w:color w:val="000000"/>
          <w:sz w:val="24"/>
          <w:szCs w:val="24"/>
        </w:rPr>
      </w:pPr>
    </w:p>
    <w:tbl>
      <w:tblPr>
        <w:tblStyle w:val="TabloKlavuzu"/>
        <w:tblW w:w="9016" w:type="dxa"/>
        <w:tblLook w:val="04A0" w:firstRow="1" w:lastRow="0" w:firstColumn="1" w:lastColumn="0" w:noHBand="0" w:noVBand="1"/>
      </w:tblPr>
      <w:tblGrid>
        <w:gridCol w:w="1667"/>
        <w:gridCol w:w="2904"/>
        <w:gridCol w:w="1395"/>
        <w:gridCol w:w="3050"/>
      </w:tblGrid>
      <w:tr w:rsidR="00DB3158">
        <w:tc>
          <w:tcPr>
            <w:tcW w:w="1666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  <w:lang w:val="tr-TR"/>
              </w:rPr>
            </w:pPr>
            <w:r>
              <w:rPr>
                <w:rFonts w:ascii="Caladea" w:hAnsi="Caladea"/>
                <w:b/>
                <w:color w:val="000000"/>
                <w:sz w:val="24"/>
                <w:szCs w:val="24"/>
                <w:lang w:val="tr-TR"/>
              </w:rPr>
              <w:t>Görev</w:t>
            </w:r>
          </w:p>
        </w:tc>
        <w:tc>
          <w:tcPr>
            <w:tcW w:w="2904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  <w:lang w:val="tr-TR"/>
              </w:rPr>
            </w:pPr>
            <w:r>
              <w:rPr>
                <w:rFonts w:ascii="Caladea" w:hAnsi="Caladea"/>
                <w:b/>
                <w:color w:val="000000"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395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  <w:lang w:val="tr-TR"/>
              </w:rPr>
            </w:pPr>
            <w:r>
              <w:rPr>
                <w:rFonts w:ascii="Caladea" w:hAnsi="Caladea"/>
                <w:b/>
                <w:color w:val="000000"/>
                <w:sz w:val="24"/>
                <w:szCs w:val="24"/>
                <w:lang w:val="tr-TR"/>
              </w:rPr>
              <w:t>Görev Süresi</w:t>
            </w:r>
          </w:p>
        </w:tc>
        <w:tc>
          <w:tcPr>
            <w:tcW w:w="3050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  <w:lang w:val="tr-TR"/>
              </w:rPr>
            </w:pPr>
            <w:r>
              <w:rPr>
                <w:rFonts w:ascii="Caladea" w:hAnsi="Caladea"/>
                <w:b/>
                <w:color w:val="000000"/>
                <w:sz w:val="24"/>
                <w:szCs w:val="24"/>
                <w:lang w:val="tr-TR"/>
              </w:rPr>
              <w:t xml:space="preserve">Görevin Kısa Tanımı </w:t>
            </w:r>
          </w:p>
        </w:tc>
      </w:tr>
      <w:tr w:rsidR="00DB3158">
        <w:tc>
          <w:tcPr>
            <w:tcW w:w="1666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Öğretim Üyesi (Dr. Öğretim Üyesi)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Eğitim Fakültesi, Kastamonu Üniversitesi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Ocak 2014-Devam Ediyor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B3158" w:rsidRDefault="00F61F0A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Bilimsel araştırma ve lisans/lisansüstü dersleri yürütme</w:t>
            </w:r>
          </w:p>
        </w:tc>
      </w:tr>
      <w:tr w:rsidR="00DB3158">
        <w:tc>
          <w:tcPr>
            <w:tcW w:w="1666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Sosyal Bilgiler Öğretmeni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MEB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Eylül 2000- Ocak 2014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B3158" w:rsidRDefault="00F61F0A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Öğretmen</w:t>
            </w:r>
          </w:p>
        </w:tc>
      </w:tr>
    </w:tbl>
    <w:p w:rsidR="00DB3158" w:rsidRDefault="00DB3158">
      <w:pPr>
        <w:jc w:val="both"/>
        <w:rPr>
          <w:rFonts w:ascii="Caladea" w:hAnsi="Caladea"/>
          <w:color w:val="000000"/>
          <w:sz w:val="24"/>
          <w:szCs w:val="24"/>
        </w:rPr>
      </w:pPr>
    </w:p>
    <w:p w:rsidR="00DB3158" w:rsidRDefault="00F61F0A">
      <w:pPr>
        <w:jc w:val="both"/>
        <w:rPr>
          <w:b/>
          <w:color w:val="0070C0"/>
          <w:sz w:val="24"/>
          <w:szCs w:val="24"/>
        </w:rPr>
      </w:pPr>
      <w:r>
        <w:rPr>
          <w:rFonts w:ascii="Caladea" w:hAnsi="Caladea"/>
          <w:b/>
          <w:color w:val="000000"/>
          <w:sz w:val="24"/>
          <w:szCs w:val="24"/>
        </w:rPr>
        <w:t>DİL</w:t>
      </w:r>
    </w:p>
    <w:p w:rsidR="00DB3158" w:rsidRDefault="00DB3158">
      <w:pPr>
        <w:jc w:val="both"/>
        <w:rPr>
          <w:rFonts w:ascii="Caladea" w:hAnsi="Caladea"/>
          <w:color w:val="000000"/>
          <w:sz w:val="24"/>
          <w:szCs w:val="24"/>
        </w:rPr>
      </w:pPr>
    </w:p>
    <w:tbl>
      <w:tblPr>
        <w:tblStyle w:val="TabloKlavuzu"/>
        <w:tblW w:w="9016" w:type="dxa"/>
        <w:tblLook w:val="04A0" w:firstRow="1" w:lastRow="0" w:firstColumn="1" w:lastColumn="0" w:noHBand="0" w:noVBand="1"/>
      </w:tblPr>
      <w:tblGrid>
        <w:gridCol w:w="1885"/>
        <w:gridCol w:w="7131"/>
      </w:tblGrid>
      <w:tr w:rsidR="00DB3158">
        <w:tc>
          <w:tcPr>
            <w:tcW w:w="1885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</w:rPr>
            </w:pP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7130" w:type="dxa"/>
            <w:shd w:val="clear" w:color="auto" w:fill="EDEDED" w:themeFill="accent3" w:themeFillTint="33"/>
            <w:vAlign w:val="center"/>
          </w:tcPr>
          <w:p w:rsidR="00DB3158" w:rsidRDefault="00F61F0A">
            <w:pPr>
              <w:rPr>
                <w:b/>
              </w:rPr>
            </w:pP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Yeterlik</w:t>
            </w:r>
            <w:proofErr w:type="spellEnd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color w:val="000000"/>
                <w:sz w:val="24"/>
                <w:szCs w:val="24"/>
              </w:rPr>
              <w:t>Düzeyi</w:t>
            </w:r>
            <w:proofErr w:type="spellEnd"/>
          </w:p>
        </w:tc>
      </w:tr>
      <w:tr w:rsidR="00DB3158">
        <w:tc>
          <w:tcPr>
            <w:tcW w:w="1885" w:type="dxa"/>
            <w:shd w:val="clear" w:color="auto" w:fill="auto"/>
            <w:vAlign w:val="center"/>
          </w:tcPr>
          <w:p w:rsidR="00DB3158" w:rsidRDefault="00E97D9B">
            <w:pPr>
              <w:rPr>
                <w:b/>
              </w:rPr>
            </w:pPr>
            <w:sdt>
              <w:sdtPr>
                <w:id w:val="757613595"/>
              </w:sdtPr>
              <w:sdtEndPr/>
              <w:sdtContent>
                <w:r w:rsidR="00F61F0A">
                  <w:rPr>
                    <w:rFonts w:ascii="Caladea" w:eastAsia="MS Gothic" w:hAnsi="Calade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61F0A">
              <w:rPr>
                <w:rFonts w:ascii="Caladea" w:hAnsi="Calade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F0A">
              <w:rPr>
                <w:rFonts w:ascii="Caladea" w:hAnsi="Caladea"/>
                <w:b/>
                <w:color w:val="000000"/>
                <w:sz w:val="24"/>
                <w:szCs w:val="24"/>
              </w:rPr>
              <w:t>Türkçe</w:t>
            </w:r>
            <w:proofErr w:type="spellEnd"/>
          </w:p>
        </w:tc>
        <w:tc>
          <w:tcPr>
            <w:tcW w:w="7130" w:type="dxa"/>
            <w:shd w:val="clear" w:color="auto" w:fill="auto"/>
            <w:vAlign w:val="center"/>
          </w:tcPr>
          <w:p w:rsidR="00DB3158" w:rsidRDefault="00E97D9B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sdt>
              <w:sdtPr>
                <w:id w:val="945697745"/>
              </w:sdtPr>
              <w:sdtEndPr/>
              <w:sdtContent>
                <w:r w:rsidR="00F61F0A">
                  <w:rPr>
                    <w:rFonts w:ascii="Caladea" w:eastAsia="MS Gothic" w:hAnsi="Calade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>Başlangıç</w:t>
            </w:r>
            <w:proofErr w:type="spellEnd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    </w:t>
            </w:r>
            <w:sdt>
              <w:sdtPr>
                <w:id w:val="664241697"/>
              </w:sdtPr>
              <w:sdtEndPr/>
              <w:sdtContent>
                <w:r w:rsidR="00F61F0A">
                  <w:rPr>
                    <w:rFonts w:ascii="Caladea" w:eastAsia="MS Gothic" w:hAnsi="Calade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>Orta</w:t>
            </w:r>
            <w:proofErr w:type="spellEnd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    </w:t>
            </w:r>
            <w:sdt>
              <w:sdtPr>
                <w:id w:val="476429302"/>
              </w:sdtPr>
              <w:sdtEndPr/>
              <w:sdtContent>
                <w:r w:rsidR="00F61F0A">
                  <w:rPr>
                    <w:rFonts w:ascii="Caladea" w:eastAsia="MS Gothic" w:hAnsi="Caladea" w:cstheme="minorHAnsi"/>
                    <w:b/>
                    <w:color w:val="000000"/>
                    <w:sz w:val="24"/>
                    <w:szCs w:val="24"/>
                  </w:rPr>
                  <w:t>X</w:t>
                </w:r>
              </w:sdtContent>
            </w:sdt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>İleri</w:t>
            </w:r>
            <w:proofErr w:type="spellEnd"/>
          </w:p>
        </w:tc>
      </w:tr>
      <w:tr w:rsidR="00DB3158">
        <w:tc>
          <w:tcPr>
            <w:tcW w:w="1885" w:type="dxa"/>
            <w:shd w:val="clear" w:color="auto" w:fill="auto"/>
            <w:vAlign w:val="center"/>
          </w:tcPr>
          <w:p w:rsidR="00DB3158" w:rsidRDefault="00E97D9B">
            <w:pPr>
              <w:rPr>
                <w:b/>
              </w:rPr>
            </w:pPr>
            <w:sdt>
              <w:sdtPr>
                <w:id w:val="1747074003"/>
              </w:sdtPr>
              <w:sdtEndPr/>
              <w:sdtContent>
                <w:r w:rsidR="00F61F0A">
                  <w:rPr>
                    <w:rFonts w:ascii="Caladea" w:eastAsia="MS Gothic" w:hAnsi="Calade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61F0A">
              <w:rPr>
                <w:rFonts w:ascii="Caladea" w:hAnsi="Calade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F0A">
              <w:rPr>
                <w:rFonts w:ascii="Caladea" w:hAnsi="Caladea"/>
                <w:b/>
                <w:color w:val="000000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7130" w:type="dxa"/>
            <w:shd w:val="clear" w:color="auto" w:fill="auto"/>
            <w:vAlign w:val="center"/>
          </w:tcPr>
          <w:p w:rsidR="00DB3158" w:rsidRDefault="00E97D9B">
            <w:pPr>
              <w:rPr>
                <w:rFonts w:ascii="Caladea" w:hAnsi="Caladea"/>
                <w:color w:val="000000"/>
                <w:sz w:val="24"/>
                <w:szCs w:val="24"/>
              </w:rPr>
            </w:pPr>
            <w:sdt>
              <w:sdtPr>
                <w:id w:val="1025277825"/>
              </w:sdtPr>
              <w:sdtEndPr/>
              <w:sdtContent>
                <w:r w:rsidR="00F61F0A">
                  <w:rPr>
                    <w:rFonts w:ascii="Caladea" w:eastAsia="MS Gothic" w:hAnsi="Calade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>Başlangıç</w:t>
            </w:r>
            <w:proofErr w:type="spellEnd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     </w:t>
            </w:r>
            <w:r w:rsidR="00F61F0A">
              <w:rPr>
                <w:rFonts w:ascii="Caladea" w:eastAsia="MS Gothic" w:hAnsi="Caladea" w:cstheme="minorHAnsi"/>
                <w:b/>
                <w:color w:val="000000"/>
                <w:sz w:val="24"/>
                <w:szCs w:val="24"/>
              </w:rPr>
              <w:t>X</w:t>
            </w:r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>Orta</w:t>
            </w:r>
            <w:proofErr w:type="spellEnd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   </w:t>
            </w:r>
            <w:sdt>
              <w:sdtPr>
                <w:id w:val="106895985"/>
              </w:sdtPr>
              <w:sdtEndPr/>
              <w:sdtContent>
                <w:r w:rsidR="00F61F0A">
                  <w:rPr>
                    <w:rFonts w:ascii="Caladea" w:eastAsia="MS Gothic" w:hAnsi="Calade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61F0A">
              <w:rPr>
                <w:rFonts w:ascii="Caladea" w:hAnsi="Caladea"/>
                <w:color w:val="000000"/>
                <w:sz w:val="24"/>
                <w:szCs w:val="24"/>
              </w:rPr>
              <w:t>İleri</w:t>
            </w:r>
            <w:proofErr w:type="spellEnd"/>
          </w:p>
        </w:tc>
      </w:tr>
    </w:tbl>
    <w:p w:rsidR="00DB3158" w:rsidRDefault="00F61F0A">
      <w:pPr>
        <w:jc w:val="both"/>
        <w:rPr>
          <w:rFonts w:ascii="Caladea" w:hAnsi="Caladea"/>
          <w:color w:val="000000"/>
          <w:sz w:val="24"/>
          <w:szCs w:val="24"/>
        </w:rPr>
      </w:pPr>
      <w:r>
        <w:rPr>
          <w:rFonts w:ascii="Caladea" w:hAnsi="Caladea"/>
          <w:b/>
          <w:color w:val="000000"/>
          <w:sz w:val="24"/>
          <w:szCs w:val="24"/>
        </w:rPr>
        <w:t xml:space="preserve">YAYINLAR </w:t>
      </w:r>
    </w:p>
    <w:tbl>
      <w:tblPr>
        <w:tblStyle w:val="TabloKlavuzu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>Çelik, H</w:t>
            </w:r>
            <w:proofErr w:type="gramStart"/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 xml:space="preserve"> Katılmış, A. &amp; </w:t>
            </w:r>
            <w:r>
              <w:rPr>
                <w:rFonts w:ascii="Caladea" w:hAnsi="Caladea"/>
                <w:b/>
                <w:color w:val="000000"/>
                <w:sz w:val="24"/>
                <w:szCs w:val="24"/>
                <w:lang w:val="tr-TR"/>
              </w:rPr>
              <w:t>TOPÇU, E.</w:t>
            </w:r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 xml:space="preserve"> (2010). </w:t>
            </w:r>
            <w:r>
              <w:rPr>
                <w:rFonts w:ascii="Caladea" w:hAnsi="Caladea"/>
                <w:i/>
                <w:color w:val="000000"/>
                <w:sz w:val="24"/>
                <w:szCs w:val="24"/>
                <w:lang w:val="tr-TR"/>
              </w:rPr>
              <w:t>Yazılı ve Görsel Basında Yer Bulan İlköğretim Sosyal Bilgiler Öğretimi Kapsamındaki Bazı Kavramların Öğrenci Görüşleriyle Değerlendirilmesi</w:t>
            </w:r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 xml:space="preserve">, Sakarya Üniversitesi Eğitim Fakültesi Dergisi. Sayı 19. Cilt – </w:t>
            </w:r>
            <w:proofErr w:type="spellStart"/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>Ss</w:t>
            </w:r>
            <w:proofErr w:type="spellEnd"/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>. 100-124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pStyle w:val="Balk2"/>
              <w:shd w:val="clear" w:color="auto" w:fill="FFFFFF"/>
              <w:spacing w:beforeAutospacing="0" w:afterAutospacing="0"/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Cs w:val="0"/>
                <w:color w:val="000000"/>
                <w:sz w:val="24"/>
                <w:szCs w:val="24"/>
              </w:rPr>
              <w:t>TOPÇU,</w:t>
            </w:r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 xml:space="preserve"> E</w:t>
            </w:r>
            <w:proofErr w:type="gramStart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 xml:space="preserve"> Katılmış, A. (2013). </w:t>
            </w:r>
            <w:r>
              <w:rPr>
                <w:rFonts w:ascii="Caladea" w:hAnsi="Caladea" w:cstheme="minorHAnsi"/>
                <w:b w:val="0"/>
                <w:bCs w:val="0"/>
                <w:i/>
                <w:color w:val="000000"/>
                <w:sz w:val="24"/>
                <w:szCs w:val="24"/>
              </w:rPr>
              <w:t>Yarı Zamanlı Kaynaştırma Eğitimi Alan Ortaokul Öğrencilerinin Sosyal Bilgiler Dersine Yönelik Düşünceleri</w:t>
            </w:r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 xml:space="preserve">. SUJE- Sakarya </w:t>
            </w:r>
            <w:proofErr w:type="spellStart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 xml:space="preserve">, C.3, S.3, Aralık- 2013, </w:t>
            </w:r>
            <w:proofErr w:type="spellStart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>ss</w:t>
            </w:r>
            <w:proofErr w:type="spellEnd"/>
            <w:r>
              <w:rPr>
                <w:rFonts w:ascii="Caladea" w:hAnsi="Caladea" w:cstheme="minorHAnsi"/>
                <w:b w:val="0"/>
                <w:bCs w:val="0"/>
                <w:color w:val="000000"/>
                <w:sz w:val="24"/>
                <w:szCs w:val="24"/>
              </w:rPr>
              <w:t>. 48-81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 E.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(2013).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Sosyal Bilgiler Dersinde Coğrafya Kazanımlarının Gerçekleştirilmesinde Öğretmenlerin Tercih Ettiği Yöntemler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Marmara Coğrafya Dergisi, Sayı: 28 Temmuz-2013,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331-369. 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lastRenderedPageBreak/>
              <w:t>Kaya, B</w:t>
            </w:r>
            <w:proofErr w:type="gram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 E.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&amp; Kop, Y., (2014).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7. Sınıf Sosyal Bilgiler Çalışma Kitaplarının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Oluşturmacılık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Açısından İncelenmesi,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Türkish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Studies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Dergisi,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S.5, C.9, Haziran-2014,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1327-1340. 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Karatekin, K</w:t>
            </w:r>
            <w:proofErr w:type="gram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 xml:space="preserve">TOPÇU, 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E., Aydınlı B.(2016).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Determination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of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Cognitive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Structure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of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Candidate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Teachers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About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Energy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Centrals</w:t>
            </w:r>
            <w:proofErr w:type="spellEnd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.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International Electronic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Journal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Environmental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Education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Vol.6,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Issue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2, 2016, 76-91 </w:t>
            </w:r>
          </w:p>
        </w:tc>
      </w:tr>
      <w:tr w:rsidR="00DB3158">
        <w:tc>
          <w:tcPr>
            <w:tcW w:w="8731" w:type="dxa"/>
            <w:tcBorders>
              <w:top w:val="nil"/>
            </w:tcBorders>
            <w:shd w:val="clear" w:color="auto" w:fill="auto"/>
            <w:vAlign w:val="center"/>
          </w:tcPr>
          <w:p w:rsidR="00DB3158" w:rsidRDefault="00F61F0A">
            <w:pPr>
              <w:pStyle w:val="GvdeMetni"/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 xml:space="preserve">TOPÇU, E. 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(2016).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Ortaokulda Tarih Eğitimi: Yapısal Sorunlar ve Çözüm Önerileri. 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TÜBAD-Türkiye Bilimsel Araştırmalar Dergisi. Cilt 1, Sayı 1, Aralık, 2016 s. 22-35 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Kaya, B</w:t>
            </w:r>
            <w:proofErr w:type="gram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 E.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(2017).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Friendly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Hostile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Country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Perceptions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Prospective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Social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Studies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Teachers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Journal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of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Education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Practice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 ISSN 2222-1735 (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Paper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)   ISSN 2222-288X (Online). Vol.8, No.3, 2017.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pp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 48-56 (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Kaya, B</w:t>
            </w:r>
            <w:proofErr w:type="gram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 E.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(2017).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Friendly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Hostile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Country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Perceptions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Prospective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Social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Studies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Teachers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Journal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of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Education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Practice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 ISSN 2222-1735 (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Paper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)   ISSN 2222-288X (Online). Vol.8, No.3, 2017.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pp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 48-56 (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 E.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(2017).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Out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of School Learning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Environments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in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Social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Studies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Education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: A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Phenomenological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Research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with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Teacher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Candidates</w:t>
            </w:r>
            <w:proofErr w:type="spellEnd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. International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Education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Studies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;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Vol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10, No. 7; 2017.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Pp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  doi:10.5539/ies.v10n.7 pp126-142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pStyle w:val="GvdeMetni"/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 E.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(2017). TEOG Tarih Sorularının Yenilenmiş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Bloom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Taksonomisine Göre Analizi.</w:t>
            </w:r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 xml:space="preserve">Uluslararası </w:t>
            </w:r>
            <w:r>
              <w:rPr>
                <w:rFonts w:ascii="Caladea" w:hAnsi="Caladea"/>
                <w:i/>
                <w:color w:val="000000"/>
                <w:sz w:val="24"/>
                <w:szCs w:val="24"/>
                <w:lang w:val="tr-TR"/>
              </w:rPr>
              <w:t>Türk Eğitim Bilimleri Dergisi</w:t>
            </w:r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>5 (9) s. 321-335</w:t>
            </w:r>
          </w:p>
        </w:tc>
      </w:tr>
      <w:tr w:rsidR="00DB3158">
        <w:trPr>
          <w:trHeight w:val="703"/>
        </w:trPr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 E</w:t>
            </w:r>
            <w:proofErr w:type="gramStart"/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Karatekin, K. (2017). Sosyal Bilgiler Ders Kitaplarında Bilim Adamları.</w:t>
            </w:r>
          </w:p>
          <w:p w:rsidR="00DB3158" w:rsidRDefault="00F61F0A">
            <w:pPr>
              <w:pStyle w:val="GvdeMetni"/>
              <w:spacing w:line="345" w:lineRule="atLeast"/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  <w:lang w:val="tr-TR"/>
              </w:rPr>
              <w:t>Kastamonu Eğitim Dergisi Kasım 2017 Cilt:25 No:6 s.2127-2152 (8-6,8)</w:t>
            </w:r>
          </w:p>
        </w:tc>
      </w:tr>
      <w:tr w:rsidR="00DB3158">
        <w:trPr>
          <w:trHeight w:val="986"/>
        </w:trPr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E, Kaymakçı, S. (2018). Sosyal Bilgiler Öğretiminde Menkıbelerin Kullanılma Durumuna İlişkin Öğretmen Görüşleri.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Erzincan Üniversitesi Eğitim Fakültesi Dergisi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 xml:space="preserve">TOPÇU, E. 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(2017). How Do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Teachers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Define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Social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Studies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Course?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Journal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of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Education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e-Learning </w:t>
            </w:r>
            <w:proofErr w:type="spell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Research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Vol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. 4, No. 4, 139-153, 2017. ISSN(E) 2410-9991 / ISSN(P) 2518-0169 DOI: 10.20448/journal.509.2017.44.139.153 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 E</w:t>
            </w:r>
            <w:proofErr w:type="gramStart"/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Öztürk, C. </w:t>
            </w: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 xml:space="preserve">(2018). 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Sosyal Bilgiler Öğretmenlerinin Tarihsel Bilgiye Yönelik Nesnellik ve Gerçeklik Algıları. (Doktora tezinden üretilmiştir).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 xml:space="preserve">Abant İzzet Baysal Üniversitesi Eğitim Fakültesi Dergisi. </w:t>
            </w:r>
            <w:proofErr w:type="spell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Doi</w:t>
            </w:r>
            <w:proofErr w:type="spell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: 10.17240/aibuefd.2018</w:t>
            </w:r>
            <w:proofErr w:type="gram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..</w:t>
            </w:r>
            <w:proofErr w:type="gram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-404966</w:t>
            </w:r>
          </w:p>
        </w:tc>
      </w:tr>
      <w:tr w:rsidR="00DB3158">
        <w:tc>
          <w:tcPr>
            <w:tcW w:w="8731" w:type="dxa"/>
            <w:shd w:val="clear" w:color="auto" w:fill="auto"/>
            <w:vAlign w:val="center"/>
          </w:tcPr>
          <w:p w:rsidR="00DB3158" w:rsidRDefault="00F61F0A">
            <w:pPr>
              <w:jc w:val="both"/>
            </w:pP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Karatekin, K</w:t>
            </w:r>
            <w:proofErr w:type="gramStart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adea" w:hAnsi="Caladea" w:cstheme="minorHAnsi"/>
                <w:b/>
                <w:color w:val="000000"/>
                <w:sz w:val="24"/>
                <w:szCs w:val="24"/>
                <w:lang w:val="tr-TR"/>
              </w:rPr>
              <w:t>TOPÇU,</w:t>
            </w:r>
            <w:r>
              <w:rPr>
                <w:rFonts w:ascii="Caladea" w:hAnsi="Caladea" w:cstheme="minorHAnsi"/>
                <w:color w:val="000000"/>
                <w:sz w:val="24"/>
                <w:szCs w:val="24"/>
                <w:lang w:val="tr-TR"/>
              </w:rPr>
              <w:t xml:space="preserve"> E, KUŞ, Z. (2018). Bir medya okuryazarlığı çalışması: ulusal basında kadının yeri. </w:t>
            </w:r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Yüzüncü Yıl Üniversitesi Sosyal Bilimler Enstitüsü Dergisi. </w:t>
            </w:r>
            <w:proofErr w:type="gramStart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s</w:t>
            </w:r>
            <w:proofErr w:type="gramEnd"/>
            <w:r>
              <w:rPr>
                <w:rFonts w:ascii="Caladea" w:hAnsi="Caladea" w:cstheme="minorHAnsi"/>
                <w:i/>
                <w:color w:val="000000"/>
                <w:sz w:val="24"/>
                <w:szCs w:val="24"/>
                <w:lang w:val="tr-TR"/>
              </w:rPr>
              <w:t>.</w:t>
            </w:r>
            <w:r>
              <w:rPr>
                <w:rFonts w:ascii="Caladea" w:hAnsi="Caladea" w:cs="Calibri"/>
                <w:i/>
                <w:color w:val="000000"/>
                <w:sz w:val="24"/>
                <w:szCs w:val="24"/>
                <w:lang w:val="tr-TR"/>
              </w:rPr>
              <w:t>387-429</w:t>
            </w:r>
          </w:p>
        </w:tc>
      </w:tr>
    </w:tbl>
    <w:p w:rsidR="00DB3158" w:rsidRDefault="00DB3158">
      <w:pPr>
        <w:jc w:val="both"/>
        <w:rPr>
          <w:rFonts w:ascii="Caladea" w:hAnsi="Caladea"/>
          <w:b/>
          <w:color w:val="000000"/>
          <w:sz w:val="24"/>
          <w:szCs w:val="24"/>
        </w:rPr>
      </w:pPr>
    </w:p>
    <w:p w:rsidR="00DB3158" w:rsidRDefault="00F61F0A">
      <w:pPr>
        <w:jc w:val="both"/>
        <w:rPr>
          <w:b/>
          <w:color w:val="0070C0"/>
          <w:sz w:val="24"/>
          <w:szCs w:val="24"/>
        </w:rPr>
      </w:pPr>
      <w:r>
        <w:rPr>
          <w:rFonts w:ascii="Caladea" w:hAnsi="Caladea"/>
          <w:b/>
          <w:color w:val="000000"/>
          <w:sz w:val="24"/>
          <w:szCs w:val="24"/>
        </w:rPr>
        <w:t>PROJELER (</w:t>
      </w:r>
      <w:proofErr w:type="spellStart"/>
      <w:r>
        <w:rPr>
          <w:rFonts w:ascii="Caladea" w:hAnsi="Caladea"/>
          <w:b/>
          <w:color w:val="000000"/>
          <w:sz w:val="24"/>
          <w:szCs w:val="24"/>
        </w:rPr>
        <w:t>Lütfen</w:t>
      </w:r>
      <w:proofErr w:type="spellEnd"/>
      <w:r>
        <w:rPr>
          <w:rFonts w:ascii="Caladea" w:hAnsi="Calade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adea" w:hAnsi="Caladea"/>
          <w:b/>
          <w:color w:val="000000"/>
          <w:sz w:val="24"/>
          <w:szCs w:val="24"/>
        </w:rPr>
        <w:t>gerektiğinde</w:t>
      </w:r>
      <w:proofErr w:type="spellEnd"/>
      <w:r>
        <w:rPr>
          <w:rFonts w:ascii="Caladea" w:hAnsi="Calade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adea" w:hAnsi="Caladea"/>
          <w:b/>
          <w:color w:val="000000"/>
          <w:sz w:val="24"/>
          <w:szCs w:val="24"/>
        </w:rPr>
        <w:t>daha</w:t>
      </w:r>
      <w:proofErr w:type="spellEnd"/>
      <w:r>
        <w:rPr>
          <w:rFonts w:ascii="Caladea" w:hAnsi="Calade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adea" w:hAnsi="Caladea"/>
          <w:b/>
          <w:color w:val="000000"/>
          <w:sz w:val="24"/>
          <w:szCs w:val="24"/>
        </w:rPr>
        <w:t>fazla</w:t>
      </w:r>
      <w:proofErr w:type="spellEnd"/>
      <w:r>
        <w:rPr>
          <w:rFonts w:ascii="Caladea" w:hAnsi="Calade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adea" w:hAnsi="Caladea"/>
          <w:b/>
          <w:color w:val="000000"/>
          <w:sz w:val="24"/>
          <w:szCs w:val="24"/>
        </w:rPr>
        <w:t>satır</w:t>
      </w:r>
      <w:proofErr w:type="spellEnd"/>
      <w:r>
        <w:rPr>
          <w:rFonts w:ascii="Caladea" w:hAnsi="Calade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adea" w:hAnsi="Caladea"/>
          <w:b/>
          <w:color w:val="000000"/>
          <w:sz w:val="24"/>
          <w:szCs w:val="24"/>
        </w:rPr>
        <w:t>ekleyin</w:t>
      </w:r>
      <w:proofErr w:type="spellEnd"/>
      <w:r>
        <w:rPr>
          <w:rFonts w:ascii="Caladea" w:hAnsi="Caladea"/>
          <w:b/>
          <w:color w:val="000000"/>
          <w:sz w:val="24"/>
          <w:szCs w:val="24"/>
        </w:rPr>
        <w:t>)</w:t>
      </w:r>
    </w:p>
    <w:p w:rsidR="00DB3158" w:rsidRDefault="00DB3158">
      <w:pPr>
        <w:jc w:val="both"/>
        <w:rPr>
          <w:rFonts w:ascii="Caladea" w:hAnsi="Caladea"/>
          <w:color w:val="000000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B3158">
        <w:tc>
          <w:tcPr>
            <w:tcW w:w="9026" w:type="dxa"/>
            <w:shd w:val="clear" w:color="auto" w:fill="auto"/>
            <w:vAlign w:val="center"/>
          </w:tcPr>
          <w:p w:rsidR="00DB3158" w:rsidRDefault="00F61F0A">
            <w:pPr>
              <w:pStyle w:val="NormalWeb"/>
              <w:spacing w:beforeAutospacing="0" w:afterAutospacing="0"/>
              <w:jc w:val="both"/>
              <w:rPr>
                <w:rFonts w:ascii="Caladea" w:hAnsi="Caladea"/>
                <w:color w:val="000000"/>
              </w:rPr>
            </w:pPr>
            <w:r>
              <w:rPr>
                <w:rFonts w:ascii="Caladea" w:hAnsi="Caladea" w:cstheme="minorHAnsi"/>
                <w:b/>
                <w:color w:val="000000"/>
                <w:lang w:val="tr-TR"/>
              </w:rPr>
              <w:t>TOPÇU, E.</w:t>
            </w:r>
            <w:r>
              <w:rPr>
                <w:rFonts w:ascii="Caladea" w:hAnsi="Caladea" w:cstheme="minorHAnsi"/>
                <w:color w:val="000000"/>
              </w:rPr>
              <w:t xml:space="preserve"> </w:t>
            </w:r>
            <w:r>
              <w:rPr>
                <w:rFonts w:ascii="Caladea" w:hAnsi="Caladea" w:cstheme="minorHAnsi"/>
                <w:color w:val="000000"/>
                <w:lang w:val="tr-TR"/>
              </w:rPr>
              <w:t>(2016</w:t>
            </w:r>
            <w:r>
              <w:rPr>
                <w:rFonts w:ascii="Caladea" w:hAnsi="Caladea" w:cstheme="minorHAnsi"/>
                <w:i/>
                <w:color w:val="000000"/>
                <w:lang w:val="tr-TR"/>
              </w:rPr>
              <w:t>). Ulusal Basında Kadının Yeri “Kadın Odaklı Habercilik Açısından Bir Değerlendirme.</w:t>
            </w:r>
            <w:r>
              <w:rPr>
                <w:rFonts w:ascii="Caladea" w:hAnsi="Caladea" w:cstheme="minorHAnsi"/>
                <w:color w:val="000000"/>
              </w:rPr>
              <w:t xml:space="preserve"> </w:t>
            </w:r>
            <w:r>
              <w:rPr>
                <w:rFonts w:ascii="Caladea" w:hAnsi="Caladea" w:cstheme="minorHAnsi"/>
                <w:color w:val="000000"/>
                <w:lang w:val="tr-TR"/>
              </w:rPr>
              <w:t>(Yürütücü Kadir Karatekin.) (Araştırmacılar Yrd. Doç. Dr. Zafer KUŞ,</w:t>
            </w:r>
            <w:r>
              <w:rPr>
                <w:rFonts w:ascii="Caladea" w:hAnsi="Caladea" w:cstheme="minorHAnsi"/>
                <w:color w:val="000000"/>
              </w:rPr>
              <w:t xml:space="preserve"> </w:t>
            </w:r>
            <w:r>
              <w:rPr>
                <w:rFonts w:ascii="Caladea" w:hAnsi="Caladea" w:cstheme="minorHAnsi"/>
                <w:color w:val="000000"/>
                <w:lang w:val="tr-TR"/>
              </w:rPr>
              <w:t>Yrd. Doç. Dr. Ersin TOPÇU)</w:t>
            </w:r>
          </w:p>
        </w:tc>
      </w:tr>
    </w:tbl>
    <w:p w:rsidR="00DB3158" w:rsidRDefault="00DB3158">
      <w:pPr>
        <w:jc w:val="both"/>
        <w:rPr>
          <w:rFonts w:ascii="Caladea" w:hAnsi="Caladea"/>
          <w:color w:val="000000"/>
          <w:sz w:val="24"/>
          <w:szCs w:val="24"/>
        </w:rPr>
      </w:pPr>
    </w:p>
    <w:p w:rsidR="00DB3158" w:rsidRDefault="00DB3158">
      <w:pPr>
        <w:jc w:val="both"/>
        <w:rPr>
          <w:b/>
        </w:rPr>
      </w:pPr>
    </w:p>
    <w:p w:rsidR="00DB3158" w:rsidRDefault="00DB3158">
      <w:pPr>
        <w:jc w:val="both"/>
        <w:rPr>
          <w:b/>
        </w:rPr>
      </w:pPr>
    </w:p>
    <w:p w:rsidR="00DB3158" w:rsidRDefault="00DB3158">
      <w:pPr>
        <w:jc w:val="both"/>
        <w:rPr>
          <w:b/>
        </w:rPr>
      </w:pPr>
    </w:p>
    <w:p w:rsidR="00DB3158" w:rsidRDefault="00DB3158">
      <w:pPr>
        <w:jc w:val="both"/>
        <w:rPr>
          <w:b/>
        </w:rPr>
      </w:pPr>
    </w:p>
    <w:p w:rsidR="00DB3158" w:rsidRDefault="00DB3158">
      <w:pPr>
        <w:jc w:val="both"/>
        <w:rPr>
          <w:b/>
        </w:rPr>
      </w:pPr>
    </w:p>
    <w:p w:rsidR="00DB3158" w:rsidRDefault="00DB3158">
      <w:pPr>
        <w:jc w:val="both"/>
        <w:rPr>
          <w:b/>
        </w:rPr>
      </w:pPr>
    </w:p>
    <w:p w:rsidR="00DB3158" w:rsidRDefault="00DB3158">
      <w:pPr>
        <w:jc w:val="both"/>
        <w:rPr>
          <w:b/>
        </w:rPr>
      </w:pPr>
    </w:p>
    <w:p w:rsidR="00DB3158" w:rsidRDefault="00F61F0A">
      <w:pPr>
        <w:jc w:val="both"/>
        <w:rPr>
          <w:rFonts w:ascii="Caladea" w:hAnsi="Caladea"/>
          <w:color w:val="000000"/>
          <w:sz w:val="24"/>
          <w:szCs w:val="24"/>
        </w:rPr>
      </w:pPr>
      <w:r>
        <w:rPr>
          <w:rFonts w:ascii="Caladea" w:hAnsi="Caladea"/>
          <w:b/>
          <w:color w:val="000000"/>
          <w:sz w:val="24"/>
          <w:szCs w:val="24"/>
        </w:rPr>
        <w:t>DİĞER İLGİLİ BİLGİLER:</w:t>
      </w:r>
    </w:p>
    <w:p w:rsidR="00DB3158" w:rsidRDefault="00DB3158">
      <w:pPr>
        <w:jc w:val="both"/>
        <w:rPr>
          <w:b/>
          <w:sz w:val="24"/>
          <w:szCs w:val="24"/>
        </w:rPr>
      </w:pPr>
    </w:p>
    <w:p w:rsidR="00DB3158" w:rsidRDefault="00F61F0A">
      <w:pPr>
        <w:pStyle w:val="GvdeMetni"/>
        <w:jc w:val="both"/>
        <w:rPr>
          <w:color w:val="000000"/>
        </w:rPr>
      </w:pPr>
      <w:r>
        <w:rPr>
          <w:rFonts w:ascii="Times New Roman;Times New Roman" w:hAnsi="Times New Roman;Times New Roman"/>
          <w:b/>
          <w:color w:val="000000"/>
          <w:sz w:val="24"/>
          <w:szCs w:val="24"/>
          <w:lang w:val="tr-TR"/>
        </w:rPr>
        <w:t>Yönettiği Tezler</w:t>
      </w:r>
      <w:r>
        <w:rPr>
          <w:rFonts w:ascii="Caladea" w:hAnsi="Caladea"/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 </w:t>
      </w:r>
    </w:p>
    <w:p w:rsidR="00DB3158" w:rsidRDefault="00F61F0A">
      <w:pPr>
        <w:pStyle w:val="GvdeMetni"/>
        <w:spacing w:line="345" w:lineRule="atLeast"/>
        <w:jc w:val="both"/>
        <w:rPr>
          <w:color w:val="000000"/>
        </w:rPr>
      </w:pPr>
      <w:r>
        <w:rPr>
          <w:rFonts w:ascii="Times New Roman;Times New Roman" w:hAnsi="Times New Roman;Times New Roman"/>
          <w:b/>
          <w:color w:val="000000"/>
          <w:sz w:val="24"/>
          <w:lang w:val="tr-TR"/>
        </w:rPr>
        <w:t xml:space="preserve">Uyanık, Cahit. (2016). </w:t>
      </w:r>
      <w:r>
        <w:rPr>
          <w:rFonts w:ascii="Times New Roman;Times New Roman" w:hAnsi="Times New Roman;Times New Roman"/>
          <w:color w:val="000000"/>
          <w:sz w:val="24"/>
          <w:lang w:val="tr-TR"/>
        </w:rPr>
        <w:t>Sosyal Bilgiler Ders Kitaplarının Harita Okuma Becerisi Açısından Analizi. Kastamonu Üniversitesi Sosyal Bilimler Enstitüsü Sosyal Bilimler ve Türkçe eğitimi ABD. Yüksek Lisans Tezi. (21.11.2016) (2)</w:t>
      </w:r>
      <w:r>
        <w:rPr>
          <w:color w:val="000000"/>
        </w:rPr>
        <w:t> </w:t>
      </w:r>
    </w:p>
    <w:p w:rsidR="00DB3158" w:rsidRDefault="00F61F0A">
      <w:pPr>
        <w:pStyle w:val="GvdeMetni"/>
        <w:spacing w:line="345" w:lineRule="atLeast"/>
        <w:jc w:val="both"/>
        <w:rPr>
          <w:color w:val="000000"/>
        </w:rPr>
      </w:pPr>
      <w:r>
        <w:rPr>
          <w:rFonts w:ascii="Times New Roman;Times New Roman" w:hAnsi="Times New Roman;Times New Roman"/>
          <w:b/>
          <w:color w:val="000000"/>
          <w:sz w:val="24"/>
          <w:lang w:val="tr-TR"/>
        </w:rPr>
        <w:t>Dereli, İsmail (2017).</w:t>
      </w:r>
      <w:r>
        <w:rPr>
          <w:color w:val="000000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lang w:val="tr-TR"/>
        </w:rPr>
        <w:t xml:space="preserve">Sosyal Bilgiler Öğretmene Adaylarının </w:t>
      </w:r>
      <w:proofErr w:type="spellStart"/>
      <w:r>
        <w:rPr>
          <w:rFonts w:ascii="Times New Roman;Times New Roman" w:hAnsi="Times New Roman;Times New Roman"/>
          <w:color w:val="000000"/>
          <w:sz w:val="24"/>
          <w:lang w:val="tr-TR"/>
        </w:rPr>
        <w:t>Teknopedagojik</w:t>
      </w:r>
      <w:proofErr w:type="spellEnd"/>
      <w:r>
        <w:rPr>
          <w:color w:val="000000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lang w:val="tr-TR"/>
        </w:rPr>
        <w:t>Alan Bilgisi ve Teknolojiye Yönelik İnançlarının İncelenmesi Kastamonu Üniversitesi Sosyal Bilimler Enstitüsü Sosyal Bilimler ve Türkçe eğitimi ABD. Yüksek Lisans Tezi. (24.10.2017) (2)</w:t>
      </w:r>
      <w:r>
        <w:rPr>
          <w:color w:val="000000"/>
        </w:rPr>
        <w:t> </w:t>
      </w:r>
    </w:p>
    <w:p w:rsidR="00DB3158" w:rsidRDefault="00DB3158">
      <w:pPr>
        <w:jc w:val="both"/>
        <w:rPr>
          <w:b/>
          <w:sz w:val="24"/>
          <w:szCs w:val="24"/>
        </w:rPr>
      </w:pPr>
    </w:p>
    <w:p w:rsidR="00DB3158" w:rsidRDefault="00F61F0A">
      <w:pPr>
        <w:pStyle w:val="GvdeMetni"/>
        <w:jc w:val="both"/>
        <w:rPr>
          <w:color w:val="000000"/>
        </w:rPr>
      </w:pPr>
      <w:r>
        <w:rPr>
          <w:rFonts w:ascii="Times New Roman;Times New Roman" w:hAnsi="Times New Roman;Times New Roman"/>
          <w:b/>
          <w:color w:val="000000"/>
          <w:sz w:val="24"/>
          <w:szCs w:val="24"/>
          <w:lang w:val="tr-TR"/>
        </w:rPr>
        <w:t>Kitap Bölümü</w:t>
      </w:r>
    </w:p>
    <w:p w:rsidR="00DB3158" w:rsidRDefault="00F61F0A">
      <w:pPr>
        <w:pStyle w:val="GvdeMetni"/>
        <w:spacing w:line="345" w:lineRule="atLeast"/>
        <w:jc w:val="both"/>
        <w:rPr>
          <w:color w:val="000000"/>
        </w:rPr>
      </w:pPr>
      <w:r>
        <w:rPr>
          <w:rFonts w:ascii="Times New Roman;Times New Roman" w:hAnsi="Times New Roman;Times New Roman"/>
          <w:color w:val="000000"/>
          <w:sz w:val="24"/>
          <w:lang w:val="tr-TR"/>
        </w:rPr>
        <w:t>1-</w:t>
      </w:r>
      <w:r>
        <w:rPr>
          <w:color w:val="000000"/>
        </w:rPr>
        <w:t xml:space="preserve"> </w:t>
      </w:r>
      <w:r>
        <w:rPr>
          <w:rFonts w:ascii="Times New Roman;Times New Roman" w:hAnsi="Times New Roman;Times New Roman"/>
          <w:b/>
          <w:color w:val="000000"/>
          <w:sz w:val="24"/>
          <w:lang w:val="tr-TR"/>
        </w:rPr>
        <w:t>TOPÇU</w:t>
      </w:r>
      <w:r>
        <w:rPr>
          <w:color w:val="000000"/>
        </w:rPr>
        <w:t xml:space="preserve"> </w:t>
      </w:r>
      <w:r>
        <w:rPr>
          <w:rFonts w:ascii="Times New Roman;Times New Roman" w:hAnsi="Times New Roman;Times New Roman"/>
          <w:b/>
          <w:color w:val="000000"/>
          <w:sz w:val="24"/>
          <w:lang w:val="tr-TR"/>
        </w:rPr>
        <w:t>E</w:t>
      </w:r>
      <w:proofErr w:type="gramStart"/>
      <w:r>
        <w:rPr>
          <w:rFonts w:ascii="Times New Roman;Times New Roman" w:hAnsi="Times New Roman;Times New Roman"/>
          <w:b/>
          <w:color w:val="000000"/>
          <w:sz w:val="24"/>
          <w:lang w:val="tr-TR"/>
        </w:rPr>
        <w:t>.,</w:t>
      </w:r>
      <w:proofErr w:type="gramEnd"/>
      <w:r>
        <w:rPr>
          <w:color w:val="000000"/>
        </w:rPr>
        <w:t xml:space="preserve"> </w:t>
      </w:r>
      <w:proofErr w:type="spellStart"/>
      <w:r>
        <w:rPr>
          <w:rFonts w:ascii="Times New Roman;Times New Roman" w:hAnsi="Times New Roman;Times New Roman"/>
          <w:color w:val="000000"/>
          <w:sz w:val="24"/>
          <w:lang w:val="tr-TR"/>
        </w:rPr>
        <w:t>Kaymakcı</w:t>
      </w:r>
      <w:proofErr w:type="spellEnd"/>
      <w:r>
        <w:rPr>
          <w:rFonts w:ascii="Times New Roman;Times New Roman" w:hAnsi="Times New Roman;Times New Roman"/>
          <w:color w:val="000000"/>
          <w:sz w:val="24"/>
          <w:lang w:val="tr-TR"/>
        </w:rPr>
        <w:t xml:space="preserve">, S. (2016). Sosyal Bilgiler Eğitim ve Uluslararası İlişkiler. (İçinde Sosyal Bilgilerin Temelleri, </w:t>
      </w:r>
      <w:proofErr w:type="spellStart"/>
      <w:r>
        <w:rPr>
          <w:rFonts w:ascii="Times New Roman;Times New Roman" w:hAnsi="Times New Roman;Times New Roman"/>
          <w:color w:val="000000"/>
          <w:sz w:val="24"/>
          <w:lang w:val="tr-TR"/>
        </w:rPr>
        <w:t>Ed</w:t>
      </w:r>
      <w:proofErr w:type="spellEnd"/>
      <w:r>
        <w:rPr>
          <w:rFonts w:ascii="Times New Roman;Times New Roman" w:hAnsi="Times New Roman;Times New Roman"/>
          <w:color w:val="000000"/>
          <w:sz w:val="24"/>
          <w:lang w:val="tr-TR"/>
        </w:rPr>
        <w:t>: Refik Turan, Tahsin Yıldırım). Ankara: Anı Yay.</w:t>
      </w:r>
    </w:p>
    <w:p w:rsidR="00DB3158" w:rsidRDefault="00DB3158">
      <w:pPr>
        <w:jc w:val="both"/>
        <w:rPr>
          <w:rFonts w:ascii="Caladea" w:hAnsi="Caladea"/>
          <w:b/>
          <w:bCs/>
          <w:color w:val="000000"/>
          <w:sz w:val="24"/>
          <w:szCs w:val="24"/>
        </w:rPr>
      </w:pPr>
    </w:p>
    <w:p w:rsidR="00DB3158" w:rsidRDefault="00F61F0A">
      <w:pPr>
        <w:jc w:val="both"/>
        <w:rPr>
          <w:rFonts w:ascii="Caladea" w:hAnsi="Caladea"/>
          <w:b/>
          <w:bCs/>
          <w:color w:val="000000"/>
          <w:sz w:val="24"/>
          <w:szCs w:val="24"/>
        </w:rPr>
      </w:pPr>
      <w:r>
        <w:rPr>
          <w:rFonts w:ascii="Caladea" w:hAnsi="Caladea" w:cstheme="minorHAnsi"/>
          <w:b/>
          <w:bCs/>
          <w:color w:val="000000"/>
          <w:sz w:val="24"/>
          <w:szCs w:val="24"/>
          <w:lang w:val="tr-TR"/>
        </w:rPr>
        <w:t>Verilen Dersler</w:t>
      </w:r>
    </w:p>
    <w:p w:rsidR="00DB3158" w:rsidRDefault="00F61F0A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lang w:val="tr-TR"/>
        </w:rPr>
      </w:pPr>
      <w:r>
        <w:rPr>
          <w:rFonts w:ascii="Caladea" w:hAnsi="Caladea" w:cstheme="minorHAnsi"/>
          <w:color w:val="000000"/>
          <w:sz w:val="24"/>
          <w:szCs w:val="24"/>
          <w:lang w:val="tr-TR"/>
        </w:rPr>
        <w:t>Özel Öğretim Yöntemleri I</w:t>
      </w:r>
    </w:p>
    <w:p w:rsidR="00DB3158" w:rsidRDefault="00F61F0A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lang w:val="tr-TR"/>
        </w:rPr>
      </w:pPr>
      <w:r>
        <w:rPr>
          <w:rFonts w:ascii="Caladea" w:hAnsi="Caladea" w:cstheme="minorHAnsi"/>
          <w:color w:val="000000"/>
          <w:sz w:val="24"/>
          <w:szCs w:val="24"/>
          <w:lang w:val="tr-TR"/>
        </w:rPr>
        <w:t>Özel Öğretim Yöntemleri II</w:t>
      </w:r>
    </w:p>
    <w:p w:rsidR="00DB3158" w:rsidRDefault="00F61F0A">
      <w:pPr>
        <w:pStyle w:val="ListeParagraf"/>
        <w:numPr>
          <w:ilvl w:val="0"/>
          <w:numId w:val="1"/>
        </w:numPr>
        <w:jc w:val="both"/>
        <w:rPr>
          <w:rFonts w:ascii="Caladea" w:hAnsi="Caladea"/>
          <w:color w:val="000000"/>
          <w:sz w:val="24"/>
          <w:szCs w:val="24"/>
        </w:rPr>
      </w:pPr>
      <w:r>
        <w:rPr>
          <w:rFonts w:ascii="Caladea" w:hAnsi="Caladea" w:cstheme="minorHAnsi"/>
          <w:color w:val="000000"/>
          <w:sz w:val="24"/>
          <w:szCs w:val="24"/>
          <w:lang w:val="tr-TR"/>
        </w:rPr>
        <w:t>Bilimsel Araştırma Yöntemleri</w:t>
      </w:r>
    </w:p>
    <w:p w:rsidR="00DB3158" w:rsidRDefault="00F61F0A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lang w:val="tr-TR"/>
        </w:rPr>
      </w:pPr>
      <w:r>
        <w:rPr>
          <w:rFonts w:ascii="Caladea" w:hAnsi="Caladea" w:cstheme="minorHAnsi"/>
          <w:color w:val="000000"/>
          <w:sz w:val="24"/>
          <w:szCs w:val="24"/>
          <w:lang w:val="tr-TR"/>
        </w:rPr>
        <w:t>Öğretim İlke ve Yöntemleri</w:t>
      </w:r>
    </w:p>
    <w:p w:rsidR="00DB3158" w:rsidRDefault="00F61F0A">
      <w:pPr>
        <w:pStyle w:val="ListeParagraf"/>
        <w:numPr>
          <w:ilvl w:val="0"/>
          <w:numId w:val="1"/>
        </w:numPr>
        <w:jc w:val="both"/>
        <w:rPr>
          <w:rFonts w:ascii="Caladea" w:hAnsi="Caladea"/>
          <w:color w:val="000000"/>
          <w:sz w:val="24"/>
          <w:szCs w:val="24"/>
        </w:rPr>
      </w:pPr>
      <w:r>
        <w:rPr>
          <w:rFonts w:ascii="Caladea" w:hAnsi="Caladea" w:cstheme="minorHAnsi"/>
          <w:color w:val="000000"/>
          <w:sz w:val="24"/>
          <w:szCs w:val="24"/>
          <w:lang w:val="tr-TR"/>
        </w:rPr>
        <w:t>Sosyoloji</w:t>
      </w:r>
    </w:p>
    <w:p w:rsidR="00DB3158" w:rsidRDefault="00F61F0A">
      <w:pPr>
        <w:pStyle w:val="ListeParagraf"/>
        <w:numPr>
          <w:ilvl w:val="0"/>
          <w:numId w:val="1"/>
        </w:numPr>
        <w:jc w:val="both"/>
        <w:rPr>
          <w:rFonts w:ascii="Caladea" w:hAnsi="Caladea"/>
          <w:color w:val="000000"/>
          <w:sz w:val="24"/>
          <w:szCs w:val="24"/>
        </w:rPr>
      </w:pPr>
      <w:r>
        <w:rPr>
          <w:rFonts w:ascii="Caladea" w:hAnsi="Caladea" w:cstheme="minorHAnsi"/>
          <w:color w:val="000000"/>
          <w:sz w:val="24"/>
          <w:szCs w:val="24"/>
          <w:lang w:val="tr-TR"/>
        </w:rPr>
        <w:t>Sosyal Bilgilerde Tarih Öğretimi</w:t>
      </w:r>
    </w:p>
    <w:p w:rsidR="00DB3158" w:rsidRDefault="00F61F0A">
      <w:pPr>
        <w:pStyle w:val="ListeParagraf"/>
        <w:numPr>
          <w:ilvl w:val="0"/>
          <w:numId w:val="1"/>
        </w:numPr>
        <w:jc w:val="both"/>
        <w:rPr>
          <w:rFonts w:ascii="Caladea" w:hAnsi="Caladea"/>
          <w:color w:val="000000"/>
          <w:sz w:val="24"/>
          <w:szCs w:val="24"/>
        </w:rPr>
      </w:pPr>
      <w:r>
        <w:rPr>
          <w:rFonts w:ascii="Caladea" w:hAnsi="Caladea" w:cstheme="minorHAnsi"/>
          <w:color w:val="000000"/>
          <w:sz w:val="24"/>
          <w:szCs w:val="24"/>
          <w:lang w:val="tr-TR"/>
        </w:rPr>
        <w:t>Siyaset Bilimi</w:t>
      </w:r>
    </w:p>
    <w:p w:rsidR="00DB3158" w:rsidRDefault="00F61F0A">
      <w:pPr>
        <w:pStyle w:val="ListeParagraf"/>
        <w:numPr>
          <w:ilvl w:val="0"/>
          <w:numId w:val="1"/>
        </w:numPr>
        <w:jc w:val="both"/>
        <w:rPr>
          <w:rFonts w:ascii="Caladea" w:hAnsi="Caladea"/>
          <w:color w:val="000000"/>
          <w:sz w:val="24"/>
          <w:szCs w:val="24"/>
        </w:rPr>
      </w:pPr>
      <w:r>
        <w:rPr>
          <w:rFonts w:ascii="Caladea" w:hAnsi="Caladea" w:cstheme="minorHAnsi"/>
          <w:color w:val="000000"/>
          <w:sz w:val="24"/>
          <w:szCs w:val="24"/>
          <w:lang w:val="tr-TR"/>
        </w:rPr>
        <w:t>Sosyal Bilgilerde Sözlü yazılı Edebiyat İncelemeleri</w:t>
      </w:r>
    </w:p>
    <w:p w:rsidR="00DB3158" w:rsidRDefault="00DB3158">
      <w:pPr>
        <w:jc w:val="both"/>
      </w:pPr>
    </w:p>
    <w:sectPr w:rsidR="00DB3158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C5848"/>
    <w:multiLevelType w:val="multilevel"/>
    <w:tmpl w:val="246EE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F679BB"/>
    <w:multiLevelType w:val="multilevel"/>
    <w:tmpl w:val="C102E1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8"/>
    <w:rsid w:val="00DB3158"/>
    <w:rsid w:val="00E97D9B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845F-2966-472B-B548-D7F8ED1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1B"/>
    <w:rPr>
      <w:color w:val="00000A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B0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BF3E19"/>
    <w:pPr>
      <w:spacing w:beforeAutospacing="1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A2E45"/>
    <w:rPr>
      <w:rFonts w:ascii="Tahoma" w:hAnsi="Tahoma" w:cs="Tahoma"/>
      <w:sz w:val="16"/>
      <w:szCs w:val="16"/>
      <w:lang w:val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5A2E45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BF3E19"/>
    <w:rPr>
      <w:rFonts w:ascii="Times New Roman" w:eastAsia="Times New Roman" w:hAnsi="Times New Roman"/>
      <w:b/>
      <w:bCs/>
      <w:sz w:val="36"/>
      <w:szCs w:val="36"/>
      <w:lang w:val="tr-TR" w:eastAsia="tr-TR"/>
    </w:rPr>
  </w:style>
  <w:style w:type="character" w:styleId="Vurgu">
    <w:name w:val="Emphasis"/>
    <w:uiPriority w:val="20"/>
    <w:qFormat/>
    <w:rsid w:val="006C7ACC"/>
    <w:rPr>
      <w:i/>
      <w:iCs/>
    </w:rPr>
  </w:style>
  <w:style w:type="character" w:customStyle="1" w:styleId="hps">
    <w:name w:val="hps"/>
    <w:qFormat/>
    <w:rsid w:val="006C7ACC"/>
  </w:style>
  <w:style w:type="character" w:customStyle="1" w:styleId="label">
    <w:name w:val="label"/>
    <w:basedOn w:val="VarsaylanParagrafYazTipi"/>
    <w:qFormat/>
    <w:rsid w:val="006C7ACC"/>
  </w:style>
  <w:style w:type="character" w:customStyle="1" w:styleId="Balk1Char">
    <w:name w:val="Başlık 1 Char"/>
    <w:basedOn w:val="VarsaylanParagrafYazTipi"/>
    <w:link w:val="Balk1"/>
    <w:uiPriority w:val="9"/>
    <w:qFormat/>
    <w:rsid w:val="002B04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Theme="minorHAnsi" w:hAnsiTheme="minorHAnsi" w:cstheme="minorHAnsi"/>
      <w:color w:val="000000"/>
      <w:lang w:val="tr-TR"/>
    </w:rPr>
  </w:style>
  <w:style w:type="character" w:customStyle="1" w:styleId="NumaralamaSimgeleri">
    <w:name w:val="Numaralama Simgeleri"/>
    <w:qFormat/>
  </w:style>
  <w:style w:type="character" w:customStyle="1" w:styleId="ListLabel17">
    <w:name w:val="ListLabel 17"/>
    <w:qFormat/>
    <w:rPr>
      <w:rFonts w:ascii="Caladea" w:hAnsi="Caladea" w:cs="Wingdings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A2E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2767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032F1B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A3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AFE6-B460-49CF-B976-27409DDC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Buldu</dc:creator>
  <dc:description/>
  <cp:lastModifiedBy>Nasip</cp:lastModifiedBy>
  <cp:revision>2</cp:revision>
  <dcterms:created xsi:type="dcterms:W3CDTF">2018-07-04T20:10:00Z</dcterms:created>
  <dcterms:modified xsi:type="dcterms:W3CDTF">2018-07-04T20:10:00Z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UNICEF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